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89D8C" w14:textId="77777777" w:rsidR="00BA0067" w:rsidRPr="00D76FD9" w:rsidRDefault="006F3984" w:rsidP="00D76FD9">
      <w:pPr>
        <w:spacing w:line="300" w:lineRule="auto"/>
        <w:jc w:val="center"/>
        <w:rPr>
          <w:b/>
          <w:sz w:val="32"/>
        </w:rPr>
      </w:pPr>
      <w:r w:rsidRPr="00D76FD9">
        <w:rPr>
          <w:rFonts w:hint="eastAsia"/>
          <w:b/>
          <w:sz w:val="32"/>
        </w:rPr>
        <w:t>2015</w:t>
      </w:r>
      <w:r w:rsidRPr="00D76FD9">
        <w:rPr>
          <w:rFonts w:hint="eastAsia"/>
          <w:b/>
          <w:sz w:val="32"/>
        </w:rPr>
        <w:t>年中国并购市场报告</w:t>
      </w:r>
    </w:p>
    <w:p w14:paraId="6FEE2540" w14:textId="17ECDFA3" w:rsidR="00D76FD9" w:rsidRDefault="00D76FD9" w:rsidP="00D76FD9">
      <w:pPr>
        <w:spacing w:line="300" w:lineRule="auto"/>
        <w:jc w:val="center"/>
        <w:rPr>
          <w:sz w:val="24"/>
        </w:rPr>
      </w:pPr>
      <w:r>
        <w:rPr>
          <w:rFonts w:hint="eastAsia"/>
          <w:sz w:val="24"/>
        </w:rPr>
        <w:t>北京交通大学</w:t>
      </w:r>
      <w:r>
        <w:rPr>
          <w:sz w:val="24"/>
        </w:rPr>
        <w:t>中国企业兼并重组研究中心</w:t>
      </w:r>
    </w:p>
    <w:p w14:paraId="59D0D843" w14:textId="77777777" w:rsidR="00D76FD9" w:rsidRPr="00D76FD9" w:rsidRDefault="00D76FD9" w:rsidP="00D76FD9">
      <w:pPr>
        <w:spacing w:line="300" w:lineRule="auto"/>
        <w:jc w:val="center"/>
        <w:rPr>
          <w:sz w:val="24"/>
        </w:rPr>
      </w:pPr>
    </w:p>
    <w:p w14:paraId="5770F6E0" w14:textId="77777777" w:rsidR="00015CB8" w:rsidRPr="006B7443" w:rsidRDefault="00015CB8" w:rsidP="006E5E84">
      <w:pPr>
        <w:widowControl/>
        <w:spacing w:after="210"/>
        <w:ind w:firstLine="426"/>
        <w:jc w:val="left"/>
      </w:pPr>
      <w:r w:rsidRPr="006E5E84">
        <w:rPr>
          <w:rFonts w:ascii="Simsun" w:eastAsia="宋体" w:hAnsi="Simsun" w:cs="宋体" w:hint="eastAsia"/>
          <w:color w:val="333333"/>
          <w:kern w:val="0"/>
          <w:szCs w:val="21"/>
        </w:rPr>
        <w:t>2015</w:t>
      </w:r>
      <w:r w:rsidRPr="006B7443">
        <w:rPr>
          <w:rFonts w:hint="eastAsia"/>
        </w:rPr>
        <w:t>年</w:t>
      </w:r>
      <w:bookmarkStart w:id="0" w:name="OLE_LINK1"/>
      <w:bookmarkStart w:id="1" w:name="OLE_LINK2"/>
      <w:r w:rsidRPr="006B7443">
        <w:rPr>
          <w:rFonts w:hint="eastAsia"/>
        </w:rPr>
        <w:t>中国经济产能过剩和资源错配的矛盾依然严重，制度因素以及环境因素对我国经济增长的制约越来越强，</w:t>
      </w:r>
      <w:r w:rsidR="00225B0F" w:rsidRPr="006B7443">
        <w:rPr>
          <w:rFonts w:hint="eastAsia"/>
        </w:rPr>
        <w:t>经济增速进一步放缓；</w:t>
      </w:r>
      <w:r w:rsidR="0035064B">
        <w:rPr>
          <w:rFonts w:hint="eastAsia"/>
        </w:rPr>
        <w:t>另外，</w:t>
      </w:r>
      <w:r w:rsidR="00225B0F" w:rsidRPr="006B7443">
        <w:rPr>
          <w:rFonts w:hint="eastAsia"/>
        </w:rPr>
        <w:t>二级市场从</w:t>
      </w:r>
      <w:r w:rsidR="00225B0F" w:rsidRPr="006B7443">
        <w:rPr>
          <w:rFonts w:hint="eastAsia"/>
        </w:rPr>
        <w:t>6</w:t>
      </w:r>
      <w:r w:rsidR="00225B0F" w:rsidRPr="006B7443">
        <w:rPr>
          <w:rFonts w:hint="eastAsia"/>
        </w:rPr>
        <w:t>月</w:t>
      </w:r>
      <w:r w:rsidR="00225B0F" w:rsidRPr="006B7443">
        <w:rPr>
          <w:rFonts w:hint="eastAsia"/>
        </w:rPr>
        <w:t>15</w:t>
      </w:r>
      <w:r w:rsidR="00225B0F" w:rsidRPr="006B7443">
        <w:rPr>
          <w:rFonts w:hint="eastAsia"/>
        </w:rPr>
        <w:t>日开始的巨幅调整，使上市公司流动性困局加重，加上</w:t>
      </w:r>
      <w:r w:rsidR="00225B0F" w:rsidRPr="006B7443">
        <w:rPr>
          <w:rFonts w:hint="eastAsia"/>
        </w:rPr>
        <w:t>IPO</w:t>
      </w:r>
      <w:r w:rsidR="00225B0F" w:rsidRPr="006B7443">
        <w:rPr>
          <w:rFonts w:hint="eastAsia"/>
        </w:rPr>
        <w:t>暂缓</w:t>
      </w:r>
      <w:r w:rsidR="007A1A0E" w:rsidRPr="006B7443">
        <w:rPr>
          <w:rFonts w:hint="eastAsia"/>
        </w:rPr>
        <w:t>，</w:t>
      </w:r>
      <w:r w:rsidR="0035064B">
        <w:rPr>
          <w:rFonts w:hint="eastAsia"/>
        </w:rPr>
        <w:t>给并购带来了新的生机</w:t>
      </w:r>
      <w:r w:rsidR="00225B0F" w:rsidRPr="006B7443">
        <w:rPr>
          <w:rFonts w:hint="eastAsia"/>
        </w:rPr>
        <w:t>。</w:t>
      </w:r>
      <w:r w:rsidR="00225B0F" w:rsidRPr="006B7443">
        <w:rPr>
          <w:rFonts w:hint="eastAsia"/>
        </w:rPr>
        <w:t>2015</w:t>
      </w:r>
      <w:r w:rsidR="00225B0F" w:rsidRPr="006B7443">
        <w:rPr>
          <w:rFonts w:hint="eastAsia"/>
        </w:rPr>
        <w:t>年</w:t>
      </w:r>
      <w:r w:rsidR="007A1A0E" w:rsidRPr="006B7443">
        <w:rPr>
          <w:rFonts w:hint="eastAsia"/>
        </w:rPr>
        <w:t>中国企业并购市场有如下几个特征：</w:t>
      </w:r>
    </w:p>
    <w:bookmarkEnd w:id="0"/>
    <w:bookmarkEnd w:id="1"/>
    <w:p w14:paraId="23BBC23F" w14:textId="11FBB853" w:rsidR="006B7443" w:rsidRPr="00443354" w:rsidRDefault="00856438" w:rsidP="00443354">
      <w:pPr>
        <w:widowControl/>
        <w:spacing w:after="210"/>
        <w:ind w:firstLine="426"/>
        <w:jc w:val="left"/>
      </w:pPr>
      <w:r w:rsidRPr="00443354">
        <w:rPr>
          <w:rFonts w:hint="eastAsia"/>
        </w:rPr>
        <w:t>1.</w:t>
      </w:r>
      <w:r w:rsidRPr="00443354">
        <w:t>交易数量和</w:t>
      </w:r>
      <w:r w:rsidRPr="00443354">
        <w:rPr>
          <w:rFonts w:hint="eastAsia"/>
        </w:rPr>
        <w:t>交易</w:t>
      </w:r>
      <w:r w:rsidRPr="00443354">
        <w:t>金额显著增长</w:t>
      </w:r>
      <w:r w:rsidRPr="00443354">
        <w:rPr>
          <w:rFonts w:hint="eastAsia"/>
        </w:rPr>
        <w:t>；</w:t>
      </w:r>
      <w:r w:rsidRPr="00443354">
        <w:rPr>
          <w:rFonts w:hint="eastAsia"/>
        </w:rPr>
        <w:t>2.</w:t>
      </w:r>
      <w:r w:rsidRPr="00443354">
        <w:rPr>
          <w:rFonts w:hint="eastAsia"/>
        </w:rPr>
        <w:t>制造业并购最为活跃</w:t>
      </w:r>
      <w:r w:rsidR="00A82D8F">
        <w:rPr>
          <w:rFonts w:hint="eastAsia"/>
        </w:rPr>
        <w:t>，其</w:t>
      </w:r>
      <w:r w:rsidR="00A82D8F" w:rsidRPr="00443354">
        <w:t>中计算机通信和其他电子设备制造业、</w:t>
      </w:r>
      <w:r w:rsidR="00A82D8F" w:rsidRPr="00443354">
        <w:rPr>
          <w:rFonts w:hint="eastAsia"/>
        </w:rPr>
        <w:t>专用</w:t>
      </w:r>
      <w:r w:rsidR="00A82D8F" w:rsidRPr="00443354">
        <w:t>设备制造业</w:t>
      </w:r>
      <w:r w:rsidR="00A82D8F">
        <w:t>这两个细分行业在交易数量</w:t>
      </w:r>
      <w:r w:rsidR="00A82D8F" w:rsidRPr="00443354">
        <w:t>上领先</w:t>
      </w:r>
      <w:r w:rsidR="006E5E84" w:rsidRPr="00CA08BC">
        <w:rPr>
          <w:rFonts w:hint="eastAsia"/>
        </w:rPr>
        <w:t>；</w:t>
      </w:r>
      <w:r w:rsidR="006E5E84" w:rsidRPr="00443354">
        <w:rPr>
          <w:rFonts w:hint="eastAsia"/>
        </w:rPr>
        <w:t>3.</w:t>
      </w:r>
      <w:r w:rsidR="006E5E84" w:rsidRPr="00443354">
        <w:rPr>
          <w:rFonts w:hint="eastAsia"/>
        </w:rPr>
        <w:t>北京、上海、广</w:t>
      </w:r>
      <w:r w:rsidR="00E80581" w:rsidRPr="00443354">
        <w:rPr>
          <w:rFonts w:hint="eastAsia"/>
        </w:rPr>
        <w:t>东、江苏和浙江等经济发达省份在交易数量和交易金额上继续在全国领跑</w:t>
      </w:r>
      <w:r w:rsidR="006E5E84" w:rsidRPr="00443354">
        <w:rPr>
          <w:rFonts w:hint="eastAsia"/>
        </w:rPr>
        <w:t>；</w:t>
      </w:r>
      <w:r w:rsidR="00015D94" w:rsidRPr="00443354">
        <w:rPr>
          <w:rFonts w:hint="eastAsia"/>
        </w:rPr>
        <w:t>4.</w:t>
      </w:r>
      <w:r w:rsidR="00015D94" w:rsidRPr="00443354">
        <w:rPr>
          <w:rFonts w:hint="eastAsia"/>
        </w:rPr>
        <w:t>民营经济进一步主导并购；</w:t>
      </w:r>
      <w:r w:rsidR="00015D94" w:rsidRPr="00443354">
        <w:rPr>
          <w:rFonts w:hint="eastAsia"/>
        </w:rPr>
        <w:t>5</w:t>
      </w:r>
      <w:r w:rsidR="006E5E84" w:rsidRPr="00443354">
        <w:rPr>
          <w:rFonts w:hint="eastAsia"/>
        </w:rPr>
        <w:t>.</w:t>
      </w:r>
      <w:r w:rsidR="006E5E84" w:rsidRPr="00443354">
        <w:rPr>
          <w:rFonts w:hint="eastAsia"/>
        </w:rPr>
        <w:t>外资并购逐渐回暖；</w:t>
      </w:r>
      <w:r w:rsidR="00015D94" w:rsidRPr="00443354">
        <w:rPr>
          <w:rFonts w:hint="eastAsia"/>
        </w:rPr>
        <w:t>6</w:t>
      </w:r>
      <w:r w:rsidR="006E5E84" w:rsidRPr="00443354">
        <w:rPr>
          <w:rFonts w:hint="eastAsia"/>
        </w:rPr>
        <w:t>.</w:t>
      </w:r>
      <w:r w:rsidR="006E5E84" w:rsidRPr="00443354">
        <w:rPr>
          <w:rFonts w:hint="eastAsia"/>
        </w:rPr>
        <w:t>海外并购</w:t>
      </w:r>
      <w:r w:rsidR="001552DC" w:rsidRPr="00443354">
        <w:rPr>
          <w:rFonts w:hint="eastAsia"/>
        </w:rPr>
        <w:t>量多规模小</w:t>
      </w:r>
      <w:r w:rsidR="006E5E84" w:rsidRPr="00443354">
        <w:rPr>
          <w:rFonts w:hint="eastAsia"/>
        </w:rPr>
        <w:t>。</w:t>
      </w:r>
    </w:p>
    <w:p w14:paraId="7517C0AD" w14:textId="77777777" w:rsidR="00B30833" w:rsidRPr="00543BA5" w:rsidRDefault="00B30833" w:rsidP="00B30833">
      <w:pPr>
        <w:widowControl/>
        <w:spacing w:line="0" w:lineRule="auto"/>
        <w:jc w:val="left"/>
        <w:rPr>
          <w:rFonts w:ascii="Simsun" w:eastAsia="宋体" w:hAnsi="Simsun" w:cs="宋体" w:hint="eastAsia"/>
          <w:color w:val="333333"/>
          <w:kern w:val="0"/>
          <w:szCs w:val="21"/>
        </w:rPr>
      </w:pPr>
    </w:p>
    <w:p w14:paraId="2B47AC3A" w14:textId="77777777" w:rsidR="00B30833" w:rsidRPr="00543BA5" w:rsidRDefault="007123DD" w:rsidP="00D76FD9">
      <w:pPr>
        <w:pStyle w:val="2"/>
      </w:pPr>
      <w:r>
        <w:rPr>
          <w:rFonts w:hint="eastAsia"/>
        </w:rPr>
        <w:t>1.</w:t>
      </w:r>
      <w:r w:rsidR="00B30833" w:rsidRPr="00543BA5">
        <w:t>并购市场规模显著增长</w:t>
      </w:r>
    </w:p>
    <w:p w14:paraId="6BF25E32" w14:textId="65AE0730" w:rsidR="00D76FD9" w:rsidRPr="00D76FD9" w:rsidRDefault="00D76FD9" w:rsidP="00D76FD9">
      <w:pPr>
        <w:widowControl/>
        <w:spacing w:after="210"/>
        <w:ind w:firstLine="426"/>
        <w:jc w:val="left"/>
      </w:pPr>
      <w:r w:rsidRPr="00D76FD9">
        <w:rPr>
          <w:rFonts w:hint="eastAsia"/>
        </w:rPr>
        <w:t>2015</w:t>
      </w:r>
      <w:r>
        <w:rPr>
          <w:rFonts w:hint="eastAsia"/>
        </w:rPr>
        <w:t>年</w:t>
      </w:r>
      <w:r w:rsidRPr="00D76FD9">
        <w:rPr>
          <w:rFonts w:hint="eastAsia"/>
        </w:rPr>
        <w:t>全球的并购交易额超过</w:t>
      </w:r>
      <w:r w:rsidRPr="00D76FD9">
        <w:rPr>
          <w:rFonts w:hint="eastAsia"/>
        </w:rPr>
        <w:t>5</w:t>
      </w:r>
      <w:proofErr w:type="gramStart"/>
      <w:r w:rsidRPr="00D76FD9">
        <w:rPr>
          <w:rFonts w:hint="eastAsia"/>
        </w:rPr>
        <w:t>万亿</w:t>
      </w:r>
      <w:proofErr w:type="gramEnd"/>
      <w:r w:rsidRPr="00D76FD9">
        <w:rPr>
          <w:rFonts w:hint="eastAsia"/>
        </w:rPr>
        <w:t>美元，</w:t>
      </w:r>
      <w:r w:rsidRPr="00D76FD9">
        <w:rPr>
          <w:rFonts w:hint="eastAsia"/>
        </w:rPr>
        <w:t>100</w:t>
      </w:r>
      <w:r w:rsidRPr="00D76FD9">
        <w:rPr>
          <w:rFonts w:hint="eastAsia"/>
        </w:rPr>
        <w:t>亿美元以上的并购交易为</w:t>
      </w:r>
      <w:r w:rsidRPr="00D76FD9">
        <w:rPr>
          <w:rFonts w:hint="eastAsia"/>
        </w:rPr>
        <w:t>69</w:t>
      </w:r>
      <w:r w:rsidRPr="00D76FD9">
        <w:rPr>
          <w:rFonts w:hint="eastAsia"/>
        </w:rPr>
        <w:t>个，均为史上年度最高。医药业，科技业，房地产业是排名最高的三大并购行业，分别占到</w:t>
      </w:r>
      <w:r w:rsidRPr="00D76FD9">
        <w:rPr>
          <w:rFonts w:hint="eastAsia"/>
        </w:rPr>
        <w:t>7230</w:t>
      </w:r>
      <w:r w:rsidRPr="00D76FD9">
        <w:rPr>
          <w:rFonts w:hint="eastAsia"/>
        </w:rPr>
        <w:t>亿美元、</w:t>
      </w:r>
      <w:r w:rsidRPr="00D76FD9">
        <w:rPr>
          <w:rFonts w:hint="eastAsia"/>
        </w:rPr>
        <w:t>7130</w:t>
      </w:r>
      <w:r w:rsidRPr="00D76FD9">
        <w:rPr>
          <w:rFonts w:hint="eastAsia"/>
        </w:rPr>
        <w:t>亿美元和</w:t>
      </w:r>
      <w:r w:rsidRPr="00D76FD9">
        <w:rPr>
          <w:rFonts w:hint="eastAsia"/>
        </w:rPr>
        <w:t>4570</w:t>
      </w:r>
      <w:r w:rsidRPr="00D76FD9">
        <w:rPr>
          <w:rFonts w:hint="eastAsia"/>
        </w:rPr>
        <w:t>亿美元。</w:t>
      </w:r>
      <w:r>
        <w:rPr>
          <w:rFonts w:hint="eastAsia"/>
        </w:rPr>
        <w:t>其中，</w:t>
      </w:r>
      <w:r w:rsidRPr="00D76FD9">
        <w:rPr>
          <w:rFonts w:hint="eastAsia"/>
        </w:rPr>
        <w:t>辉瑞</w:t>
      </w:r>
      <w:r w:rsidRPr="00D76FD9">
        <w:rPr>
          <w:rFonts w:hint="eastAsia"/>
        </w:rPr>
        <w:t>1600</w:t>
      </w:r>
      <w:r w:rsidRPr="00D76FD9">
        <w:rPr>
          <w:rFonts w:hint="eastAsia"/>
        </w:rPr>
        <w:t>亿美元并购艾尔建，成为史上第二大并购交易</w:t>
      </w:r>
      <w:r>
        <w:rPr>
          <w:rFonts w:hint="eastAsia"/>
        </w:rPr>
        <w:t>。</w:t>
      </w:r>
    </w:p>
    <w:p w14:paraId="77A6FED0" w14:textId="77777777" w:rsidR="00B30833" w:rsidRPr="00443354" w:rsidRDefault="00B30833" w:rsidP="00443354">
      <w:pPr>
        <w:widowControl/>
        <w:spacing w:after="210"/>
        <w:ind w:firstLine="426"/>
        <w:jc w:val="left"/>
      </w:pPr>
      <w:r w:rsidRPr="00D76FD9">
        <w:t>20</w:t>
      </w:r>
      <w:r w:rsidR="006B7443" w:rsidRPr="00D76FD9">
        <w:t>1</w:t>
      </w:r>
      <w:r w:rsidR="006B7443" w:rsidRPr="00D76FD9">
        <w:rPr>
          <w:rFonts w:hint="eastAsia"/>
        </w:rPr>
        <w:t>5</w:t>
      </w:r>
      <w:r w:rsidRPr="00D76FD9">
        <w:t>年，中国并购市场交易数量和规模都有较大幅度增长，共发生交易</w:t>
      </w:r>
      <w:r w:rsidR="006B7443" w:rsidRPr="00D76FD9">
        <w:rPr>
          <w:rFonts w:hint="eastAsia"/>
        </w:rPr>
        <w:t>5271</w:t>
      </w:r>
      <w:r w:rsidRPr="00D76FD9">
        <w:t>宗，与</w:t>
      </w:r>
      <w:r w:rsidR="006B7443" w:rsidRPr="00443354">
        <w:t>201</w:t>
      </w:r>
      <w:r w:rsidR="006B7443" w:rsidRPr="00443354">
        <w:rPr>
          <w:rFonts w:hint="eastAsia"/>
        </w:rPr>
        <w:t>4</w:t>
      </w:r>
      <w:r w:rsidRPr="00443354">
        <w:t>年相比增长</w:t>
      </w:r>
      <w:r w:rsidR="006B7443" w:rsidRPr="00443354">
        <w:t>4</w:t>
      </w:r>
      <w:r w:rsidR="006B7443" w:rsidRPr="00443354">
        <w:rPr>
          <w:rFonts w:hint="eastAsia"/>
        </w:rPr>
        <w:t>8</w:t>
      </w:r>
      <w:r w:rsidR="006B7443" w:rsidRPr="00443354">
        <w:t>.</w:t>
      </w:r>
      <w:r w:rsidR="006B7443" w:rsidRPr="00443354">
        <w:rPr>
          <w:rFonts w:hint="eastAsia"/>
        </w:rPr>
        <w:t>64</w:t>
      </w:r>
      <w:r w:rsidRPr="00443354">
        <w:t>%</w:t>
      </w:r>
      <w:r w:rsidRPr="00443354">
        <w:t>；交易金额达到</w:t>
      </w:r>
      <w:r w:rsidR="006B7443" w:rsidRPr="00443354">
        <w:rPr>
          <w:rFonts w:hint="eastAsia"/>
        </w:rPr>
        <w:t>21810</w:t>
      </w:r>
      <w:r w:rsidRPr="00443354">
        <w:t>亿元人民币，与</w:t>
      </w:r>
      <w:r w:rsidRPr="00443354">
        <w:t>2013</w:t>
      </w:r>
      <w:r w:rsidRPr="00443354">
        <w:t>年相比增长</w:t>
      </w:r>
      <w:r w:rsidR="006B7443" w:rsidRPr="00443354">
        <w:rPr>
          <w:rFonts w:hint="eastAsia"/>
        </w:rPr>
        <w:t>120.88</w:t>
      </w:r>
      <w:r w:rsidRPr="00443354">
        <w:t>%</w:t>
      </w:r>
      <w:r w:rsidR="00C73C23" w:rsidRPr="00443354">
        <w:rPr>
          <w:rFonts w:hint="eastAsia"/>
        </w:rPr>
        <w:t>，这背后显然离不开国家战略、产业结构调整升级的宏观大势，同时也与相关产业和并购重组的政策支持密切相关。</w:t>
      </w:r>
      <w:r w:rsidRPr="00443354">
        <w:t>（见图</w:t>
      </w:r>
      <w:r w:rsidRPr="00443354">
        <w:t>1</w:t>
      </w:r>
      <w:r w:rsidRPr="00443354">
        <w:t>）。</w:t>
      </w:r>
    </w:p>
    <w:p w14:paraId="5C8A7848" w14:textId="77777777" w:rsidR="00443354" w:rsidRDefault="00443354" w:rsidP="00BD446A">
      <w:pPr>
        <w:widowControl/>
        <w:ind w:firstLine="425"/>
        <w:rPr>
          <w:rFonts w:ascii="Simsun" w:eastAsia="宋体" w:hAnsi="Simsun" w:cs="宋体" w:hint="eastAsia"/>
          <w:color w:val="333333"/>
          <w:kern w:val="0"/>
          <w:szCs w:val="21"/>
        </w:rPr>
      </w:pPr>
      <w:r>
        <w:rPr>
          <w:rFonts w:ascii="Times New Roman" w:hAnsi="Times New Roman"/>
          <w:noProof/>
          <w:sz w:val="24"/>
          <w:szCs w:val="24"/>
        </w:rPr>
        <w:drawing>
          <wp:inline distT="0" distB="0" distL="0" distR="0" wp14:anchorId="75C5D161" wp14:editId="40FE6F2C">
            <wp:extent cx="4680000" cy="2463464"/>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000" cy="2463464"/>
                    </a:xfrm>
                    <a:prstGeom prst="rect">
                      <a:avLst/>
                    </a:prstGeom>
                    <a:noFill/>
                  </pic:spPr>
                </pic:pic>
              </a:graphicData>
            </a:graphic>
          </wp:inline>
        </w:drawing>
      </w:r>
    </w:p>
    <w:p w14:paraId="473552C6" w14:textId="77777777" w:rsidR="00326B3F" w:rsidRPr="00443354" w:rsidRDefault="00326B3F" w:rsidP="00191C78">
      <w:pPr>
        <w:widowControl/>
        <w:ind w:firstLine="482"/>
        <w:jc w:val="center"/>
        <w:rPr>
          <w:rFonts w:ascii="Times New Roman" w:hAnsi="Times New Roman"/>
          <w:color w:val="000000"/>
          <w:szCs w:val="21"/>
        </w:rPr>
      </w:pPr>
      <w:r>
        <w:rPr>
          <w:rFonts w:hint="eastAsia"/>
          <w:color w:val="000000"/>
          <w:szCs w:val="21"/>
        </w:rPr>
        <w:t>图</w:t>
      </w:r>
      <w:r>
        <w:rPr>
          <w:rFonts w:ascii="Times New Roman" w:hAnsi="Times New Roman"/>
          <w:color w:val="000000"/>
          <w:szCs w:val="21"/>
        </w:rPr>
        <w:t xml:space="preserve">1 </w:t>
      </w:r>
      <w:r>
        <w:rPr>
          <w:color w:val="000000"/>
          <w:szCs w:val="21"/>
        </w:rPr>
        <w:t xml:space="preserve"> </w:t>
      </w:r>
      <w:r>
        <w:rPr>
          <w:rFonts w:ascii="Times New Roman" w:hAnsi="Times New Roman"/>
          <w:color w:val="000000"/>
          <w:szCs w:val="21"/>
        </w:rPr>
        <w:t>2002-2015</w:t>
      </w:r>
      <w:r w:rsidRPr="00DF55DF">
        <w:rPr>
          <w:rFonts w:ascii="Times New Roman" w:hAnsi="Times New Roman" w:hint="eastAsia"/>
          <w:color w:val="000000"/>
          <w:szCs w:val="21"/>
        </w:rPr>
        <w:t>年上市公司</w:t>
      </w:r>
      <w:r w:rsidR="004A2FE2">
        <w:rPr>
          <w:rFonts w:ascii="Times New Roman" w:hAnsi="Times New Roman" w:hint="eastAsia"/>
          <w:color w:val="000000"/>
          <w:szCs w:val="21"/>
        </w:rPr>
        <w:t>并购</w:t>
      </w:r>
      <w:r w:rsidRPr="00DF55DF">
        <w:rPr>
          <w:rFonts w:ascii="Times New Roman" w:hAnsi="Times New Roman" w:hint="eastAsia"/>
          <w:color w:val="000000"/>
          <w:szCs w:val="21"/>
        </w:rPr>
        <w:t>总体规模</w:t>
      </w:r>
    </w:p>
    <w:p w14:paraId="63B54FFE" w14:textId="77777777" w:rsidR="00326B3F" w:rsidRPr="004A2FE2" w:rsidRDefault="00326B3F" w:rsidP="00282E37">
      <w:pPr>
        <w:spacing w:afterLines="50" w:after="156"/>
        <w:rPr>
          <w:rFonts w:ascii="Times New Roman" w:hAnsi="Times New Roman"/>
          <w:color w:val="000000"/>
          <w:szCs w:val="18"/>
        </w:rPr>
      </w:pPr>
      <w:r w:rsidRPr="00DF55DF">
        <w:rPr>
          <w:rFonts w:ascii="Times New Roman" w:hAnsi="Times New Roman" w:hint="eastAsia"/>
          <w:color w:val="000000"/>
          <w:szCs w:val="18"/>
        </w:rPr>
        <w:t>资料来源：北京交通大学中国企业兼并重组研究中心</w:t>
      </w:r>
      <w:proofErr w:type="spellStart"/>
      <w:r w:rsidRPr="00DF55DF">
        <w:rPr>
          <w:rFonts w:ascii="Times New Roman" w:hAnsi="Times New Roman"/>
          <w:color w:val="000000"/>
          <w:szCs w:val="18"/>
        </w:rPr>
        <w:t>ChinaMerger</w:t>
      </w:r>
      <w:proofErr w:type="spellEnd"/>
      <w:r w:rsidRPr="00DF55DF">
        <w:rPr>
          <w:rFonts w:ascii="Times New Roman" w:hAnsi="Times New Roman" w:hint="eastAsia"/>
          <w:color w:val="000000"/>
          <w:szCs w:val="18"/>
        </w:rPr>
        <w:t>数据库</w:t>
      </w:r>
    </w:p>
    <w:p w14:paraId="3DCAA9DA" w14:textId="6037A6DC" w:rsidR="00B30833" w:rsidRPr="00443354" w:rsidRDefault="00B30833" w:rsidP="008D2CF6">
      <w:pPr>
        <w:widowControl/>
        <w:spacing w:after="210"/>
        <w:ind w:firstLine="426"/>
        <w:jc w:val="left"/>
      </w:pPr>
      <w:r w:rsidRPr="00443354">
        <w:t>从各季度的并购情况来看，</w:t>
      </w:r>
      <w:r w:rsidR="001B62D8" w:rsidRPr="00443354">
        <w:rPr>
          <w:rFonts w:hint="eastAsia"/>
        </w:rPr>
        <w:t>2015</w:t>
      </w:r>
      <w:r w:rsidR="001B62D8" w:rsidRPr="00443354">
        <w:rPr>
          <w:rFonts w:hint="eastAsia"/>
        </w:rPr>
        <w:t>年</w:t>
      </w:r>
      <w:r w:rsidR="007F4DEA">
        <w:rPr>
          <w:rFonts w:hint="eastAsia"/>
        </w:rPr>
        <w:t>各季</w:t>
      </w:r>
      <w:r w:rsidR="004A2FE2">
        <w:rPr>
          <w:rFonts w:hint="eastAsia"/>
        </w:rPr>
        <w:t>并购</w:t>
      </w:r>
      <w:r w:rsidR="001B62D8" w:rsidRPr="00443354">
        <w:rPr>
          <w:rFonts w:hint="eastAsia"/>
        </w:rPr>
        <w:t>交易数量和交易金额</w:t>
      </w:r>
      <w:r w:rsidR="007F4DEA">
        <w:rPr>
          <w:rFonts w:hint="eastAsia"/>
        </w:rPr>
        <w:t>与</w:t>
      </w:r>
      <w:r w:rsidR="001B62D8" w:rsidRPr="00443354">
        <w:rPr>
          <w:rFonts w:hint="eastAsia"/>
        </w:rPr>
        <w:t>2014</w:t>
      </w:r>
      <w:r w:rsidR="001B62D8" w:rsidRPr="00443354">
        <w:rPr>
          <w:rFonts w:hint="eastAsia"/>
        </w:rPr>
        <w:t>年</w:t>
      </w:r>
      <w:r w:rsidR="007F4DEA">
        <w:rPr>
          <w:rFonts w:hint="eastAsia"/>
        </w:rPr>
        <w:t>同期</w:t>
      </w:r>
      <w:r w:rsidR="001B62D8" w:rsidRPr="00443354">
        <w:rPr>
          <w:rFonts w:hint="eastAsia"/>
        </w:rPr>
        <w:t>相比均有所增长</w:t>
      </w:r>
      <w:r w:rsidRPr="00443354">
        <w:t>，</w:t>
      </w:r>
      <w:r w:rsidR="001B62D8" w:rsidRPr="00443354">
        <w:t>其中后三个季度的增幅较大</w:t>
      </w:r>
      <w:r w:rsidR="001B62D8" w:rsidRPr="00443354">
        <w:rPr>
          <w:rFonts w:hint="eastAsia"/>
        </w:rPr>
        <w:t>，</w:t>
      </w:r>
      <w:r w:rsidR="001B62D8" w:rsidRPr="00443354">
        <w:t>且整体呈现随季度递增的趋势</w:t>
      </w:r>
      <w:r w:rsidR="007F4DEA" w:rsidRPr="00443354">
        <w:rPr>
          <w:rFonts w:hint="eastAsia"/>
        </w:rPr>
        <w:t>（见图</w:t>
      </w:r>
      <w:r w:rsidR="007F4DEA" w:rsidRPr="00443354">
        <w:rPr>
          <w:rFonts w:hint="eastAsia"/>
        </w:rPr>
        <w:t>2</w:t>
      </w:r>
      <w:r w:rsidR="007F4DEA" w:rsidRPr="00443354">
        <w:rPr>
          <w:rFonts w:hint="eastAsia"/>
        </w:rPr>
        <w:t>）</w:t>
      </w:r>
      <w:r w:rsidR="001B62D8" w:rsidRPr="00443354">
        <w:rPr>
          <w:rFonts w:hint="eastAsia"/>
        </w:rPr>
        <w:t>。</w:t>
      </w:r>
      <w:r w:rsidR="001B62D8" w:rsidRPr="00443354">
        <w:t>201</w:t>
      </w:r>
      <w:r w:rsidR="001B62D8" w:rsidRPr="00443354">
        <w:rPr>
          <w:rFonts w:hint="eastAsia"/>
        </w:rPr>
        <w:t>5</w:t>
      </w:r>
      <w:r w:rsidR="001B62D8" w:rsidRPr="00443354">
        <w:t>年</w:t>
      </w:r>
      <w:r w:rsidR="001B62D8" w:rsidRPr="00443354">
        <w:lastRenderedPageBreak/>
        <w:t>第三</w:t>
      </w:r>
      <w:r w:rsidRPr="00443354">
        <w:t>季度交易金额下跌后，又重拾升势，使得过去</w:t>
      </w:r>
      <w:r w:rsidRPr="00443354">
        <w:t>8</w:t>
      </w:r>
      <w:r w:rsidRPr="00443354">
        <w:t>个季度总体上均保持上升态势，显示并购市场增长的基础比较扎实。进一步分析各月份的并购情况可以发现，</w:t>
      </w:r>
      <w:r w:rsidR="001B62D8" w:rsidRPr="00443354">
        <w:t>12</w:t>
      </w:r>
      <w:r w:rsidR="001B62D8" w:rsidRPr="00443354">
        <w:t>月份交易额</w:t>
      </w:r>
      <w:r w:rsidR="006C7F53" w:rsidRPr="00443354">
        <w:rPr>
          <w:rFonts w:hint="eastAsia"/>
        </w:rPr>
        <w:t>44</w:t>
      </w:r>
      <w:r w:rsidR="001B62D8" w:rsidRPr="00443354">
        <w:rPr>
          <w:rFonts w:hint="eastAsia"/>
        </w:rPr>
        <w:t>00</w:t>
      </w:r>
      <w:r w:rsidR="006C7F53" w:rsidRPr="00443354">
        <w:rPr>
          <w:rFonts w:hint="eastAsia"/>
        </w:rPr>
        <w:t>多</w:t>
      </w:r>
      <w:r w:rsidR="001B62D8" w:rsidRPr="00443354">
        <w:rPr>
          <w:rFonts w:hint="eastAsia"/>
        </w:rPr>
        <w:t>亿</w:t>
      </w:r>
      <w:r w:rsidR="001B62D8" w:rsidRPr="00443354">
        <w:t>，</w:t>
      </w:r>
      <w:r w:rsidR="006C7F53" w:rsidRPr="00443354">
        <w:t>占全年交易总额的</w:t>
      </w:r>
      <w:r w:rsidR="006C7F53" w:rsidRPr="00443354">
        <w:t>20.42%</w:t>
      </w:r>
      <w:r w:rsidR="006C7F53" w:rsidRPr="00443354">
        <w:rPr>
          <w:rFonts w:hint="eastAsia"/>
        </w:rPr>
        <w:t>，</w:t>
      </w:r>
      <w:r w:rsidR="007F4DEA">
        <w:rPr>
          <w:rFonts w:hint="eastAsia"/>
        </w:rPr>
        <w:t>显示了持续多年的年底并购小高峰的惯例</w:t>
      </w:r>
      <w:r w:rsidR="008D2CF6">
        <w:rPr>
          <w:rFonts w:hint="eastAsia"/>
        </w:rPr>
        <w:t>（见图</w:t>
      </w:r>
      <w:r w:rsidR="008D2CF6">
        <w:rPr>
          <w:rFonts w:hint="eastAsia"/>
        </w:rPr>
        <w:t>3</w:t>
      </w:r>
      <w:r w:rsidR="008D2CF6">
        <w:rPr>
          <w:rFonts w:hint="eastAsia"/>
        </w:rPr>
        <w:t>）</w:t>
      </w:r>
      <w:r w:rsidR="007F4DEA">
        <w:rPr>
          <w:rFonts w:hint="eastAsia"/>
        </w:rPr>
        <w:t>。</w:t>
      </w:r>
    </w:p>
    <w:p w14:paraId="22E2DD39" w14:textId="77777777" w:rsidR="006C7F53" w:rsidRPr="00191C78" w:rsidRDefault="006B7443" w:rsidP="00BD446A">
      <w:pPr>
        <w:widowControl/>
        <w:ind w:firstLine="482"/>
        <w:rPr>
          <w:color w:val="000000"/>
          <w:szCs w:val="21"/>
        </w:rPr>
      </w:pPr>
      <w:r w:rsidRPr="00191C78">
        <w:rPr>
          <w:noProof/>
          <w:color w:val="000000"/>
          <w:szCs w:val="21"/>
        </w:rPr>
        <w:drawing>
          <wp:inline distT="0" distB="0" distL="0" distR="0" wp14:anchorId="07D572F4" wp14:editId="22A7ABA5">
            <wp:extent cx="4680000" cy="2228705"/>
            <wp:effectExtent l="0" t="0" r="635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0000" cy="2228705"/>
                    </a:xfrm>
                    <a:prstGeom prst="rect">
                      <a:avLst/>
                    </a:prstGeom>
                    <a:noFill/>
                  </pic:spPr>
                </pic:pic>
              </a:graphicData>
            </a:graphic>
          </wp:inline>
        </w:drawing>
      </w:r>
    </w:p>
    <w:p w14:paraId="744DA30E" w14:textId="77777777" w:rsidR="004A2FE2" w:rsidRPr="008A645B" w:rsidRDefault="00326B3F" w:rsidP="00191C78">
      <w:pPr>
        <w:widowControl/>
        <w:ind w:firstLine="482"/>
        <w:jc w:val="center"/>
        <w:rPr>
          <w:color w:val="000000"/>
          <w:szCs w:val="21"/>
        </w:rPr>
      </w:pPr>
      <w:r>
        <w:rPr>
          <w:rFonts w:hint="eastAsia"/>
          <w:color w:val="000000"/>
          <w:szCs w:val="21"/>
        </w:rPr>
        <w:t>图</w:t>
      </w:r>
      <w:r w:rsidRPr="008A645B">
        <w:rPr>
          <w:color w:val="000000"/>
          <w:szCs w:val="21"/>
        </w:rPr>
        <w:t xml:space="preserve">2 </w:t>
      </w:r>
      <w:r>
        <w:rPr>
          <w:color w:val="000000"/>
          <w:szCs w:val="21"/>
        </w:rPr>
        <w:t xml:space="preserve"> </w:t>
      </w:r>
      <w:r w:rsidRPr="008A645B">
        <w:rPr>
          <w:color w:val="000000"/>
          <w:szCs w:val="21"/>
        </w:rPr>
        <w:t>2014-2015</w:t>
      </w:r>
      <w:r w:rsidRPr="008A645B">
        <w:rPr>
          <w:rFonts w:hint="eastAsia"/>
          <w:color w:val="000000"/>
          <w:szCs w:val="21"/>
        </w:rPr>
        <w:t>年上市公司</w:t>
      </w:r>
      <w:r w:rsidR="004A2FE2" w:rsidRPr="008A645B">
        <w:rPr>
          <w:rFonts w:hint="eastAsia"/>
          <w:color w:val="000000"/>
          <w:szCs w:val="21"/>
        </w:rPr>
        <w:t>并购</w:t>
      </w:r>
      <w:r w:rsidRPr="008A645B">
        <w:rPr>
          <w:rFonts w:hint="eastAsia"/>
          <w:color w:val="000000"/>
          <w:szCs w:val="21"/>
        </w:rPr>
        <w:t>季度统计</w:t>
      </w:r>
    </w:p>
    <w:p w14:paraId="05169737" w14:textId="07A9EC73" w:rsidR="00BD446A" w:rsidRDefault="00BD446A" w:rsidP="008D2CF6">
      <w:pPr>
        <w:spacing w:afterLines="50" w:after="156"/>
        <w:jc w:val="center"/>
        <w:rPr>
          <w:rFonts w:ascii="Times New Roman" w:hAnsi="Times New Roman"/>
          <w:color w:val="000000"/>
          <w:szCs w:val="18"/>
        </w:rPr>
      </w:pPr>
      <w:r>
        <w:rPr>
          <w:rFonts w:ascii="Times New Roman" w:hAnsi="Times New Roman"/>
          <w:noProof/>
          <w:color w:val="000000"/>
          <w:sz w:val="24"/>
          <w:szCs w:val="24"/>
        </w:rPr>
        <w:drawing>
          <wp:inline distT="0" distB="0" distL="0" distR="0" wp14:anchorId="1CE09B12" wp14:editId="52A6654C">
            <wp:extent cx="4617720" cy="248412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9023" cy="2484821"/>
                    </a:xfrm>
                    <a:prstGeom prst="rect">
                      <a:avLst/>
                    </a:prstGeom>
                    <a:noFill/>
                  </pic:spPr>
                </pic:pic>
              </a:graphicData>
            </a:graphic>
          </wp:inline>
        </w:drawing>
      </w:r>
    </w:p>
    <w:p w14:paraId="425E0FA0" w14:textId="443C066C" w:rsidR="008D2CF6" w:rsidRPr="008D2CF6" w:rsidRDefault="008D2CF6" w:rsidP="008D2CF6">
      <w:pPr>
        <w:widowControl/>
        <w:ind w:firstLine="482"/>
        <w:jc w:val="center"/>
        <w:rPr>
          <w:color w:val="000000"/>
          <w:szCs w:val="21"/>
        </w:rPr>
      </w:pPr>
      <w:r w:rsidRPr="008D2CF6">
        <w:rPr>
          <w:rFonts w:hint="eastAsia"/>
          <w:color w:val="000000"/>
          <w:szCs w:val="21"/>
        </w:rPr>
        <w:t>图</w:t>
      </w:r>
      <w:r w:rsidRPr="008D2CF6">
        <w:rPr>
          <w:rFonts w:hint="eastAsia"/>
          <w:color w:val="000000"/>
          <w:szCs w:val="21"/>
        </w:rPr>
        <w:t xml:space="preserve">3  </w:t>
      </w:r>
      <w:r w:rsidRPr="008D2CF6">
        <w:rPr>
          <w:color w:val="000000"/>
          <w:szCs w:val="21"/>
        </w:rPr>
        <w:t>2015</w:t>
      </w:r>
      <w:r w:rsidRPr="008D2CF6">
        <w:rPr>
          <w:rFonts w:hint="eastAsia"/>
          <w:color w:val="000000"/>
          <w:szCs w:val="21"/>
        </w:rPr>
        <w:t>年上市公司</w:t>
      </w:r>
      <w:r>
        <w:rPr>
          <w:rFonts w:hint="eastAsia"/>
          <w:color w:val="000000"/>
          <w:szCs w:val="21"/>
        </w:rPr>
        <w:t>并购</w:t>
      </w:r>
      <w:r w:rsidRPr="008D2CF6">
        <w:rPr>
          <w:rFonts w:hint="eastAsia"/>
          <w:color w:val="000000"/>
          <w:szCs w:val="21"/>
        </w:rPr>
        <w:t>月度统计</w:t>
      </w:r>
    </w:p>
    <w:p w14:paraId="52093078" w14:textId="33E7F4BC" w:rsidR="008D2CF6" w:rsidRPr="008D2CF6" w:rsidRDefault="008D2CF6" w:rsidP="008D2CF6">
      <w:pPr>
        <w:spacing w:afterLines="50" w:after="156"/>
        <w:rPr>
          <w:rFonts w:ascii="Times New Roman" w:hAnsi="Times New Roman"/>
          <w:color w:val="000000"/>
          <w:szCs w:val="18"/>
        </w:rPr>
      </w:pPr>
      <w:r w:rsidRPr="00191C78">
        <w:rPr>
          <w:rFonts w:ascii="Times New Roman" w:hAnsi="Times New Roman" w:hint="eastAsia"/>
          <w:color w:val="000000"/>
          <w:szCs w:val="18"/>
        </w:rPr>
        <w:t>资料来源：北京交通大学中国企业兼并重组研究中心</w:t>
      </w:r>
      <w:proofErr w:type="spellStart"/>
      <w:r w:rsidRPr="00191C78">
        <w:rPr>
          <w:rFonts w:ascii="Times New Roman" w:hAnsi="Times New Roman"/>
          <w:color w:val="000000"/>
          <w:szCs w:val="18"/>
        </w:rPr>
        <w:t>ChinaMerger</w:t>
      </w:r>
      <w:proofErr w:type="spellEnd"/>
      <w:r w:rsidRPr="00191C78">
        <w:rPr>
          <w:rFonts w:ascii="Times New Roman" w:hAnsi="Times New Roman" w:hint="eastAsia"/>
          <w:color w:val="000000"/>
          <w:szCs w:val="18"/>
        </w:rPr>
        <w:t>数据库</w:t>
      </w:r>
    </w:p>
    <w:p w14:paraId="68E44340" w14:textId="77777777" w:rsidR="00B30833" w:rsidRPr="00543BA5" w:rsidRDefault="00B30833" w:rsidP="00B30833">
      <w:pPr>
        <w:widowControl/>
        <w:spacing w:line="0" w:lineRule="auto"/>
        <w:jc w:val="left"/>
        <w:rPr>
          <w:rFonts w:ascii="Simsun" w:eastAsia="宋体" w:hAnsi="Simsun" w:cs="宋体" w:hint="eastAsia"/>
          <w:color w:val="333333"/>
          <w:kern w:val="0"/>
          <w:szCs w:val="21"/>
        </w:rPr>
      </w:pPr>
    </w:p>
    <w:p w14:paraId="17F4E2B1" w14:textId="77777777" w:rsidR="00B30833" w:rsidRPr="00543BA5" w:rsidRDefault="007123DD" w:rsidP="00A2006A">
      <w:pPr>
        <w:pStyle w:val="2"/>
      </w:pPr>
      <w:r>
        <w:rPr>
          <w:rFonts w:hint="eastAsia"/>
        </w:rPr>
        <w:t>2.</w:t>
      </w:r>
      <w:r w:rsidR="00B30833" w:rsidRPr="00543BA5">
        <w:t>制造业并购最为活跃</w:t>
      </w:r>
    </w:p>
    <w:p w14:paraId="28A95E1E" w14:textId="3D906393" w:rsidR="00B30833" w:rsidRPr="00443354" w:rsidRDefault="00B30833" w:rsidP="006E5E84">
      <w:pPr>
        <w:widowControl/>
        <w:spacing w:after="210"/>
        <w:ind w:firstLine="426"/>
        <w:jc w:val="left"/>
      </w:pPr>
      <w:r w:rsidRPr="00443354">
        <w:t>按照交易数量统计，</w:t>
      </w:r>
      <w:r w:rsidR="006C7F53" w:rsidRPr="00443354">
        <w:t>201</w:t>
      </w:r>
      <w:r w:rsidR="006C7F53" w:rsidRPr="00443354">
        <w:rPr>
          <w:rFonts w:hint="eastAsia"/>
        </w:rPr>
        <w:t>5</w:t>
      </w:r>
      <w:r w:rsidRPr="00443354">
        <w:t>年</w:t>
      </w:r>
      <w:r w:rsidR="004A2FE2">
        <w:t>并购</w:t>
      </w:r>
      <w:r w:rsidRPr="00443354">
        <w:t>交易数量排名前六的行业分别是制造业，信息传输、软件和信息技术服务业，</w:t>
      </w:r>
      <w:r w:rsidR="006C7F53" w:rsidRPr="00443354">
        <w:t>金融业，</w:t>
      </w:r>
      <w:r w:rsidRPr="00443354">
        <w:t>房地产业，</w:t>
      </w:r>
      <w:r w:rsidR="006C7F53" w:rsidRPr="00443354">
        <w:rPr>
          <w:rFonts w:hint="eastAsia"/>
        </w:rPr>
        <w:t>科学研究和技术服务业</w:t>
      </w:r>
      <w:r w:rsidRPr="00443354">
        <w:t>，</w:t>
      </w:r>
      <w:r w:rsidR="006C7F53" w:rsidRPr="00443354">
        <w:rPr>
          <w:rFonts w:hint="eastAsia"/>
        </w:rPr>
        <w:t>租赁和商务服务业</w:t>
      </w:r>
      <w:r w:rsidRPr="00443354">
        <w:t>。</w:t>
      </w:r>
      <w:r w:rsidR="00D46CA4" w:rsidRPr="00443354">
        <w:rPr>
          <w:rFonts w:hint="eastAsia"/>
        </w:rPr>
        <w:t>其中制造业</w:t>
      </w:r>
      <w:r w:rsidR="004A2FE2">
        <w:rPr>
          <w:rFonts w:hint="eastAsia"/>
        </w:rPr>
        <w:t>并购</w:t>
      </w:r>
      <w:r w:rsidR="00D46CA4" w:rsidRPr="00443354">
        <w:rPr>
          <w:rFonts w:hint="eastAsia"/>
        </w:rPr>
        <w:t>交易数量占交易总数的</w:t>
      </w:r>
      <w:r w:rsidR="00D46CA4" w:rsidRPr="00443354">
        <w:rPr>
          <w:rFonts w:hint="eastAsia"/>
        </w:rPr>
        <w:t>45.42%</w:t>
      </w:r>
      <w:r w:rsidR="00D46CA4" w:rsidRPr="00443354">
        <w:rPr>
          <w:rFonts w:hint="eastAsia"/>
        </w:rPr>
        <w:t>，信息传输、软件和信息技术服务业占交易总数的</w:t>
      </w:r>
      <w:r w:rsidR="00D46CA4" w:rsidRPr="00443354">
        <w:rPr>
          <w:rFonts w:hint="eastAsia"/>
        </w:rPr>
        <w:t>14.15%</w:t>
      </w:r>
      <w:r w:rsidR="00D46CA4" w:rsidRPr="00443354">
        <w:rPr>
          <w:rFonts w:hint="eastAsia"/>
        </w:rPr>
        <w:t>，金融业占交易总数的</w:t>
      </w:r>
      <w:r w:rsidR="00D46CA4" w:rsidRPr="00443354">
        <w:rPr>
          <w:rFonts w:hint="eastAsia"/>
        </w:rPr>
        <w:t>6.72%</w:t>
      </w:r>
      <w:r w:rsidR="00D46CA4" w:rsidRPr="00443354">
        <w:rPr>
          <w:rFonts w:hint="eastAsia"/>
        </w:rPr>
        <w:t>，房地产业占交易总数的</w:t>
      </w:r>
      <w:r w:rsidR="00D46CA4" w:rsidRPr="00443354">
        <w:rPr>
          <w:rFonts w:hint="eastAsia"/>
        </w:rPr>
        <w:t>4.23%</w:t>
      </w:r>
      <w:r w:rsidR="00D46CA4" w:rsidRPr="00443354">
        <w:rPr>
          <w:rFonts w:hint="eastAsia"/>
        </w:rPr>
        <w:t>，科学研究和技术服务业占交易总数的</w:t>
      </w:r>
      <w:r w:rsidR="00D46CA4" w:rsidRPr="00443354">
        <w:rPr>
          <w:rFonts w:hint="eastAsia"/>
        </w:rPr>
        <w:t>3.74%</w:t>
      </w:r>
      <w:r w:rsidR="00D46CA4" w:rsidRPr="00443354">
        <w:rPr>
          <w:rFonts w:hint="eastAsia"/>
        </w:rPr>
        <w:t>，租赁和商贸服务业占交易总数的</w:t>
      </w:r>
      <w:r w:rsidR="00D46CA4" w:rsidRPr="00443354">
        <w:rPr>
          <w:rFonts w:hint="eastAsia"/>
        </w:rPr>
        <w:t>2.88%</w:t>
      </w:r>
      <w:r w:rsidR="00D46CA4" w:rsidRPr="00443354">
        <w:rPr>
          <w:rFonts w:hint="eastAsia"/>
        </w:rPr>
        <w:t>。</w:t>
      </w:r>
      <w:r w:rsidRPr="00443354">
        <w:t>（见图</w:t>
      </w:r>
      <w:r w:rsidR="008D2CF6">
        <w:rPr>
          <w:rFonts w:hint="eastAsia"/>
        </w:rPr>
        <w:t>4</w:t>
      </w:r>
      <w:r w:rsidRPr="00443354">
        <w:t>）。</w:t>
      </w:r>
    </w:p>
    <w:p w14:paraId="048C791F" w14:textId="77777777" w:rsidR="00B30833" w:rsidRPr="00443354" w:rsidRDefault="00A31CC3" w:rsidP="006E5E84">
      <w:pPr>
        <w:widowControl/>
        <w:spacing w:after="210"/>
        <w:ind w:firstLine="426"/>
        <w:jc w:val="left"/>
      </w:pPr>
      <w:r w:rsidRPr="00443354">
        <w:rPr>
          <w:rFonts w:hint="eastAsia"/>
        </w:rPr>
        <w:t>按照交易数量统计，</w:t>
      </w:r>
      <w:r w:rsidR="00B30833" w:rsidRPr="00443354">
        <w:t>对制造业的二级行业分类统计发现，排名前三的行业分别是计算机通信和其他电子设备制造业、</w:t>
      </w:r>
      <w:r w:rsidR="00D46CA4" w:rsidRPr="00443354">
        <w:rPr>
          <w:rFonts w:hint="eastAsia"/>
        </w:rPr>
        <w:t>专用设备制造业、</w:t>
      </w:r>
      <w:r w:rsidR="00B30833" w:rsidRPr="00443354">
        <w:t>医药制造业。</w:t>
      </w:r>
      <w:r w:rsidR="00D46CA4" w:rsidRPr="00443354">
        <w:rPr>
          <w:rFonts w:hint="eastAsia"/>
        </w:rPr>
        <w:t>其中计算机、通信和其他电子</w:t>
      </w:r>
      <w:r w:rsidR="00D46CA4" w:rsidRPr="00443354">
        <w:rPr>
          <w:rFonts w:hint="eastAsia"/>
        </w:rPr>
        <w:lastRenderedPageBreak/>
        <w:t>设备制造业的交易数量占制造业总体交易数量的</w:t>
      </w:r>
      <w:r w:rsidR="00D46CA4" w:rsidRPr="00443354">
        <w:rPr>
          <w:rFonts w:hint="eastAsia"/>
        </w:rPr>
        <w:t>18.46%</w:t>
      </w:r>
      <w:r w:rsidR="00D46CA4" w:rsidRPr="00443354">
        <w:rPr>
          <w:rFonts w:hint="eastAsia"/>
        </w:rPr>
        <w:t>，专用设备制造业的交易数量占制造业总体交易数量的</w:t>
      </w:r>
      <w:r w:rsidR="00D46CA4" w:rsidRPr="00443354">
        <w:rPr>
          <w:rFonts w:hint="eastAsia"/>
        </w:rPr>
        <w:t>11.77%</w:t>
      </w:r>
      <w:r w:rsidR="00D46CA4" w:rsidRPr="00443354">
        <w:rPr>
          <w:rFonts w:hint="eastAsia"/>
        </w:rPr>
        <w:t>，医药制造业的交易数量占制造业总体交易数量的</w:t>
      </w:r>
      <w:r w:rsidR="00D46CA4" w:rsidRPr="00443354">
        <w:rPr>
          <w:rFonts w:hint="eastAsia"/>
        </w:rPr>
        <w:t>11.36%</w:t>
      </w:r>
      <w:r w:rsidR="00D46CA4" w:rsidRPr="00443354">
        <w:rPr>
          <w:rFonts w:hint="eastAsia"/>
        </w:rPr>
        <w:t>。</w:t>
      </w:r>
    </w:p>
    <w:p w14:paraId="1C0F5409" w14:textId="77777777" w:rsidR="00A31CC3" w:rsidRPr="00443354" w:rsidRDefault="00A31CC3" w:rsidP="006E5E84">
      <w:pPr>
        <w:widowControl/>
        <w:spacing w:after="210"/>
        <w:ind w:firstLine="426"/>
        <w:jc w:val="left"/>
      </w:pPr>
      <w:r w:rsidRPr="00443354">
        <w:rPr>
          <w:rFonts w:hint="eastAsia"/>
        </w:rPr>
        <w:t>按照交易金额统计，医药制造业</w:t>
      </w:r>
      <w:r w:rsidR="004A2FE2">
        <w:rPr>
          <w:rFonts w:hint="eastAsia"/>
        </w:rPr>
        <w:t>并购</w:t>
      </w:r>
      <w:r w:rsidRPr="00443354">
        <w:rPr>
          <w:rFonts w:hint="eastAsia"/>
        </w:rPr>
        <w:t>交易额达到</w:t>
      </w:r>
      <w:r w:rsidRPr="00443354">
        <w:rPr>
          <w:rFonts w:hint="eastAsia"/>
        </w:rPr>
        <w:t>1109.7</w:t>
      </w:r>
      <w:r w:rsidRPr="00443354">
        <w:rPr>
          <w:rFonts w:hint="eastAsia"/>
        </w:rPr>
        <w:t>亿元，占总体制造业交易金额的</w:t>
      </w:r>
      <w:r w:rsidRPr="00443354">
        <w:rPr>
          <w:rFonts w:hint="eastAsia"/>
        </w:rPr>
        <w:t>14.66%</w:t>
      </w:r>
      <w:r w:rsidRPr="00443354">
        <w:rPr>
          <w:rFonts w:hint="eastAsia"/>
        </w:rPr>
        <w:t>，位居首位；其次第二位是计算机、通信和其他电子设备制造业，发生</w:t>
      </w:r>
      <w:proofErr w:type="gramStart"/>
      <w:r w:rsidRPr="00443354">
        <w:rPr>
          <w:rFonts w:hint="eastAsia"/>
        </w:rPr>
        <w:t>交易金</w:t>
      </w:r>
      <w:proofErr w:type="gramEnd"/>
      <w:r w:rsidRPr="00443354">
        <w:rPr>
          <w:rFonts w:hint="eastAsia"/>
        </w:rPr>
        <w:t>1104.72</w:t>
      </w:r>
      <w:r w:rsidRPr="00443354">
        <w:rPr>
          <w:rFonts w:hint="eastAsia"/>
        </w:rPr>
        <w:t>亿元，占</w:t>
      </w:r>
      <w:r w:rsidRPr="00443354">
        <w:rPr>
          <w:rFonts w:hint="eastAsia"/>
        </w:rPr>
        <w:t>14.59%</w:t>
      </w:r>
      <w:r w:rsidRPr="00443354">
        <w:rPr>
          <w:rFonts w:hint="eastAsia"/>
        </w:rPr>
        <w:t>；排名第三的是化学原料和化学制品制造业，发生交易金额</w:t>
      </w:r>
      <w:r w:rsidRPr="00443354">
        <w:rPr>
          <w:rFonts w:hint="eastAsia"/>
        </w:rPr>
        <w:t>710.7</w:t>
      </w:r>
      <w:r w:rsidRPr="00443354">
        <w:rPr>
          <w:rFonts w:hint="eastAsia"/>
        </w:rPr>
        <w:t>亿元，占</w:t>
      </w:r>
      <w:r w:rsidRPr="00443354">
        <w:rPr>
          <w:rFonts w:hint="eastAsia"/>
        </w:rPr>
        <w:t>9.39%</w:t>
      </w:r>
      <w:r w:rsidRPr="00443354">
        <w:rPr>
          <w:rFonts w:hint="eastAsia"/>
        </w:rPr>
        <w:t>；此外，电气机械及器材制造业和非金属矿物制品业交易规模也较大，交易金额分别为</w:t>
      </w:r>
      <w:r w:rsidRPr="00443354">
        <w:rPr>
          <w:rFonts w:hint="eastAsia"/>
        </w:rPr>
        <w:t>690.98</w:t>
      </w:r>
      <w:r w:rsidRPr="00443354">
        <w:rPr>
          <w:rFonts w:hint="eastAsia"/>
        </w:rPr>
        <w:t>亿元和</w:t>
      </w:r>
      <w:r w:rsidRPr="00443354">
        <w:rPr>
          <w:rFonts w:hint="eastAsia"/>
        </w:rPr>
        <w:t>563.87</w:t>
      </w:r>
      <w:r w:rsidRPr="00443354">
        <w:rPr>
          <w:rFonts w:hint="eastAsia"/>
        </w:rPr>
        <w:t>亿元。</w:t>
      </w:r>
    </w:p>
    <w:p w14:paraId="13179279" w14:textId="2CAD86A5" w:rsidR="00B30833" w:rsidRPr="00443354" w:rsidRDefault="00B30833" w:rsidP="006E5E84">
      <w:pPr>
        <w:widowControl/>
        <w:spacing w:after="210"/>
        <w:ind w:firstLine="426"/>
        <w:jc w:val="left"/>
      </w:pPr>
      <w:r w:rsidRPr="00443354">
        <w:t>由此可见，与国民经济中的产业结构相似，并购市场中仍以制造业的并购为重，而制造业中计算机通信和其他电子设备制造业、</w:t>
      </w:r>
      <w:r w:rsidR="00A31CC3" w:rsidRPr="00443354">
        <w:rPr>
          <w:rFonts w:hint="eastAsia"/>
        </w:rPr>
        <w:t>专用</w:t>
      </w:r>
      <w:r w:rsidR="00A31CC3" w:rsidRPr="00443354">
        <w:t>设备制造业</w:t>
      </w:r>
      <w:r w:rsidR="00601D1F">
        <w:t>这两个细分行业在交易数量</w:t>
      </w:r>
      <w:r w:rsidRPr="00443354">
        <w:t>上领先，与产业政策环境密切相关。</w:t>
      </w:r>
    </w:p>
    <w:p w14:paraId="5B06B953" w14:textId="77777777" w:rsidR="006C7F53" w:rsidRPr="00191C78" w:rsidRDefault="006C7F53" w:rsidP="00BD446A">
      <w:pPr>
        <w:widowControl/>
        <w:ind w:firstLine="482"/>
        <w:rPr>
          <w:color w:val="000000"/>
          <w:szCs w:val="21"/>
        </w:rPr>
      </w:pPr>
      <w:r w:rsidRPr="00191C78">
        <w:rPr>
          <w:noProof/>
          <w:color w:val="000000"/>
          <w:szCs w:val="21"/>
        </w:rPr>
        <w:drawing>
          <wp:inline distT="0" distB="0" distL="0" distR="0" wp14:anchorId="1570AAD7" wp14:editId="1E56C20A">
            <wp:extent cx="4095771" cy="5400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71" cy="5400000"/>
                    </a:xfrm>
                    <a:prstGeom prst="rect">
                      <a:avLst/>
                    </a:prstGeom>
                    <a:noFill/>
                  </pic:spPr>
                </pic:pic>
              </a:graphicData>
            </a:graphic>
          </wp:inline>
        </w:drawing>
      </w:r>
    </w:p>
    <w:p w14:paraId="2C007BFF" w14:textId="6E916BBB" w:rsidR="00326B3F" w:rsidRPr="008A645B" w:rsidRDefault="00326B3F" w:rsidP="00191C78">
      <w:pPr>
        <w:widowControl/>
        <w:ind w:firstLine="482"/>
        <w:jc w:val="center"/>
        <w:rPr>
          <w:color w:val="000000"/>
          <w:szCs w:val="21"/>
        </w:rPr>
      </w:pPr>
      <w:r w:rsidRPr="008A645B">
        <w:rPr>
          <w:rFonts w:hint="eastAsia"/>
          <w:color w:val="000000"/>
          <w:szCs w:val="21"/>
        </w:rPr>
        <w:t>图</w:t>
      </w:r>
      <w:r w:rsidR="008D2CF6">
        <w:rPr>
          <w:rFonts w:hint="eastAsia"/>
          <w:color w:val="000000"/>
          <w:szCs w:val="21"/>
        </w:rPr>
        <w:t>4</w:t>
      </w:r>
      <w:r w:rsidRPr="008A645B">
        <w:rPr>
          <w:color w:val="000000"/>
          <w:szCs w:val="21"/>
        </w:rPr>
        <w:t xml:space="preserve">  </w:t>
      </w:r>
      <w:r w:rsidR="004A2FE2" w:rsidRPr="008A645B">
        <w:rPr>
          <w:rFonts w:hint="eastAsia"/>
          <w:color w:val="000000"/>
          <w:szCs w:val="21"/>
        </w:rPr>
        <w:t>并购</w:t>
      </w:r>
      <w:r w:rsidRPr="008A645B">
        <w:rPr>
          <w:rFonts w:hint="eastAsia"/>
          <w:color w:val="000000"/>
          <w:szCs w:val="21"/>
        </w:rPr>
        <w:t>交易数量（标的）行业统计图</w:t>
      </w:r>
    </w:p>
    <w:p w14:paraId="29A1AD1F" w14:textId="77777777" w:rsidR="00EF0E07" w:rsidRPr="008A645B" w:rsidRDefault="00EF0E07" w:rsidP="00191C78">
      <w:pPr>
        <w:spacing w:afterLines="50" w:after="156"/>
        <w:rPr>
          <w:color w:val="000000"/>
          <w:szCs w:val="21"/>
        </w:rPr>
      </w:pPr>
      <w:r w:rsidRPr="00191C78">
        <w:rPr>
          <w:rFonts w:ascii="Times New Roman" w:hAnsi="Times New Roman" w:hint="eastAsia"/>
          <w:color w:val="000000"/>
          <w:szCs w:val="18"/>
        </w:rPr>
        <w:t>资料来源：北京交通大学中国企业兼并重组研究中心</w:t>
      </w:r>
      <w:proofErr w:type="spellStart"/>
      <w:r w:rsidRPr="00191C78">
        <w:rPr>
          <w:rFonts w:ascii="Times New Roman" w:hAnsi="Times New Roman"/>
          <w:color w:val="000000"/>
          <w:szCs w:val="18"/>
        </w:rPr>
        <w:t>ChinaMerger</w:t>
      </w:r>
      <w:proofErr w:type="spellEnd"/>
      <w:r w:rsidRPr="00191C78">
        <w:rPr>
          <w:rFonts w:ascii="Times New Roman" w:hAnsi="Times New Roman" w:hint="eastAsia"/>
          <w:color w:val="000000"/>
          <w:szCs w:val="18"/>
        </w:rPr>
        <w:t>数据库</w:t>
      </w:r>
    </w:p>
    <w:p w14:paraId="3A7B3CAD" w14:textId="176F814E" w:rsidR="00B30833" w:rsidRPr="00543BA5" w:rsidRDefault="007123DD" w:rsidP="00A2006A">
      <w:pPr>
        <w:pStyle w:val="2"/>
      </w:pPr>
      <w:r>
        <w:rPr>
          <w:rFonts w:hint="eastAsia"/>
        </w:rPr>
        <w:lastRenderedPageBreak/>
        <w:t>3.</w:t>
      </w:r>
      <w:r w:rsidR="007E0FE8">
        <w:t>北上广</w:t>
      </w:r>
      <w:r w:rsidR="007F4DEA">
        <w:rPr>
          <w:rFonts w:hint="eastAsia"/>
        </w:rPr>
        <w:t>和</w:t>
      </w:r>
      <w:r w:rsidR="007E0FE8">
        <w:t>江浙继续领跑</w:t>
      </w:r>
    </w:p>
    <w:p w14:paraId="24D39E74" w14:textId="77777777" w:rsidR="00B30833" w:rsidRPr="00443354" w:rsidRDefault="00B30833" w:rsidP="006E5E84">
      <w:pPr>
        <w:widowControl/>
        <w:spacing w:after="210"/>
        <w:ind w:firstLine="426"/>
        <w:jc w:val="left"/>
      </w:pPr>
      <w:r w:rsidRPr="00443354">
        <w:t>地域环境是吸引投资的重要因素，也将对企业的</w:t>
      </w:r>
      <w:r w:rsidR="004A2FE2">
        <w:t>并购</w:t>
      </w:r>
      <w:r w:rsidRPr="00443354">
        <w:t>行为产生影响。我国幅员辽阔，各地区由于地理环境、历史文化以及经济政策和发展水平的不同呈现着明显的差异，因此在投资环境的质量上也有着差异。北、上、广和江浙地区随着经济的快速发展，投资环境不断优化，并且已逐步实现与国际接轨。因而，在这些地区资源流动速度较快，</w:t>
      </w:r>
      <w:r w:rsidR="004A2FE2">
        <w:t>并购</w:t>
      </w:r>
      <w:r w:rsidRPr="00443354">
        <w:t>交易也更为活跃。</w:t>
      </w:r>
    </w:p>
    <w:p w14:paraId="6572874E" w14:textId="77777777" w:rsidR="00B30833" w:rsidRPr="00443354" w:rsidRDefault="0085713F" w:rsidP="006E5E84">
      <w:pPr>
        <w:widowControl/>
        <w:spacing w:after="210"/>
        <w:ind w:firstLine="426"/>
        <w:jc w:val="left"/>
      </w:pPr>
      <w:r w:rsidRPr="00443354">
        <w:t>201</w:t>
      </w:r>
      <w:r w:rsidRPr="00443354">
        <w:rPr>
          <w:rFonts w:hint="eastAsia"/>
        </w:rPr>
        <w:t>5</w:t>
      </w:r>
      <w:r w:rsidR="00B30833" w:rsidRPr="00443354">
        <w:t>年，我国企业的</w:t>
      </w:r>
      <w:r w:rsidR="004A2FE2">
        <w:t>并购</w:t>
      </w:r>
      <w:r w:rsidR="00B30833" w:rsidRPr="00443354">
        <w:t>交易在区域分布上继续呈现明显的地域集聚性，广东、北京、上海、江苏和浙江这五省份无论在交易金额还是交易数量上，均延续了</w:t>
      </w:r>
      <w:r w:rsidRPr="00443354">
        <w:t>201</w:t>
      </w:r>
      <w:r w:rsidRPr="00443354">
        <w:rPr>
          <w:rFonts w:hint="eastAsia"/>
        </w:rPr>
        <w:t>4</w:t>
      </w:r>
      <w:r w:rsidR="00B30833" w:rsidRPr="00443354">
        <w:t>年的强势格局。</w:t>
      </w:r>
    </w:p>
    <w:p w14:paraId="75BD99E4" w14:textId="0E62DFFC" w:rsidR="006F5CD8" w:rsidRPr="00AB7244" w:rsidRDefault="00FE56F5" w:rsidP="00AB7244">
      <w:pPr>
        <w:widowControl/>
        <w:spacing w:after="210"/>
        <w:ind w:firstLine="426"/>
        <w:jc w:val="left"/>
        <w:rPr>
          <w:rFonts w:ascii="Simsun" w:eastAsia="宋体" w:hAnsi="Simsun" w:cs="宋体" w:hint="eastAsia"/>
          <w:color w:val="333333"/>
          <w:kern w:val="0"/>
          <w:szCs w:val="21"/>
        </w:rPr>
      </w:pPr>
      <w:r w:rsidRPr="00443354">
        <w:rPr>
          <w:rFonts w:hint="eastAsia"/>
        </w:rPr>
        <w:t>按照交易数量统计，排名第一的是北京，发生</w:t>
      </w:r>
      <w:r w:rsidR="004A2FE2">
        <w:rPr>
          <w:rFonts w:hint="eastAsia"/>
        </w:rPr>
        <w:t>并购</w:t>
      </w:r>
      <w:r w:rsidRPr="00443354">
        <w:rPr>
          <w:rFonts w:hint="eastAsia"/>
        </w:rPr>
        <w:t>交易量</w:t>
      </w:r>
      <w:r w:rsidRPr="00443354">
        <w:rPr>
          <w:rFonts w:hint="eastAsia"/>
        </w:rPr>
        <w:t>751</w:t>
      </w:r>
      <w:r w:rsidRPr="00443354">
        <w:rPr>
          <w:rFonts w:hint="eastAsia"/>
        </w:rPr>
        <w:t>宗，占</w:t>
      </w:r>
      <w:r w:rsidRPr="00443354">
        <w:rPr>
          <w:rFonts w:hint="eastAsia"/>
        </w:rPr>
        <w:t>2015</w:t>
      </w:r>
      <w:r w:rsidRPr="00443354">
        <w:rPr>
          <w:rFonts w:hint="eastAsia"/>
        </w:rPr>
        <w:t>全年</w:t>
      </w:r>
      <w:r w:rsidR="004A2FE2">
        <w:rPr>
          <w:rFonts w:hint="eastAsia"/>
        </w:rPr>
        <w:t>并购</w:t>
      </w:r>
      <w:r w:rsidRPr="00443354">
        <w:rPr>
          <w:rFonts w:hint="eastAsia"/>
        </w:rPr>
        <w:t>交易量的</w:t>
      </w:r>
      <w:r w:rsidRPr="00443354">
        <w:rPr>
          <w:rFonts w:hint="eastAsia"/>
        </w:rPr>
        <w:t>14.25%</w:t>
      </w:r>
      <w:r w:rsidRPr="00443354">
        <w:rPr>
          <w:rFonts w:hint="eastAsia"/>
        </w:rPr>
        <w:t>；排名第二的是广东，</w:t>
      </w:r>
      <w:r w:rsidR="004A2FE2">
        <w:rPr>
          <w:rFonts w:hint="eastAsia"/>
        </w:rPr>
        <w:t>并购</w:t>
      </w:r>
      <w:r w:rsidRPr="00443354">
        <w:rPr>
          <w:rFonts w:hint="eastAsia"/>
        </w:rPr>
        <w:t>交易量为</w:t>
      </w:r>
      <w:r w:rsidRPr="00443354">
        <w:rPr>
          <w:rFonts w:hint="eastAsia"/>
        </w:rPr>
        <w:t>715</w:t>
      </w:r>
      <w:r w:rsidRPr="00443354">
        <w:rPr>
          <w:rFonts w:hint="eastAsia"/>
        </w:rPr>
        <w:t>，总体占比</w:t>
      </w:r>
      <w:r w:rsidRPr="00443354">
        <w:rPr>
          <w:rFonts w:hint="eastAsia"/>
        </w:rPr>
        <w:t>13.56%</w:t>
      </w:r>
      <w:r w:rsidRPr="00443354">
        <w:rPr>
          <w:rFonts w:hint="eastAsia"/>
        </w:rPr>
        <w:t>；排名第三的是上海，</w:t>
      </w:r>
      <w:r w:rsidR="004A2FE2">
        <w:rPr>
          <w:rFonts w:hint="eastAsia"/>
        </w:rPr>
        <w:t>并购</w:t>
      </w:r>
      <w:r w:rsidRPr="00443354">
        <w:rPr>
          <w:rFonts w:hint="eastAsia"/>
        </w:rPr>
        <w:t>交易量为</w:t>
      </w:r>
      <w:r w:rsidRPr="00443354">
        <w:rPr>
          <w:rFonts w:hint="eastAsia"/>
        </w:rPr>
        <w:t>498</w:t>
      </w:r>
      <w:r w:rsidRPr="00443354">
        <w:rPr>
          <w:rFonts w:hint="eastAsia"/>
        </w:rPr>
        <w:t>，总体占比</w:t>
      </w:r>
      <w:r w:rsidRPr="00443354">
        <w:rPr>
          <w:rFonts w:hint="eastAsia"/>
        </w:rPr>
        <w:t>9.45%</w:t>
      </w:r>
      <w:r w:rsidR="006F5CD8" w:rsidRPr="00443354">
        <w:rPr>
          <w:rFonts w:hint="eastAsia"/>
        </w:rPr>
        <w:t>（见图</w:t>
      </w:r>
      <w:r w:rsidR="008D2CF6">
        <w:rPr>
          <w:rFonts w:hint="eastAsia"/>
        </w:rPr>
        <w:t>5</w:t>
      </w:r>
      <w:r w:rsidR="006F5CD8" w:rsidRPr="00443354">
        <w:rPr>
          <w:rFonts w:hint="eastAsia"/>
        </w:rPr>
        <w:t>）</w:t>
      </w:r>
      <w:r w:rsidR="00B30833" w:rsidRPr="00543BA5">
        <w:rPr>
          <w:rFonts w:ascii="Simsun" w:eastAsia="宋体" w:hAnsi="Simsun" w:cs="宋体"/>
          <w:color w:val="333333"/>
          <w:kern w:val="0"/>
          <w:szCs w:val="21"/>
        </w:rPr>
        <w:t>。</w:t>
      </w:r>
    </w:p>
    <w:p w14:paraId="05C5C8E0" w14:textId="77777777" w:rsidR="006F5CD8" w:rsidRPr="00191C78" w:rsidRDefault="006F5CD8" w:rsidP="008D2CF6">
      <w:pPr>
        <w:widowControl/>
        <w:ind w:firstLine="482"/>
        <w:rPr>
          <w:color w:val="000000"/>
          <w:szCs w:val="21"/>
        </w:rPr>
      </w:pPr>
      <w:r w:rsidRPr="00191C78">
        <w:rPr>
          <w:noProof/>
          <w:color w:val="000000"/>
          <w:szCs w:val="21"/>
        </w:rPr>
        <w:drawing>
          <wp:inline distT="0" distB="0" distL="0" distR="0" wp14:anchorId="015EBB80" wp14:editId="5CC6DBDD">
            <wp:extent cx="3960000" cy="4767447"/>
            <wp:effectExtent l="0" t="0" r="254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0000" cy="4767447"/>
                    </a:xfrm>
                    <a:prstGeom prst="rect">
                      <a:avLst/>
                    </a:prstGeom>
                    <a:noFill/>
                  </pic:spPr>
                </pic:pic>
              </a:graphicData>
            </a:graphic>
          </wp:inline>
        </w:drawing>
      </w:r>
    </w:p>
    <w:p w14:paraId="0FB7F565" w14:textId="28508753" w:rsidR="00326B3F" w:rsidRPr="008A645B" w:rsidRDefault="00326B3F" w:rsidP="00191C78">
      <w:pPr>
        <w:widowControl/>
        <w:ind w:firstLine="482"/>
        <w:jc w:val="center"/>
        <w:rPr>
          <w:color w:val="000000"/>
          <w:szCs w:val="21"/>
        </w:rPr>
      </w:pPr>
      <w:r w:rsidRPr="008A645B">
        <w:rPr>
          <w:rFonts w:hint="eastAsia"/>
          <w:color w:val="000000"/>
          <w:szCs w:val="21"/>
        </w:rPr>
        <w:t>图</w:t>
      </w:r>
      <w:r w:rsidR="008D2CF6">
        <w:rPr>
          <w:rFonts w:hint="eastAsia"/>
          <w:color w:val="000000"/>
          <w:szCs w:val="21"/>
        </w:rPr>
        <w:t>5</w:t>
      </w:r>
      <w:r w:rsidRPr="008A645B">
        <w:rPr>
          <w:color w:val="000000"/>
          <w:szCs w:val="21"/>
        </w:rPr>
        <w:t xml:space="preserve">  2015</w:t>
      </w:r>
      <w:r w:rsidRPr="008A645B">
        <w:rPr>
          <w:rFonts w:hint="eastAsia"/>
          <w:color w:val="000000"/>
          <w:szCs w:val="21"/>
        </w:rPr>
        <w:t>年</w:t>
      </w:r>
      <w:r w:rsidR="004A2FE2" w:rsidRPr="008A645B">
        <w:rPr>
          <w:rFonts w:hint="eastAsia"/>
          <w:color w:val="000000"/>
          <w:szCs w:val="21"/>
        </w:rPr>
        <w:t>并购</w:t>
      </w:r>
      <w:r w:rsidRPr="008A645B">
        <w:rPr>
          <w:rFonts w:hint="eastAsia"/>
          <w:color w:val="000000"/>
          <w:szCs w:val="21"/>
        </w:rPr>
        <w:t>交易数量（标的）的省份统计图</w:t>
      </w:r>
    </w:p>
    <w:p w14:paraId="1F4DEA20" w14:textId="77777777" w:rsidR="00EF0E07" w:rsidRPr="00191C78" w:rsidRDefault="00EF0E07" w:rsidP="00191C78">
      <w:pPr>
        <w:spacing w:afterLines="50" w:after="156"/>
        <w:rPr>
          <w:rFonts w:ascii="Times New Roman" w:hAnsi="Times New Roman"/>
          <w:color w:val="000000"/>
          <w:szCs w:val="18"/>
        </w:rPr>
      </w:pPr>
      <w:r w:rsidRPr="00191C78">
        <w:rPr>
          <w:rFonts w:ascii="Times New Roman" w:hAnsi="Times New Roman" w:hint="eastAsia"/>
          <w:color w:val="000000"/>
          <w:szCs w:val="18"/>
        </w:rPr>
        <w:t>资料来源：北京交通大学中国企业兼并重组研究中心</w:t>
      </w:r>
      <w:proofErr w:type="spellStart"/>
      <w:r w:rsidRPr="00191C78">
        <w:rPr>
          <w:rFonts w:ascii="Times New Roman" w:hAnsi="Times New Roman"/>
          <w:color w:val="000000"/>
          <w:szCs w:val="18"/>
        </w:rPr>
        <w:t>ChinaMerger</w:t>
      </w:r>
      <w:proofErr w:type="spellEnd"/>
      <w:r w:rsidRPr="00191C78">
        <w:rPr>
          <w:rFonts w:ascii="Times New Roman" w:hAnsi="Times New Roman" w:hint="eastAsia"/>
          <w:color w:val="000000"/>
          <w:szCs w:val="18"/>
        </w:rPr>
        <w:t>数据库</w:t>
      </w:r>
    </w:p>
    <w:p w14:paraId="0B1B9D94" w14:textId="04210ADD" w:rsidR="006F5CD8" w:rsidRDefault="00FE56F5" w:rsidP="00AB7244">
      <w:pPr>
        <w:widowControl/>
        <w:spacing w:after="210"/>
        <w:ind w:firstLine="426"/>
        <w:jc w:val="left"/>
        <w:rPr>
          <w:rFonts w:ascii="Simsun" w:eastAsia="宋体" w:hAnsi="Simsun" w:cs="宋体" w:hint="eastAsia"/>
          <w:color w:val="333333"/>
          <w:kern w:val="0"/>
          <w:szCs w:val="21"/>
        </w:rPr>
      </w:pPr>
      <w:r w:rsidRPr="00443354">
        <w:rPr>
          <w:rFonts w:hint="eastAsia"/>
        </w:rPr>
        <w:t>按照交易金额统计，排名前三的分别是北京、上海、广东，交易总金额分别为</w:t>
      </w:r>
      <w:r w:rsidRPr="00443354">
        <w:rPr>
          <w:rFonts w:hint="eastAsia"/>
        </w:rPr>
        <w:t>2787.77</w:t>
      </w:r>
      <w:r w:rsidRPr="00443354">
        <w:rPr>
          <w:rFonts w:hint="eastAsia"/>
        </w:rPr>
        <w:t>亿元、</w:t>
      </w:r>
      <w:r w:rsidRPr="00443354">
        <w:rPr>
          <w:rFonts w:hint="eastAsia"/>
        </w:rPr>
        <w:t>2620.75</w:t>
      </w:r>
      <w:r w:rsidRPr="00443354">
        <w:rPr>
          <w:rFonts w:hint="eastAsia"/>
        </w:rPr>
        <w:t>亿元、</w:t>
      </w:r>
      <w:r w:rsidRPr="00443354">
        <w:rPr>
          <w:rFonts w:hint="eastAsia"/>
        </w:rPr>
        <w:t>2256.81</w:t>
      </w:r>
      <w:r w:rsidRPr="00443354">
        <w:rPr>
          <w:rFonts w:hint="eastAsia"/>
        </w:rPr>
        <w:t>亿元，总体占比分别为</w:t>
      </w:r>
      <w:r w:rsidRPr="00443354">
        <w:rPr>
          <w:rFonts w:hint="eastAsia"/>
        </w:rPr>
        <w:t>12.78%</w:t>
      </w:r>
      <w:r w:rsidRPr="00443354">
        <w:rPr>
          <w:rFonts w:hint="eastAsia"/>
        </w:rPr>
        <w:t>、</w:t>
      </w:r>
      <w:r w:rsidRPr="00443354">
        <w:rPr>
          <w:rFonts w:hint="eastAsia"/>
        </w:rPr>
        <w:t>12.02%</w:t>
      </w:r>
      <w:r w:rsidRPr="00443354">
        <w:rPr>
          <w:rFonts w:hint="eastAsia"/>
        </w:rPr>
        <w:t>、</w:t>
      </w:r>
      <w:r w:rsidRPr="00443354">
        <w:rPr>
          <w:rFonts w:hint="eastAsia"/>
        </w:rPr>
        <w:t>10.35%</w:t>
      </w:r>
      <w:r w:rsidR="00443354" w:rsidRPr="00443354">
        <w:rPr>
          <w:rFonts w:hint="eastAsia"/>
        </w:rPr>
        <w:t>（见图</w:t>
      </w:r>
      <w:r w:rsidR="008D2CF6">
        <w:rPr>
          <w:rFonts w:hint="eastAsia"/>
        </w:rPr>
        <w:t>6</w:t>
      </w:r>
      <w:r w:rsidR="00443354" w:rsidRPr="00443354">
        <w:rPr>
          <w:rFonts w:hint="eastAsia"/>
        </w:rPr>
        <w:t>）</w:t>
      </w:r>
      <w:r w:rsidRPr="00443354">
        <w:rPr>
          <w:rFonts w:hint="eastAsia"/>
        </w:rPr>
        <w:t>。</w:t>
      </w:r>
      <w:r w:rsidRPr="00443354">
        <w:rPr>
          <w:rFonts w:hint="eastAsia"/>
        </w:rPr>
        <w:lastRenderedPageBreak/>
        <w:t>上海的交易数量只有</w:t>
      </w:r>
      <w:r w:rsidRPr="00443354">
        <w:rPr>
          <w:rFonts w:hint="eastAsia"/>
        </w:rPr>
        <w:t>498</w:t>
      </w:r>
      <w:r w:rsidRPr="00443354">
        <w:rPr>
          <w:rFonts w:hint="eastAsia"/>
        </w:rPr>
        <w:t>宗，金额却超过广东排在第二，主要是因为申通快递借壳艾迪西，分众传媒借壳七喜控股等大额交易均发生在上海。</w:t>
      </w:r>
    </w:p>
    <w:p w14:paraId="3D78E2F9" w14:textId="77777777" w:rsidR="006F5CD8" w:rsidRPr="00191C78" w:rsidRDefault="006F5CD8" w:rsidP="008D2CF6">
      <w:pPr>
        <w:widowControl/>
        <w:ind w:firstLine="482"/>
        <w:rPr>
          <w:color w:val="000000"/>
          <w:szCs w:val="21"/>
        </w:rPr>
      </w:pPr>
      <w:r w:rsidRPr="00191C78">
        <w:rPr>
          <w:noProof/>
          <w:color w:val="000000"/>
          <w:szCs w:val="21"/>
        </w:rPr>
        <w:drawing>
          <wp:inline distT="0" distB="0" distL="0" distR="0" wp14:anchorId="37AB8EDE" wp14:editId="409F41D9">
            <wp:extent cx="3959483" cy="5227320"/>
            <wp:effectExtent l="0" t="0" r="317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0000" cy="5228002"/>
                    </a:xfrm>
                    <a:prstGeom prst="rect">
                      <a:avLst/>
                    </a:prstGeom>
                    <a:noFill/>
                  </pic:spPr>
                </pic:pic>
              </a:graphicData>
            </a:graphic>
          </wp:inline>
        </w:drawing>
      </w:r>
    </w:p>
    <w:p w14:paraId="61A84ABD" w14:textId="5F811903" w:rsidR="00326B3F" w:rsidRPr="008A645B" w:rsidRDefault="00326B3F" w:rsidP="00191C78">
      <w:pPr>
        <w:widowControl/>
        <w:ind w:firstLine="482"/>
        <w:jc w:val="center"/>
        <w:rPr>
          <w:color w:val="000000"/>
          <w:szCs w:val="21"/>
        </w:rPr>
      </w:pPr>
      <w:r w:rsidRPr="008A645B">
        <w:rPr>
          <w:rFonts w:hint="eastAsia"/>
          <w:color w:val="000000"/>
          <w:szCs w:val="21"/>
        </w:rPr>
        <w:t>图</w:t>
      </w:r>
      <w:r w:rsidR="008D2CF6">
        <w:rPr>
          <w:rFonts w:hint="eastAsia"/>
          <w:color w:val="000000"/>
          <w:szCs w:val="21"/>
        </w:rPr>
        <w:t>6</w:t>
      </w:r>
      <w:r w:rsidRPr="008A645B">
        <w:rPr>
          <w:color w:val="000000"/>
          <w:szCs w:val="21"/>
        </w:rPr>
        <w:t xml:space="preserve">  2015</w:t>
      </w:r>
      <w:r w:rsidRPr="008A645B">
        <w:rPr>
          <w:rFonts w:hint="eastAsia"/>
          <w:color w:val="000000"/>
          <w:szCs w:val="21"/>
        </w:rPr>
        <w:t>年</w:t>
      </w:r>
      <w:r w:rsidR="004A2FE2" w:rsidRPr="008A645B">
        <w:rPr>
          <w:rFonts w:hint="eastAsia"/>
          <w:color w:val="000000"/>
          <w:szCs w:val="21"/>
        </w:rPr>
        <w:t>并购</w:t>
      </w:r>
      <w:r w:rsidRPr="008A645B">
        <w:rPr>
          <w:rFonts w:hint="eastAsia"/>
          <w:color w:val="000000"/>
          <w:szCs w:val="21"/>
        </w:rPr>
        <w:t>交易金额（标的）的省份统计图</w:t>
      </w:r>
    </w:p>
    <w:p w14:paraId="10481E2A" w14:textId="77777777" w:rsidR="00EF0E07" w:rsidRPr="00191C78" w:rsidRDefault="00EF0E07" w:rsidP="00191C78">
      <w:pPr>
        <w:spacing w:afterLines="50" w:after="156"/>
        <w:rPr>
          <w:rFonts w:ascii="Times New Roman" w:hAnsi="Times New Roman"/>
          <w:color w:val="000000"/>
          <w:szCs w:val="18"/>
        </w:rPr>
      </w:pPr>
      <w:r w:rsidRPr="00191C78">
        <w:rPr>
          <w:rFonts w:ascii="Times New Roman" w:hAnsi="Times New Roman" w:hint="eastAsia"/>
          <w:color w:val="000000"/>
          <w:szCs w:val="18"/>
        </w:rPr>
        <w:t>资料来源：北京交通大学中国企业兼并重组研究中心</w:t>
      </w:r>
      <w:proofErr w:type="spellStart"/>
      <w:r w:rsidRPr="00191C78">
        <w:rPr>
          <w:rFonts w:ascii="Times New Roman" w:hAnsi="Times New Roman"/>
          <w:color w:val="000000"/>
          <w:szCs w:val="18"/>
        </w:rPr>
        <w:t>ChinaMerger</w:t>
      </w:r>
      <w:proofErr w:type="spellEnd"/>
      <w:r w:rsidRPr="00191C78">
        <w:rPr>
          <w:rFonts w:ascii="Times New Roman" w:hAnsi="Times New Roman" w:hint="eastAsia"/>
          <w:color w:val="000000"/>
          <w:szCs w:val="18"/>
        </w:rPr>
        <w:t>数据库</w:t>
      </w:r>
    </w:p>
    <w:p w14:paraId="39B9DB25" w14:textId="77777777" w:rsidR="00E80581" w:rsidRDefault="007123DD" w:rsidP="00E80581">
      <w:pPr>
        <w:pStyle w:val="2"/>
      </w:pPr>
      <w:r>
        <w:rPr>
          <w:rFonts w:hint="eastAsia"/>
        </w:rPr>
        <w:t>4.</w:t>
      </w:r>
      <w:r w:rsidR="00E80581">
        <w:rPr>
          <w:rFonts w:hint="eastAsia"/>
        </w:rPr>
        <w:t>民营</w:t>
      </w:r>
      <w:r w:rsidR="00015D94">
        <w:rPr>
          <w:rFonts w:hint="eastAsia"/>
        </w:rPr>
        <w:t>经济进一步主导</w:t>
      </w:r>
      <w:r w:rsidR="00E80581">
        <w:rPr>
          <w:rFonts w:hint="eastAsia"/>
        </w:rPr>
        <w:t>并购</w:t>
      </w:r>
    </w:p>
    <w:p w14:paraId="2A18E286" w14:textId="16F772D8" w:rsidR="006F5CD8" w:rsidRPr="00443354" w:rsidRDefault="007123DD" w:rsidP="006F5CD8">
      <w:pPr>
        <w:ind w:firstLineChars="202" w:firstLine="424"/>
      </w:pPr>
      <w:r>
        <w:rPr>
          <w:rFonts w:hint="eastAsia"/>
        </w:rPr>
        <w:t>从交易数量</w:t>
      </w:r>
      <w:r w:rsidRPr="00443354">
        <w:rPr>
          <w:rFonts w:hint="eastAsia"/>
        </w:rPr>
        <w:t>上讲</w:t>
      </w:r>
      <w:r>
        <w:rPr>
          <w:rFonts w:hint="eastAsia"/>
        </w:rPr>
        <w:t>，</w:t>
      </w:r>
      <w:r w:rsidR="006F5CD8" w:rsidRPr="00443354">
        <w:rPr>
          <w:rFonts w:hint="eastAsia"/>
        </w:rPr>
        <w:t>2011</w:t>
      </w:r>
      <w:r w:rsidR="006F5CD8" w:rsidRPr="00443354">
        <w:rPr>
          <w:rFonts w:hint="eastAsia"/>
        </w:rPr>
        <w:t>年开始，民营经济参与</w:t>
      </w:r>
      <w:r w:rsidR="004A2FE2">
        <w:rPr>
          <w:rFonts w:hint="eastAsia"/>
        </w:rPr>
        <w:t>并购</w:t>
      </w:r>
      <w:r w:rsidR="006F5CD8" w:rsidRPr="00443354">
        <w:rPr>
          <w:rFonts w:hint="eastAsia"/>
        </w:rPr>
        <w:t>开始了井喷式的增长，并一举超过了国有经济所占比例，标志着并购市场迎来了民营经济的时代，而国有经济比重不断下滑。</w:t>
      </w:r>
      <w:r w:rsidR="006F5CD8" w:rsidRPr="00443354">
        <w:rPr>
          <w:rFonts w:hint="eastAsia"/>
        </w:rPr>
        <w:t>2015</w:t>
      </w:r>
      <w:r w:rsidR="006F5CD8" w:rsidRPr="00443354">
        <w:rPr>
          <w:rFonts w:hint="eastAsia"/>
        </w:rPr>
        <w:t>民营经济</w:t>
      </w:r>
      <w:r w:rsidR="004A2FE2">
        <w:rPr>
          <w:rFonts w:hint="eastAsia"/>
        </w:rPr>
        <w:t>并购</w:t>
      </w:r>
      <w:r w:rsidR="006F5CD8" w:rsidRPr="00443354">
        <w:rPr>
          <w:rFonts w:hint="eastAsia"/>
        </w:rPr>
        <w:t>数量小幅上升，占比</w:t>
      </w:r>
      <w:r w:rsidR="006F5CD8" w:rsidRPr="00443354">
        <w:rPr>
          <w:rFonts w:hint="eastAsia"/>
        </w:rPr>
        <w:t>66.89%</w:t>
      </w:r>
      <w:r w:rsidR="006F5CD8" w:rsidRPr="00443354">
        <w:rPr>
          <w:rFonts w:hint="eastAsia"/>
        </w:rPr>
        <w:t>，而国有经济</w:t>
      </w:r>
      <w:r w:rsidR="004A2FE2">
        <w:rPr>
          <w:rFonts w:hint="eastAsia"/>
        </w:rPr>
        <w:t>并购</w:t>
      </w:r>
      <w:r w:rsidR="006F5CD8" w:rsidRPr="00443354">
        <w:rPr>
          <w:rFonts w:hint="eastAsia"/>
        </w:rPr>
        <w:t>数量大幅下降，占比</w:t>
      </w:r>
      <w:r w:rsidR="006F5CD8" w:rsidRPr="00443354">
        <w:rPr>
          <w:rFonts w:hint="eastAsia"/>
        </w:rPr>
        <w:t>6.39%</w:t>
      </w:r>
      <w:r w:rsidR="006F5CD8" w:rsidRPr="00443354">
        <w:rPr>
          <w:rFonts w:hint="eastAsia"/>
        </w:rPr>
        <w:t>，不足</w:t>
      </w:r>
      <w:r w:rsidR="006F5CD8" w:rsidRPr="00443354">
        <w:rPr>
          <w:rFonts w:hint="eastAsia"/>
        </w:rPr>
        <w:t>10%</w:t>
      </w:r>
      <w:r w:rsidR="00D76FD9">
        <w:rPr>
          <w:rStyle w:val="af0"/>
        </w:rPr>
        <w:footnoteReference w:id="1"/>
      </w:r>
      <w:r w:rsidR="006F5CD8" w:rsidRPr="00443354">
        <w:rPr>
          <w:rFonts w:hint="eastAsia"/>
        </w:rPr>
        <w:t>（见图</w:t>
      </w:r>
      <w:r w:rsidR="008D2CF6">
        <w:rPr>
          <w:rFonts w:hint="eastAsia"/>
        </w:rPr>
        <w:t>7</w:t>
      </w:r>
      <w:r w:rsidR="006F5CD8" w:rsidRPr="00443354">
        <w:rPr>
          <w:rFonts w:hint="eastAsia"/>
        </w:rPr>
        <w:t>）。</w:t>
      </w:r>
    </w:p>
    <w:p w14:paraId="17B6FE7B" w14:textId="77777777" w:rsidR="006F5CD8" w:rsidRPr="00AB7244" w:rsidRDefault="006F5CD8" w:rsidP="00AB7244">
      <w:pPr>
        <w:ind w:firstLineChars="202" w:firstLine="424"/>
      </w:pPr>
      <w:r w:rsidRPr="00443354">
        <w:rPr>
          <w:rFonts w:hint="eastAsia"/>
        </w:rPr>
        <w:t>这种变化也与并购行业性变化息息相关。随着经济改革的不断深化，经济转型速度加快，并购市场也从以传统的制造业为主导开始向服务业、新兴产业、金融业等转移，这些产业在并购市场中愈发活跃，而在这些领域国有经济的控制力和主导地位并不突出。因此，从这个</w:t>
      </w:r>
      <w:r w:rsidRPr="00443354">
        <w:rPr>
          <w:rFonts w:hint="eastAsia"/>
        </w:rPr>
        <w:lastRenderedPageBreak/>
        <w:t>层面来讲，造成了国有经济主体比例的不断下降。</w:t>
      </w:r>
    </w:p>
    <w:p w14:paraId="624D7951" w14:textId="77777777" w:rsidR="00015D94" w:rsidRPr="00191C78" w:rsidRDefault="006F5CD8" w:rsidP="008D2CF6">
      <w:pPr>
        <w:widowControl/>
        <w:ind w:firstLine="424"/>
        <w:rPr>
          <w:color w:val="000000"/>
          <w:szCs w:val="21"/>
        </w:rPr>
      </w:pPr>
      <w:r w:rsidRPr="00191C78">
        <w:rPr>
          <w:noProof/>
          <w:color w:val="000000"/>
          <w:szCs w:val="21"/>
        </w:rPr>
        <w:drawing>
          <wp:inline distT="0" distB="0" distL="0" distR="0" wp14:anchorId="2220A984" wp14:editId="5A14043E">
            <wp:extent cx="4680000" cy="2813186"/>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0000" cy="2813186"/>
                    </a:xfrm>
                    <a:prstGeom prst="rect">
                      <a:avLst/>
                    </a:prstGeom>
                    <a:noFill/>
                  </pic:spPr>
                </pic:pic>
              </a:graphicData>
            </a:graphic>
          </wp:inline>
        </w:drawing>
      </w:r>
    </w:p>
    <w:p w14:paraId="513400F3" w14:textId="0AFF0844" w:rsidR="00326B3F" w:rsidRDefault="00326B3F" w:rsidP="00191C78">
      <w:pPr>
        <w:widowControl/>
        <w:ind w:firstLine="482"/>
        <w:jc w:val="center"/>
        <w:rPr>
          <w:color w:val="000000"/>
          <w:szCs w:val="21"/>
        </w:rPr>
      </w:pPr>
      <w:r w:rsidRPr="003651F7">
        <w:rPr>
          <w:rFonts w:hint="eastAsia"/>
          <w:color w:val="000000"/>
          <w:szCs w:val="21"/>
        </w:rPr>
        <w:t>图</w:t>
      </w:r>
      <w:r w:rsidR="008D2CF6">
        <w:rPr>
          <w:rFonts w:hint="eastAsia"/>
          <w:color w:val="000000"/>
          <w:szCs w:val="21"/>
        </w:rPr>
        <w:t>7</w:t>
      </w:r>
      <w:r w:rsidRPr="003651F7">
        <w:rPr>
          <w:rFonts w:hint="eastAsia"/>
          <w:color w:val="000000"/>
          <w:szCs w:val="21"/>
        </w:rPr>
        <w:t xml:space="preserve">  </w:t>
      </w:r>
      <w:r w:rsidRPr="008A645B">
        <w:rPr>
          <w:rFonts w:hint="eastAsia"/>
          <w:color w:val="000000"/>
          <w:szCs w:val="21"/>
        </w:rPr>
        <w:t>2006</w:t>
      </w:r>
      <w:r w:rsidRPr="003651F7">
        <w:rPr>
          <w:rFonts w:hint="eastAsia"/>
          <w:color w:val="000000"/>
          <w:szCs w:val="21"/>
        </w:rPr>
        <w:t>-</w:t>
      </w:r>
      <w:r w:rsidRPr="008A645B">
        <w:rPr>
          <w:rFonts w:hint="eastAsia"/>
          <w:color w:val="000000"/>
          <w:szCs w:val="21"/>
        </w:rPr>
        <w:t>2015</w:t>
      </w:r>
      <w:r w:rsidRPr="003651F7">
        <w:rPr>
          <w:rFonts w:hint="eastAsia"/>
          <w:color w:val="000000"/>
          <w:szCs w:val="21"/>
        </w:rPr>
        <w:t>年国有经济和民营经济</w:t>
      </w:r>
      <w:r w:rsidR="004A2FE2">
        <w:rPr>
          <w:rFonts w:hint="eastAsia"/>
          <w:color w:val="000000"/>
          <w:szCs w:val="21"/>
        </w:rPr>
        <w:t>并购</w:t>
      </w:r>
      <w:r w:rsidRPr="003651F7">
        <w:rPr>
          <w:rFonts w:hint="eastAsia"/>
          <w:color w:val="000000"/>
          <w:szCs w:val="21"/>
        </w:rPr>
        <w:t>交易数量（标的）</w:t>
      </w:r>
      <w:r>
        <w:rPr>
          <w:rFonts w:hint="eastAsia"/>
          <w:color w:val="000000"/>
          <w:szCs w:val="21"/>
        </w:rPr>
        <w:t>占比</w:t>
      </w:r>
      <w:r w:rsidRPr="003651F7">
        <w:rPr>
          <w:rFonts w:hint="eastAsia"/>
          <w:color w:val="000000"/>
          <w:szCs w:val="21"/>
        </w:rPr>
        <w:t>趋势图</w:t>
      </w:r>
    </w:p>
    <w:p w14:paraId="53155307" w14:textId="77777777" w:rsidR="00EF0E07" w:rsidRPr="00191C78" w:rsidRDefault="00EF0E07" w:rsidP="00191C78">
      <w:pPr>
        <w:spacing w:afterLines="50" w:after="156"/>
        <w:rPr>
          <w:rFonts w:ascii="Times New Roman" w:hAnsi="Times New Roman"/>
          <w:color w:val="000000"/>
          <w:szCs w:val="18"/>
        </w:rPr>
      </w:pPr>
      <w:r w:rsidRPr="00191C78">
        <w:rPr>
          <w:rFonts w:ascii="Times New Roman" w:hAnsi="Times New Roman" w:hint="eastAsia"/>
          <w:color w:val="000000"/>
          <w:szCs w:val="18"/>
        </w:rPr>
        <w:t>资料来源：北京交通大学中国企业兼并重组研究中心</w:t>
      </w:r>
      <w:proofErr w:type="spellStart"/>
      <w:r w:rsidRPr="00191C78">
        <w:rPr>
          <w:rFonts w:ascii="Times New Roman" w:hAnsi="Times New Roman"/>
          <w:color w:val="000000"/>
          <w:szCs w:val="18"/>
        </w:rPr>
        <w:t>ChinaMerger</w:t>
      </w:r>
      <w:proofErr w:type="spellEnd"/>
      <w:r w:rsidRPr="00191C78">
        <w:rPr>
          <w:rFonts w:ascii="Times New Roman" w:hAnsi="Times New Roman" w:hint="eastAsia"/>
          <w:color w:val="000000"/>
          <w:szCs w:val="18"/>
        </w:rPr>
        <w:t>数据库</w:t>
      </w:r>
    </w:p>
    <w:p w14:paraId="741F0AD5" w14:textId="5EC0712D" w:rsidR="00015D94" w:rsidRPr="00AB7244" w:rsidRDefault="00015D94" w:rsidP="00AB7244">
      <w:pPr>
        <w:ind w:firstLineChars="202" w:firstLine="424"/>
      </w:pPr>
      <w:r w:rsidRPr="00443354">
        <w:rPr>
          <w:rFonts w:hint="eastAsia"/>
        </w:rPr>
        <w:t>从交易金额上讲，民营经济在交易金额规模方面于</w:t>
      </w:r>
      <w:r w:rsidRPr="00443354">
        <w:rPr>
          <w:rFonts w:hint="eastAsia"/>
        </w:rPr>
        <w:t>2013</w:t>
      </w:r>
      <w:r w:rsidRPr="00443354">
        <w:rPr>
          <w:rFonts w:hint="eastAsia"/>
        </w:rPr>
        <w:t>年超越国有经济主体，滞后于其交易数量对国有经济的超越，这与国有经济强大的经济实力密切相关。</w:t>
      </w:r>
      <w:r w:rsidRPr="00443354">
        <w:rPr>
          <w:rFonts w:hint="eastAsia"/>
        </w:rPr>
        <w:t>2015</w:t>
      </w:r>
      <w:r w:rsidRPr="00443354">
        <w:rPr>
          <w:rFonts w:hint="eastAsia"/>
        </w:rPr>
        <w:t>年民营经济</w:t>
      </w:r>
      <w:r w:rsidR="004A2FE2">
        <w:rPr>
          <w:rFonts w:hint="eastAsia"/>
        </w:rPr>
        <w:t>并购</w:t>
      </w:r>
      <w:r w:rsidRPr="00443354">
        <w:rPr>
          <w:rFonts w:hint="eastAsia"/>
        </w:rPr>
        <w:t>交易金额占比</w:t>
      </w:r>
      <w:r w:rsidRPr="00443354">
        <w:rPr>
          <w:rFonts w:hint="eastAsia"/>
        </w:rPr>
        <w:t>64.21%</w:t>
      </w:r>
      <w:r w:rsidRPr="00443354">
        <w:rPr>
          <w:rFonts w:hint="eastAsia"/>
        </w:rPr>
        <w:t>，在</w:t>
      </w:r>
      <w:r w:rsidRPr="00443354">
        <w:rPr>
          <w:rFonts w:hint="eastAsia"/>
        </w:rPr>
        <w:t>2014</w:t>
      </w:r>
      <w:r w:rsidRPr="00443354">
        <w:rPr>
          <w:rFonts w:hint="eastAsia"/>
        </w:rPr>
        <w:t>年的基础上进一步增长，说明已经正式进入了民营经济主导的</w:t>
      </w:r>
      <w:r w:rsidR="00CC76D0">
        <w:rPr>
          <w:rFonts w:hint="eastAsia"/>
        </w:rPr>
        <w:t>并购</w:t>
      </w:r>
      <w:r w:rsidRPr="00443354">
        <w:rPr>
          <w:rFonts w:hint="eastAsia"/>
        </w:rPr>
        <w:t>时代（见图</w:t>
      </w:r>
      <w:r w:rsidR="004D6554">
        <w:rPr>
          <w:rFonts w:hint="eastAsia"/>
        </w:rPr>
        <w:t>8</w:t>
      </w:r>
      <w:r w:rsidRPr="00443354">
        <w:rPr>
          <w:rFonts w:hint="eastAsia"/>
        </w:rPr>
        <w:t>）。</w:t>
      </w:r>
    </w:p>
    <w:p w14:paraId="65EF7EAB" w14:textId="77777777" w:rsidR="00015D94" w:rsidRPr="00191C78" w:rsidRDefault="00015D94" w:rsidP="008D2CF6">
      <w:pPr>
        <w:widowControl/>
        <w:ind w:firstLine="424"/>
        <w:rPr>
          <w:color w:val="000000"/>
          <w:szCs w:val="21"/>
        </w:rPr>
      </w:pPr>
      <w:r w:rsidRPr="00191C78">
        <w:rPr>
          <w:noProof/>
          <w:color w:val="000000"/>
          <w:szCs w:val="21"/>
        </w:rPr>
        <w:drawing>
          <wp:inline distT="0" distB="0" distL="0" distR="0" wp14:anchorId="4CF3AFD1" wp14:editId="3BACB0FB">
            <wp:extent cx="4680000" cy="2813186"/>
            <wp:effectExtent l="0" t="0" r="635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80000" cy="2813186"/>
                    </a:xfrm>
                    <a:prstGeom prst="rect">
                      <a:avLst/>
                    </a:prstGeom>
                    <a:noFill/>
                  </pic:spPr>
                </pic:pic>
              </a:graphicData>
            </a:graphic>
          </wp:inline>
        </w:drawing>
      </w:r>
    </w:p>
    <w:p w14:paraId="2FDB588A" w14:textId="22368961" w:rsidR="00326B3F" w:rsidRPr="008A645B" w:rsidRDefault="00326B3F" w:rsidP="00191C78">
      <w:pPr>
        <w:widowControl/>
        <w:ind w:firstLine="482"/>
        <w:jc w:val="center"/>
        <w:rPr>
          <w:color w:val="000000"/>
          <w:szCs w:val="21"/>
        </w:rPr>
      </w:pPr>
      <w:r w:rsidRPr="008A645B">
        <w:rPr>
          <w:rFonts w:hint="eastAsia"/>
          <w:color w:val="000000"/>
          <w:szCs w:val="21"/>
        </w:rPr>
        <w:t>图</w:t>
      </w:r>
      <w:r w:rsidR="004D6554">
        <w:rPr>
          <w:rFonts w:hint="eastAsia"/>
          <w:color w:val="000000"/>
          <w:szCs w:val="21"/>
        </w:rPr>
        <w:t>8</w:t>
      </w:r>
      <w:r w:rsidRPr="008A645B">
        <w:rPr>
          <w:rFonts w:hint="eastAsia"/>
          <w:color w:val="000000"/>
          <w:szCs w:val="21"/>
        </w:rPr>
        <w:t xml:space="preserve">  2006-2015</w:t>
      </w:r>
      <w:r w:rsidRPr="008A645B">
        <w:rPr>
          <w:rFonts w:hint="eastAsia"/>
          <w:color w:val="000000"/>
          <w:szCs w:val="21"/>
        </w:rPr>
        <w:t>年国有经济和民营经济</w:t>
      </w:r>
      <w:r w:rsidR="004A2FE2" w:rsidRPr="008A645B">
        <w:rPr>
          <w:rFonts w:hint="eastAsia"/>
          <w:color w:val="000000"/>
          <w:szCs w:val="21"/>
        </w:rPr>
        <w:t>并购</w:t>
      </w:r>
      <w:r w:rsidRPr="008A645B">
        <w:rPr>
          <w:rFonts w:hint="eastAsia"/>
          <w:color w:val="000000"/>
          <w:szCs w:val="21"/>
        </w:rPr>
        <w:t>交易金额（标的）占比趋势图</w:t>
      </w:r>
    </w:p>
    <w:p w14:paraId="0CE067A0" w14:textId="77777777" w:rsidR="00EF0E07" w:rsidRPr="00191C78" w:rsidRDefault="00EF0E07" w:rsidP="00191C78">
      <w:pPr>
        <w:spacing w:afterLines="50" w:after="156"/>
        <w:rPr>
          <w:rFonts w:ascii="Times New Roman" w:hAnsi="Times New Roman"/>
          <w:color w:val="000000"/>
          <w:szCs w:val="18"/>
        </w:rPr>
      </w:pPr>
      <w:r w:rsidRPr="00191C78">
        <w:rPr>
          <w:rFonts w:ascii="Times New Roman" w:hAnsi="Times New Roman" w:hint="eastAsia"/>
          <w:color w:val="000000"/>
          <w:szCs w:val="18"/>
        </w:rPr>
        <w:t>资料来源：北京交通大学中国企业兼并重组研究中心</w:t>
      </w:r>
      <w:proofErr w:type="spellStart"/>
      <w:r w:rsidRPr="00191C78">
        <w:rPr>
          <w:rFonts w:ascii="Times New Roman" w:hAnsi="Times New Roman"/>
          <w:color w:val="000000"/>
          <w:szCs w:val="18"/>
        </w:rPr>
        <w:t>ChinaMerger</w:t>
      </w:r>
      <w:proofErr w:type="spellEnd"/>
      <w:r w:rsidRPr="00191C78">
        <w:rPr>
          <w:rFonts w:ascii="Times New Roman" w:hAnsi="Times New Roman" w:hint="eastAsia"/>
          <w:color w:val="000000"/>
          <w:szCs w:val="18"/>
        </w:rPr>
        <w:t>数据库</w:t>
      </w:r>
    </w:p>
    <w:p w14:paraId="17F40F2A" w14:textId="77777777" w:rsidR="00B30833" w:rsidRPr="00543BA5" w:rsidRDefault="00B30833" w:rsidP="00B30833">
      <w:pPr>
        <w:widowControl/>
        <w:spacing w:line="0" w:lineRule="auto"/>
        <w:jc w:val="left"/>
        <w:rPr>
          <w:rFonts w:ascii="Simsun" w:eastAsia="宋体" w:hAnsi="Simsun" w:cs="宋体" w:hint="eastAsia"/>
          <w:color w:val="333333"/>
          <w:kern w:val="0"/>
          <w:szCs w:val="21"/>
        </w:rPr>
      </w:pPr>
    </w:p>
    <w:p w14:paraId="08F66DEA" w14:textId="77777777" w:rsidR="00B30833" w:rsidRPr="00543BA5" w:rsidRDefault="00B30833" w:rsidP="00B30833">
      <w:pPr>
        <w:widowControl/>
        <w:spacing w:line="0" w:lineRule="auto"/>
        <w:jc w:val="left"/>
        <w:rPr>
          <w:rFonts w:ascii="Simsun" w:eastAsia="宋体" w:hAnsi="Simsun" w:cs="宋体" w:hint="eastAsia"/>
          <w:color w:val="333333"/>
          <w:kern w:val="0"/>
          <w:szCs w:val="21"/>
        </w:rPr>
      </w:pPr>
    </w:p>
    <w:p w14:paraId="70E37190" w14:textId="77777777" w:rsidR="00B30833" w:rsidRPr="00543BA5" w:rsidRDefault="007123DD" w:rsidP="00A2006A">
      <w:pPr>
        <w:pStyle w:val="2"/>
      </w:pPr>
      <w:r>
        <w:rPr>
          <w:rFonts w:hint="eastAsia"/>
        </w:rPr>
        <w:lastRenderedPageBreak/>
        <w:t>5.</w:t>
      </w:r>
      <w:r w:rsidR="00FE56F5">
        <w:t>外资并购逐渐回暖</w:t>
      </w:r>
    </w:p>
    <w:p w14:paraId="60888D0F" w14:textId="5655F65E" w:rsidR="00B30833" w:rsidRDefault="00B30833" w:rsidP="006E5E84">
      <w:pPr>
        <w:widowControl/>
        <w:spacing w:after="210"/>
        <w:ind w:firstLine="426"/>
        <w:jc w:val="left"/>
        <w:rPr>
          <w:rFonts w:ascii="Simsun" w:eastAsia="宋体" w:hAnsi="Simsun" w:cs="宋体" w:hint="eastAsia"/>
          <w:color w:val="333333"/>
          <w:kern w:val="0"/>
          <w:szCs w:val="21"/>
        </w:rPr>
      </w:pPr>
      <w:r w:rsidRPr="00443354">
        <w:t>2013</w:t>
      </w:r>
      <w:r w:rsidR="003A39B2" w:rsidRPr="00443354">
        <w:t>年外资并购跌落谷底</w:t>
      </w:r>
      <w:r w:rsidR="003A39B2" w:rsidRPr="00443354">
        <w:rPr>
          <w:rFonts w:hint="eastAsia"/>
        </w:rPr>
        <w:t>，</w:t>
      </w:r>
      <w:r w:rsidRPr="00443354">
        <w:t>2014</w:t>
      </w:r>
      <w:r w:rsidR="003A39B2" w:rsidRPr="00443354">
        <w:rPr>
          <w:rFonts w:hint="eastAsia"/>
        </w:rPr>
        <w:t>、</w:t>
      </w:r>
      <w:r w:rsidR="003A39B2" w:rsidRPr="00443354">
        <w:rPr>
          <w:rFonts w:hint="eastAsia"/>
        </w:rPr>
        <w:t>2015</w:t>
      </w:r>
      <w:r w:rsidR="007E0FE8" w:rsidRPr="00443354">
        <w:t>年外资并购交易数量大幅增加，</w:t>
      </w:r>
      <w:r w:rsidRPr="00443354">
        <w:t>交易金额</w:t>
      </w:r>
      <w:r w:rsidR="007E0FE8" w:rsidRPr="00443354">
        <w:t>也</w:t>
      </w:r>
      <w:r w:rsidRPr="00443354">
        <w:t>同步增加，反映了外资并购</w:t>
      </w:r>
      <w:r w:rsidR="007E0FE8" w:rsidRPr="00443354">
        <w:rPr>
          <w:rFonts w:hint="eastAsia"/>
        </w:rPr>
        <w:t>逐渐回暖</w:t>
      </w:r>
      <w:r w:rsidRPr="00443354">
        <w:t>（见图</w:t>
      </w:r>
      <w:r w:rsidR="004D6554">
        <w:rPr>
          <w:rFonts w:hint="eastAsia"/>
        </w:rPr>
        <w:t>9</w:t>
      </w:r>
      <w:r w:rsidRPr="00443354">
        <w:t>）。</w:t>
      </w:r>
    </w:p>
    <w:p w14:paraId="71985A14" w14:textId="77777777" w:rsidR="007E0FE8" w:rsidRPr="00191C78" w:rsidRDefault="007E0FE8" w:rsidP="008D2CF6">
      <w:pPr>
        <w:widowControl/>
        <w:ind w:firstLine="482"/>
        <w:rPr>
          <w:color w:val="000000"/>
          <w:szCs w:val="21"/>
        </w:rPr>
      </w:pPr>
      <w:r w:rsidRPr="00191C78">
        <w:rPr>
          <w:noProof/>
          <w:color w:val="000000"/>
          <w:szCs w:val="21"/>
        </w:rPr>
        <w:drawing>
          <wp:inline distT="0" distB="0" distL="0" distR="0" wp14:anchorId="6B0E4EAB" wp14:editId="1EECECE3">
            <wp:extent cx="4680000" cy="2418038"/>
            <wp:effectExtent l="0" t="0" r="635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80000" cy="2418038"/>
                    </a:xfrm>
                    <a:prstGeom prst="rect">
                      <a:avLst/>
                    </a:prstGeom>
                    <a:noFill/>
                  </pic:spPr>
                </pic:pic>
              </a:graphicData>
            </a:graphic>
          </wp:inline>
        </w:drawing>
      </w:r>
    </w:p>
    <w:p w14:paraId="7CC4A51A" w14:textId="3DA5D3AD" w:rsidR="00326B3F" w:rsidRPr="008A645B" w:rsidRDefault="00326B3F" w:rsidP="00191C78">
      <w:pPr>
        <w:widowControl/>
        <w:ind w:firstLine="482"/>
        <w:jc w:val="center"/>
        <w:rPr>
          <w:color w:val="000000"/>
          <w:szCs w:val="21"/>
        </w:rPr>
      </w:pPr>
      <w:r w:rsidRPr="008A645B">
        <w:rPr>
          <w:rFonts w:hint="eastAsia"/>
          <w:color w:val="000000"/>
          <w:szCs w:val="21"/>
        </w:rPr>
        <w:t>图</w:t>
      </w:r>
      <w:r w:rsidR="004D6554">
        <w:rPr>
          <w:rFonts w:hint="eastAsia"/>
          <w:color w:val="000000"/>
          <w:szCs w:val="21"/>
        </w:rPr>
        <w:t>9</w:t>
      </w:r>
      <w:r w:rsidRPr="008A645B">
        <w:rPr>
          <w:color w:val="000000"/>
          <w:szCs w:val="21"/>
        </w:rPr>
        <w:t xml:space="preserve">  2007-2015</w:t>
      </w:r>
      <w:r w:rsidRPr="008A645B">
        <w:rPr>
          <w:rFonts w:hint="eastAsia"/>
          <w:color w:val="000000"/>
          <w:szCs w:val="21"/>
        </w:rPr>
        <w:t>外资</w:t>
      </w:r>
      <w:r w:rsidR="004A2FE2" w:rsidRPr="008A645B">
        <w:rPr>
          <w:rFonts w:hint="eastAsia"/>
          <w:color w:val="000000"/>
          <w:szCs w:val="21"/>
        </w:rPr>
        <w:t>并购</w:t>
      </w:r>
      <w:r w:rsidRPr="008A645B">
        <w:rPr>
          <w:rFonts w:hint="eastAsia"/>
          <w:color w:val="000000"/>
          <w:szCs w:val="21"/>
        </w:rPr>
        <w:t>规模</w:t>
      </w:r>
    </w:p>
    <w:p w14:paraId="1EFECFC2" w14:textId="77777777" w:rsidR="00326B3F" w:rsidRPr="00191C78" w:rsidRDefault="00EF0E07" w:rsidP="00191C78">
      <w:pPr>
        <w:spacing w:afterLines="50" w:after="156"/>
        <w:rPr>
          <w:rFonts w:ascii="Times New Roman" w:hAnsi="Times New Roman"/>
          <w:color w:val="000000"/>
          <w:szCs w:val="18"/>
        </w:rPr>
      </w:pPr>
      <w:r w:rsidRPr="00191C78">
        <w:rPr>
          <w:rFonts w:ascii="Times New Roman" w:hAnsi="Times New Roman" w:hint="eastAsia"/>
          <w:color w:val="000000"/>
          <w:szCs w:val="18"/>
        </w:rPr>
        <w:t>资料来源：北京交通大学中国企业兼并重组研究中心</w:t>
      </w:r>
      <w:proofErr w:type="spellStart"/>
      <w:r w:rsidRPr="00191C78">
        <w:rPr>
          <w:rFonts w:ascii="Times New Roman" w:hAnsi="Times New Roman"/>
          <w:color w:val="000000"/>
          <w:szCs w:val="18"/>
        </w:rPr>
        <w:t>ChinaMerger</w:t>
      </w:r>
      <w:proofErr w:type="spellEnd"/>
      <w:r w:rsidRPr="00191C78">
        <w:rPr>
          <w:rFonts w:ascii="Times New Roman" w:hAnsi="Times New Roman" w:hint="eastAsia"/>
          <w:color w:val="000000"/>
          <w:szCs w:val="18"/>
        </w:rPr>
        <w:t>数据库</w:t>
      </w:r>
    </w:p>
    <w:p w14:paraId="3074FBF3" w14:textId="6603803A" w:rsidR="004D44F3" w:rsidRPr="00AB7244" w:rsidRDefault="007E0FE8" w:rsidP="00AB7244">
      <w:pPr>
        <w:widowControl/>
        <w:spacing w:after="210"/>
        <w:ind w:firstLine="426"/>
        <w:jc w:val="left"/>
      </w:pPr>
      <w:r w:rsidRPr="00443354">
        <w:rPr>
          <w:rFonts w:hint="eastAsia"/>
        </w:rPr>
        <w:t>从外资并购的标的行业分布来看，</w:t>
      </w:r>
      <w:r w:rsidRPr="00443354">
        <w:rPr>
          <w:rFonts w:hint="eastAsia"/>
        </w:rPr>
        <w:t>2015</w:t>
      </w:r>
      <w:r w:rsidRPr="00443354">
        <w:rPr>
          <w:rFonts w:hint="eastAsia"/>
        </w:rPr>
        <w:t>年外资并购案例共涉及</w:t>
      </w:r>
      <w:r w:rsidRPr="00443354">
        <w:rPr>
          <w:rFonts w:hint="eastAsia"/>
        </w:rPr>
        <w:t>10</w:t>
      </w:r>
      <w:r w:rsidRPr="00443354">
        <w:rPr>
          <w:rFonts w:hint="eastAsia"/>
        </w:rPr>
        <w:t>个行业，具体数据如表</w:t>
      </w:r>
      <w:r w:rsidRPr="00443354">
        <w:rPr>
          <w:rFonts w:hint="eastAsia"/>
        </w:rPr>
        <w:t>2.4</w:t>
      </w:r>
      <w:r w:rsidRPr="00443354">
        <w:rPr>
          <w:rFonts w:hint="eastAsia"/>
        </w:rPr>
        <w:t>所示。交易金额排名前五的行业如表</w:t>
      </w:r>
      <w:r w:rsidRPr="00443354">
        <w:rPr>
          <w:rFonts w:hint="eastAsia"/>
        </w:rPr>
        <w:t>2.5</w:t>
      </w:r>
      <w:r w:rsidRPr="00443354">
        <w:rPr>
          <w:rFonts w:hint="eastAsia"/>
        </w:rPr>
        <w:t>所示。在交易数量上，制造业居首位，信息传输、软件和信息技术服务业排名第二（见图</w:t>
      </w:r>
      <w:r w:rsidR="004D6554">
        <w:rPr>
          <w:rFonts w:hint="eastAsia"/>
        </w:rPr>
        <w:t>10</w:t>
      </w:r>
      <w:r w:rsidRPr="00443354">
        <w:rPr>
          <w:rFonts w:hint="eastAsia"/>
        </w:rPr>
        <w:t>）；在交易金额上，制造业居首位，电力、热力、燃气及水的生产和供应业排名第二。其中，制造业中交易数量和交易数量最多的都是计算机、通信和其他电子设备制造业</w:t>
      </w:r>
      <w:r w:rsidR="004D44F3" w:rsidRPr="00443354">
        <w:rPr>
          <w:rFonts w:hint="eastAsia"/>
        </w:rPr>
        <w:t>（要不要加点类似“这也反映了外资企业加速中国市场布局”）</w:t>
      </w:r>
      <w:r w:rsidRPr="00443354">
        <w:rPr>
          <w:rFonts w:hint="eastAsia"/>
        </w:rPr>
        <w:t>。</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251"/>
        <w:gridCol w:w="2551"/>
        <w:gridCol w:w="2526"/>
      </w:tblGrid>
      <w:tr w:rsidR="004D44F3" w14:paraId="419F60A9" w14:textId="77777777" w:rsidTr="004D44F3">
        <w:trPr>
          <w:trHeight w:val="59"/>
          <w:tblHeader/>
          <w:jc w:val="center"/>
        </w:trPr>
        <w:tc>
          <w:tcPr>
            <w:tcW w:w="3251" w:type="dxa"/>
            <w:shd w:val="clear" w:color="auto" w:fill="BFBFBF"/>
            <w:tcMar>
              <w:top w:w="15" w:type="dxa"/>
              <w:left w:w="15" w:type="dxa"/>
              <w:bottom w:w="0" w:type="dxa"/>
              <w:right w:w="15" w:type="dxa"/>
            </w:tcMar>
            <w:vAlign w:val="center"/>
            <w:hideMark/>
          </w:tcPr>
          <w:p w14:paraId="12F27524" w14:textId="77777777" w:rsidR="004D44F3" w:rsidRPr="00DF55DF" w:rsidRDefault="004D44F3" w:rsidP="00112C45">
            <w:pPr>
              <w:spacing w:line="300" w:lineRule="auto"/>
              <w:jc w:val="center"/>
              <w:rPr>
                <w:rFonts w:ascii="Times New Roman" w:hAnsi="Times New Roman"/>
                <w:szCs w:val="21"/>
              </w:rPr>
            </w:pPr>
            <w:r w:rsidRPr="00DF55DF">
              <w:rPr>
                <w:rFonts w:ascii="Times New Roman" w:hAnsi="Times New Roman" w:hint="eastAsia"/>
                <w:b/>
                <w:bCs/>
                <w:szCs w:val="21"/>
              </w:rPr>
              <w:t>行业</w:t>
            </w:r>
          </w:p>
        </w:tc>
        <w:tc>
          <w:tcPr>
            <w:tcW w:w="2551" w:type="dxa"/>
            <w:shd w:val="clear" w:color="auto" w:fill="BFBFBF"/>
            <w:tcMar>
              <w:top w:w="15" w:type="dxa"/>
              <w:left w:w="15" w:type="dxa"/>
              <w:bottom w:w="0" w:type="dxa"/>
              <w:right w:w="15" w:type="dxa"/>
            </w:tcMar>
            <w:vAlign w:val="center"/>
            <w:hideMark/>
          </w:tcPr>
          <w:p w14:paraId="7A84B413" w14:textId="77777777" w:rsidR="004D44F3" w:rsidRPr="00DF55DF" w:rsidRDefault="004D44F3" w:rsidP="00112C45">
            <w:pPr>
              <w:spacing w:line="300" w:lineRule="auto"/>
              <w:ind w:firstLineChars="200" w:firstLine="422"/>
              <w:jc w:val="center"/>
              <w:rPr>
                <w:rFonts w:ascii="Times New Roman" w:hAnsi="Times New Roman"/>
                <w:szCs w:val="21"/>
              </w:rPr>
            </w:pPr>
            <w:r w:rsidRPr="00DF55DF">
              <w:rPr>
                <w:rFonts w:ascii="Times New Roman" w:hAnsi="Times New Roman" w:hint="eastAsia"/>
                <w:b/>
                <w:bCs/>
                <w:szCs w:val="21"/>
              </w:rPr>
              <w:t>交易数量（宗）</w:t>
            </w:r>
          </w:p>
        </w:tc>
        <w:tc>
          <w:tcPr>
            <w:tcW w:w="2526" w:type="dxa"/>
            <w:shd w:val="clear" w:color="auto" w:fill="BFBFBF"/>
            <w:tcMar>
              <w:top w:w="15" w:type="dxa"/>
              <w:left w:w="15" w:type="dxa"/>
              <w:bottom w:w="0" w:type="dxa"/>
              <w:right w:w="15" w:type="dxa"/>
            </w:tcMar>
            <w:vAlign w:val="center"/>
            <w:hideMark/>
          </w:tcPr>
          <w:p w14:paraId="4FFD407A" w14:textId="77777777" w:rsidR="004D44F3" w:rsidRPr="00DF55DF" w:rsidRDefault="004D44F3" w:rsidP="00112C45">
            <w:pPr>
              <w:spacing w:line="300" w:lineRule="auto"/>
              <w:ind w:firstLineChars="200" w:firstLine="422"/>
              <w:jc w:val="center"/>
              <w:rPr>
                <w:rFonts w:ascii="Times New Roman" w:hAnsi="Times New Roman"/>
                <w:szCs w:val="21"/>
              </w:rPr>
            </w:pPr>
            <w:r w:rsidRPr="00DF55DF">
              <w:rPr>
                <w:rFonts w:ascii="Times New Roman" w:hAnsi="Times New Roman" w:hint="eastAsia"/>
                <w:b/>
                <w:bCs/>
                <w:szCs w:val="21"/>
              </w:rPr>
              <w:t>交易金额（万元）</w:t>
            </w:r>
          </w:p>
        </w:tc>
      </w:tr>
      <w:tr w:rsidR="004D44F3" w14:paraId="01011DCB" w14:textId="77777777" w:rsidTr="004D44F3">
        <w:trPr>
          <w:trHeight w:val="59"/>
          <w:jc w:val="center"/>
        </w:trPr>
        <w:tc>
          <w:tcPr>
            <w:tcW w:w="3251" w:type="dxa"/>
            <w:tcMar>
              <w:top w:w="15" w:type="dxa"/>
              <w:left w:w="15" w:type="dxa"/>
              <w:bottom w:w="0" w:type="dxa"/>
              <w:right w:w="15" w:type="dxa"/>
            </w:tcMar>
            <w:hideMark/>
          </w:tcPr>
          <w:p w14:paraId="1A4C1328" w14:textId="77777777" w:rsidR="004D44F3" w:rsidRDefault="004D44F3" w:rsidP="00112C45">
            <w:pPr>
              <w:jc w:val="center"/>
            </w:pPr>
            <w:r>
              <w:rPr>
                <w:rFonts w:hint="eastAsia"/>
              </w:rPr>
              <w:t>制造业</w:t>
            </w:r>
          </w:p>
        </w:tc>
        <w:tc>
          <w:tcPr>
            <w:tcW w:w="2551" w:type="dxa"/>
            <w:tcMar>
              <w:top w:w="15" w:type="dxa"/>
              <w:left w:w="15" w:type="dxa"/>
              <w:bottom w:w="0" w:type="dxa"/>
              <w:right w:w="15" w:type="dxa"/>
            </w:tcMar>
            <w:hideMark/>
          </w:tcPr>
          <w:p w14:paraId="73879E40" w14:textId="77777777" w:rsidR="004D44F3" w:rsidRDefault="004D44F3" w:rsidP="00112C45">
            <w:pPr>
              <w:jc w:val="center"/>
            </w:pPr>
            <w:r>
              <w:rPr>
                <w:rFonts w:ascii="Times New Roman" w:hAnsi="Times New Roman"/>
              </w:rPr>
              <w:t>26</w:t>
            </w:r>
          </w:p>
        </w:tc>
        <w:tc>
          <w:tcPr>
            <w:tcW w:w="2526" w:type="dxa"/>
            <w:tcMar>
              <w:top w:w="15" w:type="dxa"/>
              <w:left w:w="15" w:type="dxa"/>
              <w:bottom w:w="0" w:type="dxa"/>
              <w:right w:w="15" w:type="dxa"/>
            </w:tcMar>
            <w:hideMark/>
          </w:tcPr>
          <w:p w14:paraId="34CEEA59" w14:textId="77777777" w:rsidR="004D44F3" w:rsidRDefault="004D44F3" w:rsidP="00112C45">
            <w:pPr>
              <w:jc w:val="center"/>
            </w:pPr>
            <w:r>
              <w:rPr>
                <w:rFonts w:ascii="Times New Roman" w:hAnsi="Times New Roman"/>
              </w:rPr>
              <w:t>72.08</w:t>
            </w:r>
          </w:p>
        </w:tc>
      </w:tr>
      <w:tr w:rsidR="004D44F3" w14:paraId="5FD26066" w14:textId="77777777" w:rsidTr="004D44F3">
        <w:trPr>
          <w:trHeight w:val="59"/>
          <w:jc w:val="center"/>
        </w:trPr>
        <w:tc>
          <w:tcPr>
            <w:tcW w:w="3251" w:type="dxa"/>
            <w:tcMar>
              <w:top w:w="15" w:type="dxa"/>
              <w:left w:w="15" w:type="dxa"/>
              <w:bottom w:w="0" w:type="dxa"/>
              <w:right w:w="15" w:type="dxa"/>
            </w:tcMar>
            <w:hideMark/>
          </w:tcPr>
          <w:p w14:paraId="22E0B6D6" w14:textId="77777777" w:rsidR="004D44F3" w:rsidRDefault="004D44F3" w:rsidP="00112C45">
            <w:pPr>
              <w:jc w:val="center"/>
            </w:pPr>
            <w:r w:rsidRPr="0022358B">
              <w:rPr>
                <w:rFonts w:hint="eastAsia"/>
              </w:rPr>
              <w:t>电力、热力、燃气及水的生产和供应业</w:t>
            </w:r>
          </w:p>
        </w:tc>
        <w:tc>
          <w:tcPr>
            <w:tcW w:w="2551" w:type="dxa"/>
            <w:tcMar>
              <w:top w:w="15" w:type="dxa"/>
              <w:left w:w="15" w:type="dxa"/>
              <w:bottom w:w="0" w:type="dxa"/>
              <w:right w:w="15" w:type="dxa"/>
            </w:tcMar>
            <w:hideMark/>
          </w:tcPr>
          <w:p w14:paraId="21D2EB2A" w14:textId="77777777" w:rsidR="004D44F3" w:rsidRDefault="004D44F3" w:rsidP="00112C45">
            <w:pPr>
              <w:jc w:val="center"/>
            </w:pPr>
            <w:r>
              <w:rPr>
                <w:rFonts w:ascii="Times New Roman" w:hAnsi="Times New Roman"/>
              </w:rPr>
              <w:t>3</w:t>
            </w:r>
          </w:p>
        </w:tc>
        <w:tc>
          <w:tcPr>
            <w:tcW w:w="2526" w:type="dxa"/>
            <w:tcMar>
              <w:top w:w="15" w:type="dxa"/>
              <w:left w:w="15" w:type="dxa"/>
              <w:bottom w:w="0" w:type="dxa"/>
              <w:right w:w="15" w:type="dxa"/>
            </w:tcMar>
            <w:hideMark/>
          </w:tcPr>
          <w:p w14:paraId="33946ACF" w14:textId="77777777" w:rsidR="004D44F3" w:rsidRDefault="004D44F3" w:rsidP="00112C45">
            <w:pPr>
              <w:jc w:val="center"/>
            </w:pPr>
            <w:r>
              <w:rPr>
                <w:rFonts w:ascii="Times New Roman" w:hAnsi="Times New Roman"/>
              </w:rPr>
              <w:t>19.82</w:t>
            </w:r>
          </w:p>
        </w:tc>
      </w:tr>
      <w:tr w:rsidR="004D44F3" w14:paraId="26E63248" w14:textId="77777777" w:rsidTr="004D44F3">
        <w:trPr>
          <w:trHeight w:val="59"/>
          <w:jc w:val="center"/>
        </w:trPr>
        <w:tc>
          <w:tcPr>
            <w:tcW w:w="3251" w:type="dxa"/>
            <w:tcMar>
              <w:top w:w="15" w:type="dxa"/>
              <w:left w:w="15" w:type="dxa"/>
              <w:bottom w:w="0" w:type="dxa"/>
              <w:right w:w="15" w:type="dxa"/>
            </w:tcMar>
            <w:hideMark/>
          </w:tcPr>
          <w:p w14:paraId="24C91F68" w14:textId="77777777" w:rsidR="004D44F3" w:rsidRDefault="004D44F3" w:rsidP="00112C45">
            <w:pPr>
              <w:jc w:val="center"/>
            </w:pPr>
            <w:r w:rsidRPr="0022358B">
              <w:rPr>
                <w:rFonts w:hint="eastAsia"/>
              </w:rPr>
              <w:t>居民服务、修理和其他服务业</w:t>
            </w:r>
          </w:p>
        </w:tc>
        <w:tc>
          <w:tcPr>
            <w:tcW w:w="2551" w:type="dxa"/>
            <w:tcMar>
              <w:top w:w="15" w:type="dxa"/>
              <w:left w:w="15" w:type="dxa"/>
              <w:bottom w:w="0" w:type="dxa"/>
              <w:right w:w="15" w:type="dxa"/>
            </w:tcMar>
            <w:hideMark/>
          </w:tcPr>
          <w:p w14:paraId="52C69B9E" w14:textId="77777777" w:rsidR="004D44F3" w:rsidRDefault="004D44F3" w:rsidP="00112C45">
            <w:pPr>
              <w:jc w:val="center"/>
            </w:pPr>
            <w:r>
              <w:rPr>
                <w:rFonts w:ascii="Times New Roman" w:hAnsi="Times New Roman"/>
              </w:rPr>
              <w:t>1</w:t>
            </w:r>
          </w:p>
        </w:tc>
        <w:tc>
          <w:tcPr>
            <w:tcW w:w="2526" w:type="dxa"/>
            <w:tcMar>
              <w:top w:w="15" w:type="dxa"/>
              <w:left w:w="15" w:type="dxa"/>
              <w:bottom w:w="0" w:type="dxa"/>
              <w:right w:w="15" w:type="dxa"/>
            </w:tcMar>
            <w:hideMark/>
          </w:tcPr>
          <w:p w14:paraId="284CD723" w14:textId="77777777" w:rsidR="004D44F3" w:rsidRDefault="004D44F3" w:rsidP="00112C45">
            <w:pPr>
              <w:jc w:val="center"/>
            </w:pPr>
            <w:r>
              <w:rPr>
                <w:rFonts w:ascii="Times New Roman" w:hAnsi="Times New Roman"/>
              </w:rPr>
              <w:t>11.28</w:t>
            </w:r>
          </w:p>
        </w:tc>
      </w:tr>
      <w:tr w:rsidR="004D44F3" w14:paraId="19143A5B" w14:textId="77777777" w:rsidTr="004D44F3">
        <w:trPr>
          <w:trHeight w:val="59"/>
          <w:jc w:val="center"/>
        </w:trPr>
        <w:tc>
          <w:tcPr>
            <w:tcW w:w="3251" w:type="dxa"/>
            <w:tcMar>
              <w:top w:w="15" w:type="dxa"/>
              <w:left w:w="15" w:type="dxa"/>
              <w:bottom w:w="0" w:type="dxa"/>
              <w:right w:w="15" w:type="dxa"/>
            </w:tcMar>
            <w:hideMark/>
          </w:tcPr>
          <w:p w14:paraId="6823C274" w14:textId="77777777" w:rsidR="004D44F3" w:rsidRDefault="004D44F3" w:rsidP="00112C45">
            <w:pPr>
              <w:jc w:val="center"/>
            </w:pPr>
            <w:r>
              <w:rPr>
                <w:rFonts w:hint="eastAsia"/>
              </w:rPr>
              <w:t>金融业</w:t>
            </w:r>
          </w:p>
        </w:tc>
        <w:tc>
          <w:tcPr>
            <w:tcW w:w="2551" w:type="dxa"/>
            <w:tcMar>
              <w:top w:w="15" w:type="dxa"/>
              <w:left w:w="15" w:type="dxa"/>
              <w:bottom w:w="0" w:type="dxa"/>
              <w:right w:w="15" w:type="dxa"/>
            </w:tcMar>
            <w:hideMark/>
          </w:tcPr>
          <w:p w14:paraId="3EE7D53A" w14:textId="77777777" w:rsidR="004D44F3" w:rsidRDefault="004D44F3" w:rsidP="00112C45">
            <w:pPr>
              <w:jc w:val="center"/>
            </w:pPr>
            <w:r>
              <w:rPr>
                <w:rFonts w:ascii="Times New Roman" w:hAnsi="Times New Roman"/>
              </w:rPr>
              <w:t>3</w:t>
            </w:r>
          </w:p>
        </w:tc>
        <w:tc>
          <w:tcPr>
            <w:tcW w:w="2526" w:type="dxa"/>
            <w:tcMar>
              <w:top w:w="15" w:type="dxa"/>
              <w:left w:w="15" w:type="dxa"/>
              <w:bottom w:w="0" w:type="dxa"/>
              <w:right w:w="15" w:type="dxa"/>
            </w:tcMar>
            <w:hideMark/>
          </w:tcPr>
          <w:p w14:paraId="5EEBD9ED" w14:textId="77777777" w:rsidR="004D44F3" w:rsidRDefault="004D44F3" w:rsidP="00112C45">
            <w:pPr>
              <w:jc w:val="center"/>
            </w:pPr>
            <w:r>
              <w:rPr>
                <w:rFonts w:ascii="Times New Roman" w:hAnsi="Times New Roman"/>
              </w:rPr>
              <w:t>10.50</w:t>
            </w:r>
          </w:p>
        </w:tc>
      </w:tr>
      <w:tr w:rsidR="004D44F3" w14:paraId="2083BE2B" w14:textId="77777777" w:rsidTr="004D44F3">
        <w:trPr>
          <w:trHeight w:val="59"/>
          <w:jc w:val="center"/>
        </w:trPr>
        <w:tc>
          <w:tcPr>
            <w:tcW w:w="3251" w:type="dxa"/>
            <w:tcMar>
              <w:top w:w="15" w:type="dxa"/>
              <w:left w:w="15" w:type="dxa"/>
              <w:bottom w:w="0" w:type="dxa"/>
              <w:right w:w="15" w:type="dxa"/>
            </w:tcMar>
            <w:hideMark/>
          </w:tcPr>
          <w:p w14:paraId="380F860F" w14:textId="77777777" w:rsidR="004D44F3" w:rsidRDefault="004D44F3" w:rsidP="00112C45">
            <w:pPr>
              <w:jc w:val="center"/>
            </w:pPr>
            <w:r w:rsidRPr="0022358B">
              <w:rPr>
                <w:rFonts w:hint="eastAsia"/>
              </w:rPr>
              <w:t>科学研究和技术服务业</w:t>
            </w:r>
          </w:p>
        </w:tc>
        <w:tc>
          <w:tcPr>
            <w:tcW w:w="2551" w:type="dxa"/>
            <w:tcMar>
              <w:top w:w="15" w:type="dxa"/>
              <w:left w:w="15" w:type="dxa"/>
              <w:bottom w:w="0" w:type="dxa"/>
              <w:right w:w="15" w:type="dxa"/>
            </w:tcMar>
            <w:hideMark/>
          </w:tcPr>
          <w:p w14:paraId="4696AE7D" w14:textId="77777777" w:rsidR="004D44F3" w:rsidRDefault="004D44F3" w:rsidP="00112C45">
            <w:pPr>
              <w:jc w:val="center"/>
            </w:pPr>
            <w:r>
              <w:rPr>
                <w:rFonts w:ascii="Times New Roman" w:hAnsi="Times New Roman"/>
              </w:rPr>
              <w:t>3</w:t>
            </w:r>
          </w:p>
        </w:tc>
        <w:tc>
          <w:tcPr>
            <w:tcW w:w="2526" w:type="dxa"/>
            <w:tcMar>
              <w:top w:w="15" w:type="dxa"/>
              <w:left w:w="15" w:type="dxa"/>
              <w:bottom w:w="0" w:type="dxa"/>
              <w:right w:w="15" w:type="dxa"/>
            </w:tcMar>
            <w:hideMark/>
          </w:tcPr>
          <w:p w14:paraId="1DB0BE5D" w14:textId="77777777" w:rsidR="004D44F3" w:rsidRDefault="004D44F3" w:rsidP="00112C45">
            <w:pPr>
              <w:jc w:val="center"/>
            </w:pPr>
            <w:r>
              <w:rPr>
                <w:rFonts w:ascii="Times New Roman" w:hAnsi="Times New Roman"/>
              </w:rPr>
              <w:t>7.01</w:t>
            </w:r>
          </w:p>
        </w:tc>
      </w:tr>
    </w:tbl>
    <w:p w14:paraId="79233CED" w14:textId="77777777" w:rsidR="00B30833" w:rsidRPr="00543BA5" w:rsidRDefault="00B30833" w:rsidP="00B30833">
      <w:pPr>
        <w:widowControl/>
        <w:spacing w:line="0" w:lineRule="auto"/>
        <w:jc w:val="left"/>
        <w:rPr>
          <w:rFonts w:ascii="Simsun" w:eastAsia="宋体" w:hAnsi="Simsun" w:cs="宋体" w:hint="eastAsia"/>
          <w:color w:val="333333"/>
          <w:kern w:val="0"/>
          <w:szCs w:val="21"/>
        </w:rPr>
      </w:pPr>
    </w:p>
    <w:p w14:paraId="57E550F9" w14:textId="77777777" w:rsidR="00B30833" w:rsidRPr="00543BA5" w:rsidRDefault="00B30833" w:rsidP="00B30833">
      <w:pPr>
        <w:widowControl/>
        <w:spacing w:line="0" w:lineRule="auto"/>
        <w:jc w:val="left"/>
        <w:rPr>
          <w:rFonts w:ascii="Simsun" w:eastAsia="宋体" w:hAnsi="Simsun" w:cs="宋体" w:hint="eastAsia"/>
          <w:color w:val="333333"/>
          <w:kern w:val="0"/>
          <w:szCs w:val="21"/>
        </w:rPr>
      </w:pPr>
    </w:p>
    <w:p w14:paraId="13604A7C" w14:textId="2790C893" w:rsidR="00EF0E07" w:rsidRPr="008A645B" w:rsidRDefault="00EF0E07" w:rsidP="008A645B">
      <w:pPr>
        <w:widowControl/>
        <w:ind w:firstLine="480"/>
        <w:jc w:val="center"/>
        <w:rPr>
          <w:color w:val="000000"/>
          <w:szCs w:val="21"/>
        </w:rPr>
      </w:pPr>
      <w:r w:rsidRPr="008A645B">
        <w:rPr>
          <w:rFonts w:hint="eastAsia"/>
          <w:color w:val="000000"/>
          <w:szCs w:val="21"/>
        </w:rPr>
        <w:t>图</w:t>
      </w:r>
      <w:r w:rsidR="004D6554">
        <w:rPr>
          <w:rFonts w:hint="eastAsia"/>
          <w:color w:val="000000"/>
          <w:szCs w:val="21"/>
        </w:rPr>
        <w:t>10</w:t>
      </w:r>
      <w:r w:rsidRPr="008A645B">
        <w:rPr>
          <w:rFonts w:hint="eastAsia"/>
          <w:color w:val="000000"/>
          <w:szCs w:val="21"/>
        </w:rPr>
        <w:t xml:space="preserve">  2015</w:t>
      </w:r>
      <w:r w:rsidRPr="008A645B">
        <w:rPr>
          <w:rFonts w:hint="eastAsia"/>
          <w:color w:val="000000"/>
          <w:szCs w:val="21"/>
        </w:rPr>
        <w:t>年中国企业外资并购前</w:t>
      </w:r>
      <w:r w:rsidRPr="008A645B">
        <w:rPr>
          <w:rFonts w:hint="eastAsia"/>
          <w:color w:val="000000"/>
          <w:szCs w:val="21"/>
        </w:rPr>
        <w:t>5</w:t>
      </w:r>
      <w:r w:rsidRPr="008A645B">
        <w:rPr>
          <w:rFonts w:hint="eastAsia"/>
          <w:color w:val="000000"/>
          <w:szCs w:val="21"/>
        </w:rPr>
        <w:t>大行业分布（按交易金额）</w:t>
      </w:r>
    </w:p>
    <w:p w14:paraId="70162B58" w14:textId="77777777" w:rsidR="00EF0E07" w:rsidRPr="00191C78" w:rsidRDefault="00EF0E07" w:rsidP="00191C78">
      <w:pPr>
        <w:spacing w:afterLines="50" w:after="156"/>
        <w:rPr>
          <w:rFonts w:ascii="Times New Roman" w:hAnsi="Times New Roman"/>
          <w:color w:val="000000"/>
          <w:szCs w:val="18"/>
        </w:rPr>
      </w:pPr>
      <w:r w:rsidRPr="00191C78">
        <w:rPr>
          <w:rFonts w:ascii="Times New Roman" w:hAnsi="Times New Roman" w:hint="eastAsia"/>
          <w:color w:val="000000"/>
          <w:szCs w:val="18"/>
        </w:rPr>
        <w:t>资料来源：北京交通大学中国企业兼并重组研究中心</w:t>
      </w:r>
      <w:proofErr w:type="spellStart"/>
      <w:r w:rsidRPr="00191C78">
        <w:rPr>
          <w:rFonts w:ascii="Times New Roman" w:hAnsi="Times New Roman"/>
          <w:color w:val="000000"/>
          <w:szCs w:val="18"/>
        </w:rPr>
        <w:t>ChinaMerger</w:t>
      </w:r>
      <w:proofErr w:type="spellEnd"/>
      <w:r w:rsidRPr="00191C78">
        <w:rPr>
          <w:rFonts w:ascii="Times New Roman" w:hAnsi="Times New Roman" w:hint="eastAsia"/>
          <w:color w:val="000000"/>
          <w:szCs w:val="18"/>
        </w:rPr>
        <w:t>数据库</w:t>
      </w:r>
    </w:p>
    <w:p w14:paraId="1D89C6EE" w14:textId="77777777" w:rsidR="00B30833" w:rsidRPr="00543BA5" w:rsidRDefault="007123DD" w:rsidP="00A2006A">
      <w:pPr>
        <w:pStyle w:val="2"/>
      </w:pPr>
      <w:r>
        <w:rPr>
          <w:rFonts w:hint="eastAsia"/>
        </w:rPr>
        <w:t>6.</w:t>
      </w:r>
      <w:r w:rsidR="00B30833" w:rsidRPr="00543BA5">
        <w:t>海外并购</w:t>
      </w:r>
      <w:r w:rsidR="001552DC">
        <w:rPr>
          <w:rFonts w:hint="eastAsia"/>
        </w:rPr>
        <w:t>量</w:t>
      </w:r>
      <w:r w:rsidR="001552DC">
        <w:t>多规模小</w:t>
      </w:r>
    </w:p>
    <w:p w14:paraId="49A16AF5" w14:textId="77777777" w:rsidR="00B30833" w:rsidRPr="00443354" w:rsidRDefault="002E4237" w:rsidP="006E5E84">
      <w:pPr>
        <w:widowControl/>
        <w:spacing w:after="210"/>
        <w:ind w:firstLine="426"/>
        <w:jc w:val="left"/>
      </w:pPr>
      <w:r w:rsidRPr="00443354">
        <w:t>201</w:t>
      </w:r>
      <w:r w:rsidRPr="00443354">
        <w:rPr>
          <w:rFonts w:hint="eastAsia"/>
        </w:rPr>
        <w:t>5</w:t>
      </w:r>
      <w:r w:rsidR="00B30833" w:rsidRPr="00443354">
        <w:t>年海外并购交易数量</w:t>
      </w:r>
      <w:r w:rsidRPr="00443354">
        <w:t>小幅上升</w:t>
      </w:r>
      <w:r w:rsidRPr="00443354">
        <w:rPr>
          <w:rFonts w:hint="eastAsia"/>
        </w:rPr>
        <w:t>，</w:t>
      </w:r>
      <w:r w:rsidRPr="00443354">
        <w:t>交易金额小幅下降</w:t>
      </w:r>
      <w:r w:rsidR="00B30833" w:rsidRPr="00443354">
        <w:t>，相比</w:t>
      </w:r>
      <w:r w:rsidR="00B30833" w:rsidRPr="00443354">
        <w:t>2008</w:t>
      </w:r>
      <w:r w:rsidR="00B30833" w:rsidRPr="00443354">
        <w:t>年前后交易金额的剧烈波动，近</w:t>
      </w:r>
      <w:r w:rsidR="00B30833" w:rsidRPr="00443354">
        <w:t>3</w:t>
      </w:r>
      <w:r w:rsidR="00B30833" w:rsidRPr="00443354">
        <w:t>年交易数量和交易金额基本维持在稳定水平。</w:t>
      </w:r>
    </w:p>
    <w:p w14:paraId="50911251" w14:textId="35019133" w:rsidR="002E4237" w:rsidRPr="00AB7244" w:rsidRDefault="002E4237" w:rsidP="00AB7244">
      <w:pPr>
        <w:widowControl/>
        <w:spacing w:after="210"/>
        <w:ind w:firstLine="426"/>
        <w:jc w:val="left"/>
      </w:pPr>
      <w:r w:rsidRPr="00443354">
        <w:rPr>
          <w:rFonts w:hint="eastAsia"/>
        </w:rPr>
        <w:lastRenderedPageBreak/>
        <w:t>2015</w:t>
      </w:r>
      <w:r w:rsidRPr="00443354">
        <w:rPr>
          <w:rFonts w:hint="eastAsia"/>
        </w:rPr>
        <w:t>年中国企业共发生</w:t>
      </w:r>
      <w:r w:rsidRPr="00443354">
        <w:rPr>
          <w:rFonts w:hint="eastAsia"/>
        </w:rPr>
        <w:t>88</w:t>
      </w:r>
      <w:r w:rsidRPr="00443354">
        <w:rPr>
          <w:rFonts w:hint="eastAsia"/>
        </w:rPr>
        <w:t>宗海外并购，交易金额达</w:t>
      </w:r>
      <w:r w:rsidRPr="00443354">
        <w:rPr>
          <w:rFonts w:hint="eastAsia"/>
        </w:rPr>
        <w:t>323.18</w:t>
      </w:r>
      <w:r w:rsidRPr="00443354">
        <w:rPr>
          <w:rFonts w:hint="eastAsia"/>
        </w:rPr>
        <w:t>亿元，平均交易金额</w:t>
      </w:r>
      <w:r w:rsidRPr="00443354">
        <w:rPr>
          <w:rFonts w:hint="eastAsia"/>
        </w:rPr>
        <w:t>3.67</w:t>
      </w:r>
      <w:r w:rsidRPr="00443354">
        <w:rPr>
          <w:rFonts w:hint="eastAsia"/>
        </w:rPr>
        <w:t>亿元，比</w:t>
      </w:r>
      <w:r w:rsidRPr="00443354">
        <w:rPr>
          <w:rFonts w:hint="eastAsia"/>
        </w:rPr>
        <w:t>2014</w:t>
      </w:r>
      <w:r w:rsidRPr="00443354">
        <w:rPr>
          <w:rFonts w:hint="eastAsia"/>
        </w:rPr>
        <w:t>的平均交易金额</w:t>
      </w:r>
      <w:r w:rsidRPr="00443354">
        <w:rPr>
          <w:rFonts w:hint="eastAsia"/>
        </w:rPr>
        <w:t>4.4</w:t>
      </w:r>
      <w:r w:rsidRPr="00443354">
        <w:rPr>
          <w:rFonts w:hint="eastAsia"/>
        </w:rPr>
        <w:t>亿元略有下降。</w:t>
      </w:r>
      <w:r w:rsidR="00B30833" w:rsidRPr="00443354">
        <w:t>（见图</w:t>
      </w:r>
      <w:r w:rsidR="004D6554">
        <w:rPr>
          <w:rFonts w:hint="eastAsia"/>
        </w:rPr>
        <w:t>11</w:t>
      </w:r>
      <w:r w:rsidR="00B30833" w:rsidRPr="00443354">
        <w:t>）。</w:t>
      </w:r>
    </w:p>
    <w:p w14:paraId="68789B0B" w14:textId="77777777" w:rsidR="002E4237" w:rsidRPr="00191C78" w:rsidRDefault="002E4237" w:rsidP="008D2CF6">
      <w:pPr>
        <w:widowControl/>
        <w:ind w:firstLine="482"/>
        <w:rPr>
          <w:color w:val="000000"/>
          <w:szCs w:val="21"/>
        </w:rPr>
      </w:pPr>
      <w:r w:rsidRPr="00191C78">
        <w:rPr>
          <w:noProof/>
          <w:color w:val="000000"/>
          <w:szCs w:val="21"/>
        </w:rPr>
        <w:drawing>
          <wp:inline distT="0" distB="0" distL="0" distR="0" wp14:anchorId="02487033" wp14:editId="3004FCB1">
            <wp:extent cx="4680000" cy="2752158"/>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80000" cy="2752158"/>
                    </a:xfrm>
                    <a:prstGeom prst="rect">
                      <a:avLst/>
                    </a:prstGeom>
                    <a:noFill/>
                  </pic:spPr>
                </pic:pic>
              </a:graphicData>
            </a:graphic>
          </wp:inline>
        </w:drawing>
      </w:r>
    </w:p>
    <w:p w14:paraId="75E0EB3B" w14:textId="22125958" w:rsidR="00EF0E07" w:rsidRPr="008A645B" w:rsidRDefault="00EF0E07" w:rsidP="00191C78">
      <w:pPr>
        <w:widowControl/>
        <w:ind w:firstLine="482"/>
        <w:jc w:val="center"/>
        <w:rPr>
          <w:color w:val="000000"/>
          <w:szCs w:val="21"/>
        </w:rPr>
      </w:pPr>
      <w:r w:rsidRPr="008A645B">
        <w:rPr>
          <w:rFonts w:hint="eastAsia"/>
          <w:color w:val="000000"/>
          <w:szCs w:val="21"/>
        </w:rPr>
        <w:t>图</w:t>
      </w:r>
      <w:r w:rsidR="004D6554">
        <w:rPr>
          <w:rFonts w:hint="eastAsia"/>
          <w:color w:val="000000"/>
          <w:szCs w:val="21"/>
        </w:rPr>
        <w:t>11</w:t>
      </w:r>
      <w:r w:rsidRPr="008A645B">
        <w:rPr>
          <w:color w:val="000000"/>
          <w:szCs w:val="21"/>
        </w:rPr>
        <w:t xml:space="preserve">  2007-2015</w:t>
      </w:r>
      <w:r w:rsidRPr="008A645B">
        <w:rPr>
          <w:rFonts w:hint="eastAsia"/>
          <w:color w:val="000000"/>
          <w:szCs w:val="21"/>
        </w:rPr>
        <w:t>海外</w:t>
      </w:r>
      <w:r w:rsidR="004A2FE2" w:rsidRPr="008A645B">
        <w:rPr>
          <w:rFonts w:hint="eastAsia"/>
          <w:color w:val="000000"/>
          <w:szCs w:val="21"/>
        </w:rPr>
        <w:t>并购</w:t>
      </w:r>
      <w:r w:rsidRPr="008A645B">
        <w:rPr>
          <w:rFonts w:hint="eastAsia"/>
          <w:color w:val="000000"/>
          <w:szCs w:val="21"/>
        </w:rPr>
        <w:t>规模</w:t>
      </w:r>
    </w:p>
    <w:p w14:paraId="50AD2866" w14:textId="77777777" w:rsidR="00EF0E07" w:rsidRPr="00191C78" w:rsidRDefault="00EF0E07" w:rsidP="00191C78">
      <w:pPr>
        <w:spacing w:afterLines="50" w:after="156"/>
        <w:rPr>
          <w:rFonts w:ascii="Times New Roman" w:hAnsi="Times New Roman"/>
          <w:color w:val="000000"/>
          <w:szCs w:val="18"/>
        </w:rPr>
      </w:pPr>
      <w:r w:rsidRPr="00191C78">
        <w:rPr>
          <w:rFonts w:ascii="Times New Roman" w:hAnsi="Times New Roman" w:hint="eastAsia"/>
          <w:color w:val="000000"/>
          <w:szCs w:val="18"/>
        </w:rPr>
        <w:t>资料来源：北京交通大学中国企业兼并重组研究中心</w:t>
      </w:r>
      <w:proofErr w:type="spellStart"/>
      <w:r w:rsidRPr="00191C78">
        <w:rPr>
          <w:rFonts w:ascii="Times New Roman" w:hAnsi="Times New Roman"/>
          <w:color w:val="000000"/>
          <w:szCs w:val="18"/>
        </w:rPr>
        <w:t>ChinaMerger</w:t>
      </w:r>
      <w:proofErr w:type="spellEnd"/>
      <w:r w:rsidRPr="00191C78">
        <w:rPr>
          <w:rFonts w:ascii="Times New Roman" w:hAnsi="Times New Roman" w:hint="eastAsia"/>
          <w:color w:val="000000"/>
          <w:szCs w:val="18"/>
        </w:rPr>
        <w:t>数据库</w:t>
      </w:r>
    </w:p>
    <w:p w14:paraId="1DF3B589" w14:textId="36918974" w:rsidR="002E4237" w:rsidRPr="00AB7244" w:rsidRDefault="002E4237" w:rsidP="00AB7244">
      <w:pPr>
        <w:widowControl/>
        <w:spacing w:after="210"/>
        <w:ind w:firstLine="426"/>
        <w:jc w:val="left"/>
      </w:pPr>
      <w:r w:rsidRPr="00443354">
        <w:rPr>
          <w:rFonts w:hint="eastAsia"/>
        </w:rPr>
        <w:t>从海外并购的标的行业分布来看，</w:t>
      </w:r>
      <w:r w:rsidRPr="00443354">
        <w:rPr>
          <w:rFonts w:hint="eastAsia"/>
        </w:rPr>
        <w:t>2015</w:t>
      </w:r>
      <w:r w:rsidRPr="00443354">
        <w:rPr>
          <w:rFonts w:hint="eastAsia"/>
        </w:rPr>
        <w:t>年海外并购交易案例共涉及</w:t>
      </w:r>
      <w:r w:rsidRPr="00443354">
        <w:rPr>
          <w:rFonts w:hint="eastAsia"/>
        </w:rPr>
        <w:t>16</w:t>
      </w:r>
      <w:r w:rsidRPr="00443354">
        <w:rPr>
          <w:rFonts w:hint="eastAsia"/>
        </w:rPr>
        <w:t>个行业，交易金额排名前五的行业如表</w:t>
      </w:r>
      <w:r w:rsidRPr="00443354">
        <w:rPr>
          <w:rFonts w:hint="eastAsia"/>
        </w:rPr>
        <w:t>2.3</w:t>
      </w:r>
      <w:r w:rsidRPr="00443354">
        <w:rPr>
          <w:rFonts w:hint="eastAsia"/>
        </w:rPr>
        <w:t>所示。在交易数量上，制造业、信息传输、软件和信息技术服务业、采矿业位居前三；在交易金额上，制造业居首位，交通运输、仓储和邮政业紧跟其后</w:t>
      </w:r>
      <w:r w:rsidR="00B30833" w:rsidRPr="00443354">
        <w:t>（见图</w:t>
      </w:r>
      <w:r w:rsidR="004D6554">
        <w:rPr>
          <w:rFonts w:hint="eastAsia"/>
        </w:rPr>
        <w:t>12</w:t>
      </w:r>
      <w:r w:rsidR="00B30833" w:rsidRPr="00443354">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969"/>
        <w:gridCol w:w="1843"/>
        <w:gridCol w:w="2494"/>
      </w:tblGrid>
      <w:tr w:rsidR="002E4237" w14:paraId="125C6D0E" w14:textId="77777777" w:rsidTr="002E4237">
        <w:trPr>
          <w:trHeight w:val="537"/>
          <w:jc w:val="center"/>
        </w:trPr>
        <w:tc>
          <w:tcPr>
            <w:tcW w:w="3969" w:type="dxa"/>
            <w:shd w:val="clear" w:color="auto" w:fill="BFBFBF"/>
            <w:tcMar>
              <w:top w:w="15" w:type="dxa"/>
              <w:left w:w="15" w:type="dxa"/>
              <w:bottom w:w="0" w:type="dxa"/>
              <w:right w:w="15" w:type="dxa"/>
            </w:tcMar>
            <w:vAlign w:val="center"/>
            <w:hideMark/>
          </w:tcPr>
          <w:p w14:paraId="29881280" w14:textId="77777777" w:rsidR="002E4237" w:rsidRPr="00DF55DF" w:rsidRDefault="002E4237" w:rsidP="00112C45">
            <w:pPr>
              <w:widowControl/>
              <w:jc w:val="center"/>
              <w:textAlignment w:val="center"/>
              <w:rPr>
                <w:rFonts w:ascii="Times New Roman" w:hAnsi="Times New Roman"/>
                <w:kern w:val="0"/>
                <w:szCs w:val="21"/>
              </w:rPr>
            </w:pPr>
            <w:r w:rsidRPr="00DF55DF">
              <w:rPr>
                <w:rFonts w:ascii="Times New Roman" w:hAnsi="Times New Roman" w:hint="eastAsia"/>
                <w:b/>
                <w:bCs/>
                <w:color w:val="000000"/>
                <w:kern w:val="24"/>
                <w:szCs w:val="21"/>
              </w:rPr>
              <w:t>行业</w:t>
            </w:r>
          </w:p>
        </w:tc>
        <w:tc>
          <w:tcPr>
            <w:tcW w:w="1843" w:type="dxa"/>
            <w:shd w:val="clear" w:color="auto" w:fill="BFBFBF"/>
            <w:tcMar>
              <w:top w:w="15" w:type="dxa"/>
              <w:left w:w="15" w:type="dxa"/>
              <w:bottom w:w="0" w:type="dxa"/>
              <w:right w:w="15" w:type="dxa"/>
            </w:tcMar>
            <w:vAlign w:val="center"/>
            <w:hideMark/>
          </w:tcPr>
          <w:p w14:paraId="643A8826" w14:textId="77777777" w:rsidR="002E4237" w:rsidRPr="00DF55DF" w:rsidRDefault="002E4237" w:rsidP="00112C45">
            <w:pPr>
              <w:widowControl/>
              <w:jc w:val="center"/>
              <w:textAlignment w:val="center"/>
              <w:rPr>
                <w:rFonts w:ascii="Times New Roman" w:hAnsi="Times New Roman"/>
                <w:kern w:val="0"/>
                <w:szCs w:val="21"/>
              </w:rPr>
            </w:pPr>
            <w:r w:rsidRPr="00DF55DF">
              <w:rPr>
                <w:rFonts w:ascii="Times New Roman" w:hAnsi="Times New Roman" w:hint="eastAsia"/>
                <w:b/>
                <w:bCs/>
                <w:color w:val="000000"/>
                <w:kern w:val="24"/>
                <w:szCs w:val="21"/>
              </w:rPr>
              <w:t>交易数量（宗）</w:t>
            </w:r>
          </w:p>
        </w:tc>
        <w:tc>
          <w:tcPr>
            <w:tcW w:w="2494" w:type="dxa"/>
            <w:shd w:val="clear" w:color="auto" w:fill="BFBFBF"/>
            <w:tcMar>
              <w:top w:w="15" w:type="dxa"/>
              <w:left w:w="15" w:type="dxa"/>
              <w:bottom w:w="0" w:type="dxa"/>
              <w:right w:w="15" w:type="dxa"/>
            </w:tcMar>
            <w:vAlign w:val="center"/>
            <w:hideMark/>
          </w:tcPr>
          <w:p w14:paraId="3485F6DE" w14:textId="77777777" w:rsidR="002E4237" w:rsidRPr="00DF55DF" w:rsidRDefault="002E4237" w:rsidP="00112C45">
            <w:pPr>
              <w:widowControl/>
              <w:jc w:val="center"/>
              <w:textAlignment w:val="center"/>
              <w:rPr>
                <w:rFonts w:ascii="Times New Roman" w:hAnsi="Times New Roman"/>
                <w:kern w:val="0"/>
                <w:szCs w:val="21"/>
              </w:rPr>
            </w:pPr>
            <w:r w:rsidRPr="00DF55DF">
              <w:rPr>
                <w:rFonts w:ascii="Times New Roman" w:hAnsi="Times New Roman" w:hint="eastAsia"/>
                <w:b/>
                <w:bCs/>
                <w:color w:val="000000"/>
                <w:kern w:val="24"/>
                <w:szCs w:val="21"/>
              </w:rPr>
              <w:t>交易金额（亿元）</w:t>
            </w:r>
          </w:p>
        </w:tc>
      </w:tr>
      <w:tr w:rsidR="002E4237" w14:paraId="04A1CD9C" w14:textId="77777777" w:rsidTr="002E4237">
        <w:trPr>
          <w:trHeight w:val="124"/>
          <w:jc w:val="center"/>
        </w:trPr>
        <w:tc>
          <w:tcPr>
            <w:tcW w:w="3969" w:type="dxa"/>
            <w:tcMar>
              <w:top w:w="15" w:type="dxa"/>
              <w:left w:w="15" w:type="dxa"/>
              <w:bottom w:w="0" w:type="dxa"/>
              <w:right w:w="15" w:type="dxa"/>
            </w:tcMar>
            <w:hideMark/>
          </w:tcPr>
          <w:p w14:paraId="7ED073B8" w14:textId="77777777" w:rsidR="002E4237" w:rsidRDefault="002E4237" w:rsidP="00112C45">
            <w:pPr>
              <w:jc w:val="center"/>
            </w:pPr>
            <w:r>
              <w:rPr>
                <w:rFonts w:hint="eastAsia"/>
              </w:rPr>
              <w:t>制造业</w:t>
            </w:r>
          </w:p>
        </w:tc>
        <w:tc>
          <w:tcPr>
            <w:tcW w:w="1843" w:type="dxa"/>
            <w:tcMar>
              <w:top w:w="15" w:type="dxa"/>
              <w:left w:w="15" w:type="dxa"/>
              <w:bottom w:w="0" w:type="dxa"/>
              <w:right w:w="15" w:type="dxa"/>
            </w:tcMar>
            <w:hideMark/>
          </w:tcPr>
          <w:p w14:paraId="1DF45E8B" w14:textId="77777777" w:rsidR="002E4237" w:rsidRDefault="002E4237" w:rsidP="00112C45">
            <w:pPr>
              <w:jc w:val="center"/>
            </w:pPr>
            <w:r>
              <w:rPr>
                <w:rFonts w:ascii="Times New Roman" w:hAnsi="Times New Roman"/>
              </w:rPr>
              <w:t>47</w:t>
            </w:r>
          </w:p>
        </w:tc>
        <w:tc>
          <w:tcPr>
            <w:tcW w:w="2494" w:type="dxa"/>
            <w:tcMar>
              <w:top w:w="15" w:type="dxa"/>
              <w:left w:w="15" w:type="dxa"/>
              <w:bottom w:w="0" w:type="dxa"/>
              <w:right w:w="15" w:type="dxa"/>
            </w:tcMar>
            <w:hideMark/>
          </w:tcPr>
          <w:p w14:paraId="42DBC859" w14:textId="77777777" w:rsidR="002E4237" w:rsidRDefault="002E4237" w:rsidP="00112C45">
            <w:pPr>
              <w:jc w:val="center"/>
            </w:pPr>
            <w:r>
              <w:rPr>
                <w:rFonts w:ascii="Times New Roman" w:hAnsi="Times New Roman"/>
              </w:rPr>
              <w:t>125.19</w:t>
            </w:r>
          </w:p>
        </w:tc>
      </w:tr>
      <w:tr w:rsidR="002E4237" w14:paraId="1B58DF98" w14:textId="77777777" w:rsidTr="002E4237">
        <w:trPr>
          <w:trHeight w:val="62"/>
          <w:jc w:val="center"/>
        </w:trPr>
        <w:tc>
          <w:tcPr>
            <w:tcW w:w="3969" w:type="dxa"/>
            <w:tcMar>
              <w:top w:w="15" w:type="dxa"/>
              <w:left w:w="15" w:type="dxa"/>
              <w:bottom w:w="0" w:type="dxa"/>
              <w:right w:w="15" w:type="dxa"/>
            </w:tcMar>
            <w:hideMark/>
          </w:tcPr>
          <w:p w14:paraId="4E5993E4" w14:textId="77777777" w:rsidR="002E4237" w:rsidRDefault="002E4237" w:rsidP="00112C45">
            <w:pPr>
              <w:jc w:val="center"/>
            </w:pPr>
            <w:r w:rsidRPr="001F4002">
              <w:rPr>
                <w:rFonts w:hint="eastAsia"/>
              </w:rPr>
              <w:t>交通运输、仓储和邮政业</w:t>
            </w:r>
          </w:p>
        </w:tc>
        <w:tc>
          <w:tcPr>
            <w:tcW w:w="1843" w:type="dxa"/>
            <w:tcMar>
              <w:top w:w="15" w:type="dxa"/>
              <w:left w:w="15" w:type="dxa"/>
              <w:bottom w:w="0" w:type="dxa"/>
              <w:right w:w="15" w:type="dxa"/>
            </w:tcMar>
            <w:hideMark/>
          </w:tcPr>
          <w:p w14:paraId="5D8B70D6" w14:textId="77777777" w:rsidR="002E4237" w:rsidRDefault="002E4237" w:rsidP="00112C45">
            <w:pPr>
              <w:jc w:val="center"/>
            </w:pPr>
            <w:r>
              <w:rPr>
                <w:rFonts w:ascii="Times New Roman" w:hAnsi="Times New Roman"/>
              </w:rPr>
              <w:t>1</w:t>
            </w:r>
          </w:p>
        </w:tc>
        <w:tc>
          <w:tcPr>
            <w:tcW w:w="2494" w:type="dxa"/>
            <w:tcMar>
              <w:top w:w="15" w:type="dxa"/>
              <w:left w:w="15" w:type="dxa"/>
              <w:bottom w:w="0" w:type="dxa"/>
              <w:right w:w="15" w:type="dxa"/>
            </w:tcMar>
            <w:hideMark/>
          </w:tcPr>
          <w:p w14:paraId="4974A7DF" w14:textId="77777777" w:rsidR="002E4237" w:rsidRDefault="002E4237" w:rsidP="00112C45">
            <w:pPr>
              <w:jc w:val="center"/>
            </w:pPr>
            <w:r>
              <w:rPr>
                <w:rFonts w:ascii="Times New Roman" w:hAnsi="Times New Roman"/>
              </w:rPr>
              <w:t>80</w:t>
            </w:r>
            <w:r>
              <w:rPr>
                <w:rFonts w:ascii="Times New Roman" w:hAnsi="Times New Roman" w:hint="eastAsia"/>
              </w:rPr>
              <w:t>.11</w:t>
            </w:r>
          </w:p>
        </w:tc>
      </w:tr>
      <w:tr w:rsidR="002E4237" w14:paraId="765A4699" w14:textId="77777777" w:rsidTr="002E4237">
        <w:trPr>
          <w:trHeight w:val="62"/>
          <w:jc w:val="center"/>
        </w:trPr>
        <w:tc>
          <w:tcPr>
            <w:tcW w:w="3969" w:type="dxa"/>
            <w:tcMar>
              <w:top w:w="15" w:type="dxa"/>
              <w:left w:w="15" w:type="dxa"/>
              <w:bottom w:w="0" w:type="dxa"/>
              <w:right w:w="15" w:type="dxa"/>
            </w:tcMar>
            <w:hideMark/>
          </w:tcPr>
          <w:p w14:paraId="3B868BEE" w14:textId="77777777" w:rsidR="002E4237" w:rsidRDefault="002E4237" w:rsidP="00112C45">
            <w:pPr>
              <w:jc w:val="center"/>
            </w:pPr>
            <w:r w:rsidRPr="00625785">
              <w:rPr>
                <w:rFonts w:hint="eastAsia"/>
              </w:rPr>
              <w:t>居民服务、修理和其他服务业</w:t>
            </w:r>
          </w:p>
        </w:tc>
        <w:tc>
          <w:tcPr>
            <w:tcW w:w="1843" w:type="dxa"/>
            <w:tcMar>
              <w:top w:w="15" w:type="dxa"/>
              <w:left w:w="15" w:type="dxa"/>
              <w:bottom w:w="0" w:type="dxa"/>
              <w:right w:w="15" w:type="dxa"/>
            </w:tcMar>
            <w:hideMark/>
          </w:tcPr>
          <w:p w14:paraId="33B30EC4" w14:textId="77777777" w:rsidR="002E4237" w:rsidRDefault="002E4237" w:rsidP="00112C45">
            <w:pPr>
              <w:jc w:val="center"/>
            </w:pPr>
            <w:r>
              <w:rPr>
                <w:rFonts w:ascii="Times New Roman" w:hAnsi="Times New Roman"/>
              </w:rPr>
              <w:t>1</w:t>
            </w:r>
          </w:p>
        </w:tc>
        <w:tc>
          <w:tcPr>
            <w:tcW w:w="2494" w:type="dxa"/>
            <w:tcMar>
              <w:top w:w="15" w:type="dxa"/>
              <w:left w:w="15" w:type="dxa"/>
              <w:bottom w:w="0" w:type="dxa"/>
              <w:right w:w="15" w:type="dxa"/>
            </w:tcMar>
            <w:hideMark/>
          </w:tcPr>
          <w:p w14:paraId="774A3EDB" w14:textId="77777777" w:rsidR="002E4237" w:rsidRDefault="002E4237" w:rsidP="00112C45">
            <w:pPr>
              <w:jc w:val="center"/>
            </w:pPr>
            <w:r>
              <w:rPr>
                <w:rFonts w:ascii="Times New Roman" w:hAnsi="Times New Roman"/>
              </w:rPr>
              <w:t>19.79</w:t>
            </w:r>
          </w:p>
        </w:tc>
      </w:tr>
      <w:tr w:rsidR="002E4237" w14:paraId="4243DB10" w14:textId="77777777" w:rsidTr="002E4237">
        <w:trPr>
          <w:trHeight w:val="62"/>
          <w:jc w:val="center"/>
        </w:trPr>
        <w:tc>
          <w:tcPr>
            <w:tcW w:w="3969" w:type="dxa"/>
            <w:tcMar>
              <w:top w:w="15" w:type="dxa"/>
              <w:left w:w="15" w:type="dxa"/>
              <w:bottom w:w="0" w:type="dxa"/>
              <w:right w:w="15" w:type="dxa"/>
            </w:tcMar>
            <w:hideMark/>
          </w:tcPr>
          <w:p w14:paraId="00536348" w14:textId="77777777" w:rsidR="002E4237" w:rsidRDefault="002E4237" w:rsidP="00112C45">
            <w:pPr>
              <w:jc w:val="center"/>
            </w:pPr>
            <w:r w:rsidRPr="00625785">
              <w:rPr>
                <w:rFonts w:hint="eastAsia"/>
              </w:rPr>
              <w:t>卫生和社会工作</w:t>
            </w:r>
          </w:p>
        </w:tc>
        <w:tc>
          <w:tcPr>
            <w:tcW w:w="1843" w:type="dxa"/>
            <w:tcMar>
              <w:top w:w="15" w:type="dxa"/>
              <w:left w:w="15" w:type="dxa"/>
              <w:bottom w:w="0" w:type="dxa"/>
              <w:right w:w="15" w:type="dxa"/>
            </w:tcMar>
            <w:hideMark/>
          </w:tcPr>
          <w:p w14:paraId="1A1472D6" w14:textId="77777777" w:rsidR="002E4237" w:rsidRDefault="002E4237" w:rsidP="00112C45">
            <w:pPr>
              <w:jc w:val="center"/>
            </w:pPr>
            <w:r>
              <w:rPr>
                <w:rFonts w:ascii="Times New Roman" w:hAnsi="Times New Roman"/>
              </w:rPr>
              <w:t>3</w:t>
            </w:r>
          </w:p>
        </w:tc>
        <w:tc>
          <w:tcPr>
            <w:tcW w:w="2494" w:type="dxa"/>
            <w:tcMar>
              <w:top w:w="15" w:type="dxa"/>
              <w:left w:w="15" w:type="dxa"/>
              <w:bottom w:w="0" w:type="dxa"/>
              <w:right w:w="15" w:type="dxa"/>
            </w:tcMar>
            <w:hideMark/>
          </w:tcPr>
          <w:p w14:paraId="1D863FA2" w14:textId="77777777" w:rsidR="002E4237" w:rsidRDefault="002E4237" w:rsidP="00112C45">
            <w:pPr>
              <w:jc w:val="center"/>
            </w:pPr>
            <w:r>
              <w:rPr>
                <w:rFonts w:ascii="Times New Roman" w:hAnsi="Times New Roman"/>
              </w:rPr>
              <w:t>18.62</w:t>
            </w:r>
          </w:p>
        </w:tc>
      </w:tr>
      <w:tr w:rsidR="002E4237" w:rsidRPr="00FB32C7" w14:paraId="549A6D6A" w14:textId="77777777" w:rsidTr="002E4237">
        <w:trPr>
          <w:trHeight w:val="65"/>
          <w:jc w:val="center"/>
        </w:trPr>
        <w:tc>
          <w:tcPr>
            <w:tcW w:w="3969" w:type="dxa"/>
            <w:tcMar>
              <w:top w:w="15" w:type="dxa"/>
              <w:left w:w="15" w:type="dxa"/>
              <w:bottom w:w="0" w:type="dxa"/>
              <w:right w:w="15" w:type="dxa"/>
            </w:tcMar>
            <w:hideMark/>
          </w:tcPr>
          <w:p w14:paraId="4037BD1E" w14:textId="77777777" w:rsidR="002E4237" w:rsidRPr="00FB32C7" w:rsidRDefault="002E4237" w:rsidP="00112C45">
            <w:pPr>
              <w:jc w:val="center"/>
            </w:pPr>
            <w:r w:rsidRPr="00FB32C7">
              <w:rPr>
                <w:rFonts w:hint="eastAsia"/>
              </w:rPr>
              <w:t>综合</w:t>
            </w:r>
          </w:p>
        </w:tc>
        <w:tc>
          <w:tcPr>
            <w:tcW w:w="1843" w:type="dxa"/>
            <w:tcMar>
              <w:top w:w="15" w:type="dxa"/>
              <w:left w:w="15" w:type="dxa"/>
              <w:bottom w:w="0" w:type="dxa"/>
              <w:right w:w="15" w:type="dxa"/>
            </w:tcMar>
            <w:hideMark/>
          </w:tcPr>
          <w:p w14:paraId="355F0C9A" w14:textId="77777777" w:rsidR="002E4237" w:rsidRPr="00FB32C7" w:rsidRDefault="002E4237" w:rsidP="00112C45">
            <w:pPr>
              <w:jc w:val="center"/>
            </w:pPr>
            <w:r w:rsidRPr="00FB32C7">
              <w:rPr>
                <w:rFonts w:ascii="Times New Roman" w:hAnsi="Times New Roman"/>
              </w:rPr>
              <w:t>1</w:t>
            </w:r>
          </w:p>
        </w:tc>
        <w:tc>
          <w:tcPr>
            <w:tcW w:w="2494" w:type="dxa"/>
            <w:tcMar>
              <w:top w:w="15" w:type="dxa"/>
              <w:left w:w="15" w:type="dxa"/>
              <w:bottom w:w="0" w:type="dxa"/>
              <w:right w:w="15" w:type="dxa"/>
            </w:tcMar>
            <w:hideMark/>
          </w:tcPr>
          <w:p w14:paraId="1A734E95" w14:textId="77777777" w:rsidR="002E4237" w:rsidRPr="00FB32C7" w:rsidRDefault="002E4237" w:rsidP="00112C45">
            <w:pPr>
              <w:jc w:val="center"/>
            </w:pPr>
            <w:r w:rsidRPr="00FB32C7">
              <w:rPr>
                <w:rFonts w:ascii="Times New Roman" w:hAnsi="Times New Roman"/>
              </w:rPr>
              <w:t>9.47</w:t>
            </w:r>
          </w:p>
        </w:tc>
      </w:tr>
    </w:tbl>
    <w:p w14:paraId="436459B1" w14:textId="78ED03B2" w:rsidR="00EF0E07" w:rsidRPr="008A645B" w:rsidRDefault="00EF0E07" w:rsidP="008A645B">
      <w:pPr>
        <w:widowControl/>
        <w:ind w:firstLine="480"/>
        <w:jc w:val="center"/>
        <w:rPr>
          <w:color w:val="000000"/>
          <w:szCs w:val="21"/>
        </w:rPr>
      </w:pPr>
      <w:r w:rsidRPr="008A645B">
        <w:rPr>
          <w:rFonts w:hint="eastAsia"/>
          <w:color w:val="000000"/>
          <w:szCs w:val="21"/>
        </w:rPr>
        <w:t>图</w:t>
      </w:r>
      <w:r w:rsidR="004D6554">
        <w:rPr>
          <w:rFonts w:hint="eastAsia"/>
          <w:color w:val="000000"/>
          <w:szCs w:val="21"/>
        </w:rPr>
        <w:t>12</w:t>
      </w:r>
      <w:r w:rsidRPr="008A645B">
        <w:rPr>
          <w:color w:val="000000"/>
          <w:szCs w:val="21"/>
        </w:rPr>
        <w:t xml:space="preserve">  2015</w:t>
      </w:r>
      <w:r w:rsidRPr="008A645B">
        <w:rPr>
          <w:rFonts w:hint="eastAsia"/>
          <w:color w:val="000000"/>
          <w:szCs w:val="21"/>
        </w:rPr>
        <w:t>年中国企业海外并购前</w:t>
      </w:r>
      <w:r w:rsidRPr="008A645B">
        <w:rPr>
          <w:color w:val="000000"/>
          <w:szCs w:val="21"/>
        </w:rPr>
        <w:t>5</w:t>
      </w:r>
      <w:r w:rsidRPr="008A645B">
        <w:rPr>
          <w:rFonts w:hint="eastAsia"/>
          <w:color w:val="000000"/>
          <w:szCs w:val="21"/>
        </w:rPr>
        <w:t>大行业分布</w:t>
      </w:r>
    </w:p>
    <w:p w14:paraId="7BD1C180" w14:textId="77777777" w:rsidR="00EF0E07" w:rsidRPr="00191C78" w:rsidRDefault="00EF0E07" w:rsidP="00191C78">
      <w:pPr>
        <w:spacing w:afterLines="50" w:after="156"/>
        <w:rPr>
          <w:rFonts w:ascii="Times New Roman" w:hAnsi="Times New Roman"/>
          <w:color w:val="000000"/>
          <w:szCs w:val="18"/>
        </w:rPr>
      </w:pPr>
      <w:r w:rsidRPr="00191C78">
        <w:rPr>
          <w:rFonts w:ascii="Times New Roman" w:hAnsi="Times New Roman" w:hint="eastAsia"/>
          <w:color w:val="000000"/>
          <w:szCs w:val="18"/>
        </w:rPr>
        <w:t>资料来源：北京交通大学中国企业兼并重组研究中心</w:t>
      </w:r>
      <w:proofErr w:type="spellStart"/>
      <w:r w:rsidRPr="00191C78">
        <w:rPr>
          <w:rFonts w:ascii="Times New Roman" w:hAnsi="Times New Roman"/>
          <w:color w:val="000000"/>
          <w:szCs w:val="18"/>
        </w:rPr>
        <w:t>ChinaMerger</w:t>
      </w:r>
      <w:proofErr w:type="spellEnd"/>
      <w:r w:rsidRPr="00191C78">
        <w:rPr>
          <w:rFonts w:ascii="Times New Roman" w:hAnsi="Times New Roman" w:hint="eastAsia"/>
          <w:color w:val="000000"/>
          <w:szCs w:val="18"/>
        </w:rPr>
        <w:t>数据库</w:t>
      </w:r>
    </w:p>
    <w:p w14:paraId="38F94269" w14:textId="6B31A435" w:rsidR="00B30833" w:rsidRPr="00316C10" w:rsidRDefault="007123DD" w:rsidP="00A2006A">
      <w:pPr>
        <w:pStyle w:val="2"/>
      </w:pPr>
      <w:r w:rsidRPr="00316C10">
        <w:rPr>
          <w:rFonts w:hint="eastAsia"/>
        </w:rPr>
        <w:t>7.</w:t>
      </w:r>
      <w:r w:rsidR="00B30833" w:rsidRPr="00316C10">
        <w:t>中国上市公司十大并购交易</w:t>
      </w:r>
    </w:p>
    <w:p w14:paraId="4D759A2C" w14:textId="61B8F389" w:rsidR="00A2006A" w:rsidRPr="00316C10" w:rsidRDefault="00A2006A" w:rsidP="006E5E84">
      <w:pPr>
        <w:widowControl/>
        <w:spacing w:after="210"/>
        <w:ind w:firstLine="426"/>
        <w:jc w:val="left"/>
      </w:pPr>
      <w:r w:rsidRPr="00316C10">
        <w:rPr>
          <w:rFonts w:hint="eastAsia"/>
        </w:rPr>
        <w:t>2015</w:t>
      </w:r>
      <w:r w:rsidRPr="00316C10">
        <w:rPr>
          <w:rFonts w:hint="eastAsia"/>
        </w:rPr>
        <w:t>年中国上市公司十大并购交易</w:t>
      </w:r>
      <w:r w:rsidR="00D76FD9">
        <w:rPr>
          <w:rFonts w:hint="eastAsia"/>
        </w:rPr>
        <w:t>金额均超过</w:t>
      </w:r>
      <w:r w:rsidR="00D76FD9">
        <w:rPr>
          <w:rFonts w:hint="eastAsia"/>
        </w:rPr>
        <w:t>150</w:t>
      </w:r>
      <w:r w:rsidR="00D76FD9">
        <w:rPr>
          <w:rFonts w:hint="eastAsia"/>
        </w:rPr>
        <w:t>亿，合计超过</w:t>
      </w:r>
      <w:r w:rsidR="00D76FD9">
        <w:rPr>
          <w:rFonts w:hint="eastAsia"/>
        </w:rPr>
        <w:t>4000</w:t>
      </w:r>
      <w:r w:rsidR="00D76FD9">
        <w:rPr>
          <w:rFonts w:hint="eastAsia"/>
        </w:rPr>
        <w:t>亿，涉及生态保护和环境治理业，电力、热力生产和供应业，互联网和相关服务等多个行业</w:t>
      </w:r>
      <w:r w:rsidR="00BA0373">
        <w:rPr>
          <w:rStyle w:val="af0"/>
        </w:rPr>
        <w:footnoteReference w:id="2"/>
      </w:r>
      <w:r w:rsidRPr="00316C10">
        <w:t>（见图</w:t>
      </w:r>
      <w:r w:rsidR="004D6554" w:rsidRPr="00316C10">
        <w:rPr>
          <w:rFonts w:hint="eastAsia"/>
        </w:rPr>
        <w:t>13</w:t>
      </w:r>
      <w:r w:rsidRPr="00316C10">
        <w:t>）</w:t>
      </w:r>
      <w:r w:rsidRPr="00316C10">
        <w:rPr>
          <w:rFonts w:hint="eastAsia"/>
        </w:rPr>
        <w:t>。其中，</w:t>
      </w:r>
      <w:r w:rsidR="001552DC" w:rsidRPr="00316C10">
        <w:rPr>
          <w:rFonts w:hint="eastAsia"/>
        </w:rPr>
        <w:t>2015</w:t>
      </w:r>
      <w:r w:rsidRPr="00316C10">
        <w:rPr>
          <w:rFonts w:hint="eastAsia"/>
        </w:rPr>
        <w:t>年中国并购市场交易金额最大的一宗是新三板上市公司金柏园林以</w:t>
      </w:r>
      <w:r w:rsidRPr="00316C10">
        <w:rPr>
          <w:rFonts w:hint="eastAsia"/>
        </w:rPr>
        <w:t>935</w:t>
      </w:r>
      <w:r w:rsidRPr="00316C10">
        <w:rPr>
          <w:rFonts w:hint="eastAsia"/>
        </w:rPr>
        <w:t>亿元收购沈阳鸿润水利工程有限公司</w:t>
      </w:r>
      <w:r w:rsidRPr="00316C10">
        <w:rPr>
          <w:rFonts w:hint="eastAsia"/>
        </w:rPr>
        <w:t>100%</w:t>
      </w:r>
      <w:r w:rsidRPr="00316C10">
        <w:rPr>
          <w:rFonts w:hint="eastAsia"/>
        </w:rPr>
        <w:t>的股权，可以预见，新三板并购浪潮即将到来。</w:t>
      </w:r>
    </w:p>
    <w:p w14:paraId="33A876A2" w14:textId="3EA459FD" w:rsidR="00A2006A" w:rsidRPr="00316C10" w:rsidRDefault="00D76FD9" w:rsidP="00AB7244">
      <w:pPr>
        <w:widowControl/>
        <w:spacing w:after="210"/>
        <w:ind w:firstLine="426"/>
        <w:jc w:val="left"/>
        <w:rPr>
          <w:rFonts w:ascii="Simsun" w:eastAsia="宋体" w:hAnsi="Simsun" w:cs="宋体" w:hint="eastAsia"/>
          <w:color w:val="333333"/>
          <w:kern w:val="0"/>
          <w:szCs w:val="21"/>
        </w:rPr>
      </w:pPr>
      <w:r>
        <w:rPr>
          <w:rFonts w:hint="eastAsia"/>
        </w:rPr>
        <w:lastRenderedPageBreak/>
        <w:t>电力、热力生产和供应业</w:t>
      </w:r>
      <w:r w:rsidR="00A2006A" w:rsidRPr="00316C10">
        <w:rPr>
          <w:rFonts w:hint="eastAsia"/>
        </w:rPr>
        <w:t>涉及</w:t>
      </w:r>
      <w:r w:rsidRPr="00316C10">
        <w:rPr>
          <w:rFonts w:ascii="Times New Roman" w:hAnsi="Times New Roman" w:hint="eastAsia"/>
        </w:rPr>
        <w:t>长江电力</w:t>
      </w:r>
      <w:r>
        <w:rPr>
          <w:rFonts w:ascii="Times New Roman" w:hAnsi="Times New Roman" w:hint="eastAsia"/>
        </w:rPr>
        <w:t>以</w:t>
      </w:r>
      <w:r>
        <w:rPr>
          <w:rFonts w:ascii="Times New Roman" w:hAnsi="Times New Roman" w:hint="eastAsia"/>
        </w:rPr>
        <w:t>797</w:t>
      </w:r>
      <w:r>
        <w:rPr>
          <w:rFonts w:ascii="Times New Roman" w:hAnsi="Times New Roman" w:hint="eastAsia"/>
        </w:rPr>
        <w:t>亿元</w:t>
      </w:r>
      <w:r w:rsidRPr="00316C10">
        <w:rPr>
          <w:rFonts w:ascii="Times New Roman" w:hAnsi="Times New Roman"/>
        </w:rPr>
        <w:t>收购</w:t>
      </w:r>
      <w:r>
        <w:rPr>
          <w:rFonts w:ascii="Times New Roman" w:hAnsi="Times New Roman" w:hint="eastAsia"/>
        </w:rPr>
        <w:t>三峡金沙江川云水电开发有限公司</w:t>
      </w:r>
      <w:r w:rsidRPr="00316C10">
        <w:rPr>
          <w:rFonts w:ascii="Times New Roman" w:hAnsi="Times New Roman" w:hint="eastAsia"/>
        </w:rPr>
        <w:t>100%</w:t>
      </w:r>
      <w:r w:rsidRPr="00316C10">
        <w:rPr>
          <w:rFonts w:ascii="Times New Roman" w:hAnsi="Times New Roman" w:hint="eastAsia"/>
        </w:rPr>
        <w:t>股权</w:t>
      </w:r>
      <w:r w:rsidR="00A2006A" w:rsidRPr="00316C10">
        <w:rPr>
          <w:rFonts w:hint="eastAsia"/>
        </w:rPr>
        <w:t>，体现了我国能源企业横向并购寻求规模经济的发展趋势。</w:t>
      </w:r>
      <w:r w:rsidRPr="00D76FD9">
        <w:rPr>
          <w:rFonts w:hint="eastAsia"/>
        </w:rPr>
        <w:t>互联网和相关服务</w:t>
      </w:r>
      <w:r>
        <w:rPr>
          <w:rFonts w:hint="eastAsia"/>
        </w:rPr>
        <w:t>涉及</w:t>
      </w:r>
      <w:r w:rsidRPr="00316C10">
        <w:rPr>
          <w:rFonts w:ascii="Times New Roman" w:hAnsi="Times New Roman" w:hint="eastAsia"/>
          <w:kern w:val="0"/>
          <w:szCs w:val="21"/>
        </w:rPr>
        <w:t>分众传媒</w:t>
      </w:r>
      <w:r>
        <w:rPr>
          <w:rFonts w:ascii="Times New Roman" w:hAnsi="Times New Roman" w:hint="eastAsia"/>
          <w:kern w:val="0"/>
          <w:szCs w:val="21"/>
        </w:rPr>
        <w:t>457</w:t>
      </w:r>
      <w:r>
        <w:rPr>
          <w:rFonts w:ascii="Times New Roman" w:hAnsi="Times New Roman" w:hint="eastAsia"/>
          <w:kern w:val="0"/>
          <w:szCs w:val="21"/>
        </w:rPr>
        <w:t>亿元</w:t>
      </w:r>
      <w:r w:rsidRPr="00316C10">
        <w:rPr>
          <w:rFonts w:ascii="Times New Roman" w:hAnsi="Times New Roman" w:hint="eastAsia"/>
          <w:kern w:val="0"/>
          <w:szCs w:val="21"/>
        </w:rPr>
        <w:t>借壳七喜控股</w:t>
      </w:r>
      <w:r>
        <w:rPr>
          <w:rFonts w:ascii="Times New Roman" w:hAnsi="Times New Roman" w:hint="eastAsia"/>
          <w:kern w:val="0"/>
          <w:szCs w:val="21"/>
        </w:rPr>
        <w:t>。</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643"/>
        <w:gridCol w:w="6293"/>
        <w:gridCol w:w="1961"/>
      </w:tblGrid>
      <w:tr w:rsidR="002C2E55" w:rsidRPr="00316C10" w14:paraId="388ADCA7" w14:textId="77777777" w:rsidTr="002C2E55">
        <w:trPr>
          <w:trHeight w:val="55"/>
          <w:tblHeader/>
          <w:jc w:val="center"/>
        </w:trPr>
        <w:tc>
          <w:tcPr>
            <w:tcW w:w="643" w:type="dxa"/>
            <w:shd w:val="clear" w:color="auto" w:fill="BFBFBF"/>
            <w:tcMar>
              <w:top w:w="15" w:type="dxa"/>
              <w:left w:w="15" w:type="dxa"/>
              <w:bottom w:w="0" w:type="dxa"/>
              <w:right w:w="15" w:type="dxa"/>
            </w:tcMar>
            <w:vAlign w:val="center"/>
            <w:hideMark/>
          </w:tcPr>
          <w:p w14:paraId="60DBE6DD" w14:textId="77777777" w:rsidR="002C2E55" w:rsidRPr="00316C10" w:rsidRDefault="002C2E55" w:rsidP="00112C45">
            <w:pPr>
              <w:widowControl/>
              <w:spacing w:line="360" w:lineRule="auto"/>
              <w:jc w:val="center"/>
              <w:textAlignment w:val="center"/>
              <w:rPr>
                <w:rFonts w:ascii="Times New Roman" w:hAnsi="Times New Roman"/>
                <w:kern w:val="0"/>
                <w:szCs w:val="21"/>
              </w:rPr>
            </w:pPr>
            <w:r w:rsidRPr="00316C10">
              <w:rPr>
                <w:rFonts w:ascii="Times New Roman" w:hAnsi="Times New Roman"/>
                <w:b/>
                <w:bCs/>
                <w:color w:val="000000"/>
                <w:kern w:val="24"/>
                <w:szCs w:val="21"/>
              </w:rPr>
              <w:t>排名</w:t>
            </w:r>
          </w:p>
        </w:tc>
        <w:tc>
          <w:tcPr>
            <w:tcW w:w="6293" w:type="dxa"/>
            <w:shd w:val="clear" w:color="auto" w:fill="BFBFBF"/>
            <w:tcMar>
              <w:top w:w="15" w:type="dxa"/>
              <w:left w:w="15" w:type="dxa"/>
              <w:bottom w:w="0" w:type="dxa"/>
              <w:right w:w="15" w:type="dxa"/>
            </w:tcMar>
            <w:vAlign w:val="center"/>
            <w:hideMark/>
          </w:tcPr>
          <w:p w14:paraId="6F348718" w14:textId="77777777" w:rsidR="002C2E55" w:rsidRPr="00316C10" w:rsidRDefault="002C2E55" w:rsidP="00112C45">
            <w:pPr>
              <w:widowControl/>
              <w:spacing w:line="360" w:lineRule="auto"/>
              <w:jc w:val="center"/>
              <w:textAlignment w:val="center"/>
              <w:rPr>
                <w:rFonts w:ascii="Times New Roman" w:hAnsi="Times New Roman"/>
                <w:kern w:val="0"/>
                <w:szCs w:val="21"/>
              </w:rPr>
            </w:pPr>
            <w:r w:rsidRPr="00316C10">
              <w:rPr>
                <w:rFonts w:ascii="Times New Roman" w:hAnsi="Times New Roman"/>
                <w:b/>
                <w:bCs/>
                <w:color w:val="000000"/>
                <w:kern w:val="24"/>
                <w:szCs w:val="21"/>
              </w:rPr>
              <w:t>交易简介</w:t>
            </w:r>
          </w:p>
        </w:tc>
        <w:tc>
          <w:tcPr>
            <w:tcW w:w="1961" w:type="dxa"/>
            <w:shd w:val="clear" w:color="auto" w:fill="BFBFBF"/>
            <w:tcMar>
              <w:top w:w="15" w:type="dxa"/>
              <w:left w:w="15" w:type="dxa"/>
              <w:bottom w:w="0" w:type="dxa"/>
              <w:right w:w="15" w:type="dxa"/>
            </w:tcMar>
            <w:vAlign w:val="center"/>
            <w:hideMark/>
          </w:tcPr>
          <w:p w14:paraId="4D2FA99D" w14:textId="2EE0023C" w:rsidR="002C2E55" w:rsidRPr="00316C10" w:rsidRDefault="002C2E55" w:rsidP="00112C45">
            <w:pPr>
              <w:widowControl/>
              <w:spacing w:line="360" w:lineRule="auto"/>
              <w:jc w:val="center"/>
              <w:textAlignment w:val="center"/>
              <w:rPr>
                <w:rFonts w:ascii="Times New Roman" w:hAnsi="Times New Roman"/>
                <w:kern w:val="0"/>
                <w:szCs w:val="21"/>
              </w:rPr>
            </w:pPr>
            <w:r w:rsidRPr="00316C10">
              <w:rPr>
                <w:rFonts w:ascii="Times New Roman" w:hAnsi="Times New Roman"/>
                <w:b/>
                <w:bCs/>
                <w:color w:val="0D0D0D"/>
                <w:kern w:val="24"/>
                <w:szCs w:val="21"/>
              </w:rPr>
              <w:t>交易金额</w:t>
            </w:r>
          </w:p>
        </w:tc>
      </w:tr>
      <w:tr w:rsidR="002C2E55" w:rsidRPr="00316C10" w14:paraId="2A3CBAC0" w14:textId="77777777" w:rsidTr="002C2E55">
        <w:trPr>
          <w:trHeight w:val="55"/>
          <w:jc w:val="center"/>
        </w:trPr>
        <w:tc>
          <w:tcPr>
            <w:tcW w:w="643" w:type="dxa"/>
            <w:shd w:val="clear" w:color="auto" w:fill="auto"/>
            <w:tcMar>
              <w:top w:w="15" w:type="dxa"/>
              <w:left w:w="15" w:type="dxa"/>
              <w:bottom w:w="0" w:type="dxa"/>
              <w:right w:w="15" w:type="dxa"/>
            </w:tcMar>
            <w:vAlign w:val="center"/>
          </w:tcPr>
          <w:p w14:paraId="423FCCBB" w14:textId="77777777" w:rsidR="002C2E55" w:rsidRPr="00316C10" w:rsidRDefault="002C2E55" w:rsidP="00112C45">
            <w:pPr>
              <w:widowControl/>
              <w:spacing w:line="360" w:lineRule="auto"/>
              <w:jc w:val="center"/>
              <w:textAlignment w:val="center"/>
              <w:rPr>
                <w:rFonts w:ascii="Times New Roman" w:hAnsi="Times New Roman"/>
                <w:color w:val="000000"/>
                <w:kern w:val="24"/>
                <w:szCs w:val="21"/>
              </w:rPr>
            </w:pPr>
            <w:r w:rsidRPr="00316C10">
              <w:rPr>
                <w:rFonts w:ascii="Times New Roman" w:hAnsi="Times New Roman" w:hint="eastAsia"/>
                <w:color w:val="000000"/>
                <w:kern w:val="24"/>
                <w:szCs w:val="21"/>
              </w:rPr>
              <w:t>1</w:t>
            </w:r>
          </w:p>
        </w:tc>
        <w:tc>
          <w:tcPr>
            <w:tcW w:w="6293" w:type="dxa"/>
            <w:shd w:val="clear" w:color="auto" w:fill="auto"/>
            <w:tcMar>
              <w:top w:w="15" w:type="dxa"/>
              <w:left w:w="15" w:type="dxa"/>
              <w:bottom w:w="0" w:type="dxa"/>
              <w:right w:w="15" w:type="dxa"/>
            </w:tcMar>
            <w:vAlign w:val="center"/>
          </w:tcPr>
          <w:p w14:paraId="249E0883" w14:textId="77777777" w:rsidR="002C2E55" w:rsidRPr="00316C10" w:rsidRDefault="002C2E55" w:rsidP="00112C45">
            <w:pPr>
              <w:widowControl/>
              <w:spacing w:line="360" w:lineRule="auto"/>
              <w:jc w:val="left"/>
              <w:textAlignment w:val="center"/>
              <w:rPr>
                <w:rFonts w:ascii="Times New Roman" w:hAnsi="Times New Roman"/>
              </w:rPr>
            </w:pPr>
            <w:r w:rsidRPr="00316C10">
              <w:rPr>
                <w:rFonts w:ascii="Times New Roman" w:hAnsi="Times New Roman" w:hint="eastAsia"/>
              </w:rPr>
              <w:t>金柏园林收购沈阳鸿润水利工程有限公司</w:t>
            </w:r>
            <w:r w:rsidRPr="00316C10">
              <w:rPr>
                <w:rFonts w:ascii="Times New Roman" w:hAnsi="Times New Roman" w:hint="eastAsia"/>
              </w:rPr>
              <w:t>100%</w:t>
            </w:r>
            <w:r w:rsidRPr="00316C10">
              <w:rPr>
                <w:rFonts w:ascii="Times New Roman" w:hAnsi="Times New Roman" w:hint="eastAsia"/>
              </w:rPr>
              <w:t>的股权</w:t>
            </w:r>
          </w:p>
        </w:tc>
        <w:tc>
          <w:tcPr>
            <w:tcW w:w="1961" w:type="dxa"/>
            <w:shd w:val="clear" w:color="auto" w:fill="auto"/>
            <w:tcMar>
              <w:top w:w="15" w:type="dxa"/>
              <w:left w:w="15" w:type="dxa"/>
              <w:bottom w:w="0" w:type="dxa"/>
              <w:right w:w="15" w:type="dxa"/>
            </w:tcMar>
            <w:vAlign w:val="center"/>
          </w:tcPr>
          <w:p w14:paraId="5DB9569D" w14:textId="59A276B1" w:rsidR="002C2E55" w:rsidRPr="00316C10" w:rsidRDefault="002C2E55" w:rsidP="00112C45">
            <w:pPr>
              <w:widowControl/>
              <w:spacing w:line="360" w:lineRule="auto"/>
              <w:jc w:val="center"/>
              <w:textAlignment w:val="center"/>
              <w:rPr>
                <w:rFonts w:ascii="Times New Roman" w:hAnsi="Times New Roman"/>
              </w:rPr>
            </w:pPr>
            <w:r w:rsidRPr="00316C10">
              <w:rPr>
                <w:rFonts w:ascii="Times New Roman" w:hAnsi="Times New Roman"/>
              </w:rPr>
              <w:t>935</w:t>
            </w:r>
            <w:r w:rsidRPr="00316C10">
              <w:rPr>
                <w:rFonts w:ascii="Times New Roman" w:hAnsi="Times New Roman" w:hint="eastAsia"/>
              </w:rPr>
              <w:t>亿元</w:t>
            </w:r>
          </w:p>
        </w:tc>
      </w:tr>
      <w:tr w:rsidR="002C2E55" w:rsidRPr="00316C10" w14:paraId="6D79F8B5" w14:textId="77777777" w:rsidTr="002C2E55">
        <w:trPr>
          <w:trHeight w:val="55"/>
          <w:jc w:val="center"/>
        </w:trPr>
        <w:tc>
          <w:tcPr>
            <w:tcW w:w="643" w:type="dxa"/>
            <w:shd w:val="clear" w:color="auto" w:fill="auto"/>
            <w:tcMar>
              <w:top w:w="15" w:type="dxa"/>
              <w:left w:w="15" w:type="dxa"/>
              <w:bottom w:w="0" w:type="dxa"/>
              <w:right w:w="15" w:type="dxa"/>
            </w:tcMar>
            <w:vAlign w:val="center"/>
          </w:tcPr>
          <w:p w14:paraId="76D518EF" w14:textId="77777777" w:rsidR="002C2E55" w:rsidRPr="00316C10" w:rsidRDefault="002C2E55" w:rsidP="00112C45">
            <w:pPr>
              <w:widowControl/>
              <w:spacing w:line="360" w:lineRule="auto"/>
              <w:jc w:val="center"/>
              <w:textAlignment w:val="center"/>
              <w:rPr>
                <w:rFonts w:ascii="Times New Roman" w:hAnsi="Times New Roman"/>
                <w:color w:val="000000"/>
                <w:kern w:val="24"/>
                <w:szCs w:val="21"/>
              </w:rPr>
            </w:pPr>
            <w:r w:rsidRPr="00316C10">
              <w:rPr>
                <w:rFonts w:ascii="Times New Roman" w:hAnsi="Times New Roman" w:hint="eastAsia"/>
                <w:color w:val="000000"/>
                <w:kern w:val="24"/>
                <w:szCs w:val="21"/>
              </w:rPr>
              <w:t>2</w:t>
            </w:r>
          </w:p>
        </w:tc>
        <w:tc>
          <w:tcPr>
            <w:tcW w:w="6293" w:type="dxa"/>
            <w:shd w:val="clear" w:color="auto" w:fill="auto"/>
            <w:tcMar>
              <w:top w:w="15" w:type="dxa"/>
              <w:left w:w="15" w:type="dxa"/>
              <w:bottom w:w="0" w:type="dxa"/>
              <w:right w:w="15" w:type="dxa"/>
            </w:tcMar>
            <w:vAlign w:val="center"/>
          </w:tcPr>
          <w:p w14:paraId="682A8A13" w14:textId="77777777" w:rsidR="002C2E55" w:rsidRPr="00316C10" w:rsidRDefault="002C2E55" w:rsidP="00112C45">
            <w:pPr>
              <w:widowControl/>
              <w:spacing w:line="360" w:lineRule="auto"/>
              <w:jc w:val="left"/>
              <w:textAlignment w:val="center"/>
              <w:rPr>
                <w:rFonts w:ascii="Times New Roman" w:hAnsi="Times New Roman"/>
              </w:rPr>
            </w:pPr>
            <w:r w:rsidRPr="00316C10">
              <w:rPr>
                <w:rFonts w:ascii="Times New Roman" w:hAnsi="Times New Roman" w:hint="eastAsia"/>
              </w:rPr>
              <w:t>长江电力</w:t>
            </w:r>
            <w:r w:rsidRPr="00316C10">
              <w:rPr>
                <w:rFonts w:ascii="Times New Roman" w:hAnsi="Times New Roman"/>
              </w:rPr>
              <w:t>收购</w:t>
            </w:r>
            <w:r w:rsidRPr="00316C10">
              <w:rPr>
                <w:rFonts w:ascii="Times New Roman" w:hAnsi="Times New Roman" w:hint="eastAsia"/>
              </w:rPr>
              <w:t>三峡金沙江川云水电开发有限公司合计</w:t>
            </w:r>
            <w:r w:rsidRPr="00316C10">
              <w:rPr>
                <w:rFonts w:ascii="Times New Roman" w:hAnsi="Times New Roman" w:hint="eastAsia"/>
              </w:rPr>
              <w:t>100%</w:t>
            </w:r>
            <w:r w:rsidRPr="00316C10">
              <w:rPr>
                <w:rFonts w:ascii="Times New Roman" w:hAnsi="Times New Roman" w:hint="eastAsia"/>
              </w:rPr>
              <w:t>股权</w:t>
            </w:r>
          </w:p>
        </w:tc>
        <w:tc>
          <w:tcPr>
            <w:tcW w:w="1961" w:type="dxa"/>
            <w:shd w:val="clear" w:color="auto" w:fill="auto"/>
            <w:tcMar>
              <w:top w:w="15" w:type="dxa"/>
              <w:left w:w="15" w:type="dxa"/>
              <w:bottom w:w="0" w:type="dxa"/>
              <w:right w:w="15" w:type="dxa"/>
            </w:tcMar>
            <w:vAlign w:val="center"/>
          </w:tcPr>
          <w:p w14:paraId="42FFE17B" w14:textId="2F6EB8AB" w:rsidR="002C2E55" w:rsidRPr="00316C10" w:rsidRDefault="002C2E55" w:rsidP="00112C45">
            <w:pPr>
              <w:widowControl/>
              <w:spacing w:line="360" w:lineRule="auto"/>
              <w:jc w:val="center"/>
              <w:textAlignment w:val="center"/>
              <w:rPr>
                <w:rFonts w:ascii="Times New Roman" w:hAnsi="Times New Roman"/>
              </w:rPr>
            </w:pPr>
            <w:r w:rsidRPr="00316C10">
              <w:rPr>
                <w:rFonts w:ascii="Times New Roman" w:hAnsi="Times New Roman"/>
              </w:rPr>
              <w:t>797</w:t>
            </w:r>
            <w:r w:rsidRPr="00316C10">
              <w:rPr>
                <w:rFonts w:ascii="Times New Roman" w:hAnsi="Times New Roman" w:hint="eastAsia"/>
              </w:rPr>
              <w:t>亿元</w:t>
            </w:r>
          </w:p>
        </w:tc>
      </w:tr>
      <w:tr w:rsidR="002C2E55" w:rsidRPr="00316C10" w14:paraId="1DC528D6" w14:textId="77777777" w:rsidTr="002C2E55">
        <w:trPr>
          <w:trHeight w:val="55"/>
          <w:jc w:val="center"/>
        </w:trPr>
        <w:tc>
          <w:tcPr>
            <w:tcW w:w="643" w:type="dxa"/>
            <w:shd w:val="clear" w:color="auto" w:fill="auto"/>
            <w:tcMar>
              <w:top w:w="15" w:type="dxa"/>
              <w:left w:w="15" w:type="dxa"/>
              <w:bottom w:w="0" w:type="dxa"/>
              <w:right w:w="15" w:type="dxa"/>
            </w:tcMar>
            <w:vAlign w:val="center"/>
          </w:tcPr>
          <w:p w14:paraId="7B472D77" w14:textId="77777777" w:rsidR="002C2E55" w:rsidRPr="00316C10" w:rsidRDefault="002C2E55" w:rsidP="00112C45">
            <w:pPr>
              <w:widowControl/>
              <w:spacing w:line="360" w:lineRule="auto"/>
              <w:jc w:val="center"/>
              <w:textAlignment w:val="center"/>
              <w:rPr>
                <w:rFonts w:ascii="Times New Roman" w:hAnsi="Times New Roman"/>
                <w:kern w:val="0"/>
                <w:szCs w:val="21"/>
              </w:rPr>
            </w:pPr>
            <w:r w:rsidRPr="00316C10">
              <w:rPr>
                <w:rFonts w:ascii="Times New Roman" w:hAnsi="Times New Roman"/>
                <w:color w:val="000000"/>
                <w:kern w:val="24"/>
                <w:szCs w:val="21"/>
              </w:rPr>
              <w:t>3</w:t>
            </w:r>
          </w:p>
        </w:tc>
        <w:tc>
          <w:tcPr>
            <w:tcW w:w="6293" w:type="dxa"/>
            <w:shd w:val="clear" w:color="auto" w:fill="auto"/>
            <w:tcMar>
              <w:top w:w="15" w:type="dxa"/>
              <w:left w:w="15" w:type="dxa"/>
              <w:bottom w:w="0" w:type="dxa"/>
              <w:right w:w="15" w:type="dxa"/>
            </w:tcMar>
            <w:vAlign w:val="center"/>
          </w:tcPr>
          <w:p w14:paraId="74A815DA" w14:textId="77777777" w:rsidR="002C2E55" w:rsidRPr="00316C10" w:rsidRDefault="002C2E55" w:rsidP="00112C45">
            <w:pPr>
              <w:widowControl/>
              <w:spacing w:line="360" w:lineRule="auto"/>
              <w:jc w:val="left"/>
              <w:textAlignment w:val="center"/>
              <w:rPr>
                <w:rFonts w:ascii="Times New Roman" w:hAnsi="Times New Roman"/>
                <w:kern w:val="0"/>
                <w:szCs w:val="21"/>
              </w:rPr>
            </w:pPr>
            <w:r w:rsidRPr="00316C10">
              <w:rPr>
                <w:rFonts w:ascii="Times New Roman" w:hAnsi="Times New Roman" w:hint="eastAsia"/>
                <w:kern w:val="0"/>
                <w:szCs w:val="21"/>
              </w:rPr>
              <w:t>分众传媒借壳七喜控股</w:t>
            </w:r>
          </w:p>
        </w:tc>
        <w:tc>
          <w:tcPr>
            <w:tcW w:w="1961" w:type="dxa"/>
            <w:shd w:val="clear" w:color="auto" w:fill="auto"/>
            <w:tcMar>
              <w:top w:w="15" w:type="dxa"/>
              <w:left w:w="15" w:type="dxa"/>
              <w:bottom w:w="0" w:type="dxa"/>
              <w:right w:w="15" w:type="dxa"/>
            </w:tcMar>
            <w:vAlign w:val="center"/>
          </w:tcPr>
          <w:p w14:paraId="6F5B547D" w14:textId="7201FADF" w:rsidR="002C2E55" w:rsidRPr="00316C10" w:rsidRDefault="002C2E55" w:rsidP="00112C45">
            <w:pPr>
              <w:widowControl/>
              <w:spacing w:line="360" w:lineRule="auto"/>
              <w:jc w:val="center"/>
              <w:textAlignment w:val="center"/>
              <w:rPr>
                <w:rFonts w:ascii="Times New Roman" w:hAnsi="Times New Roman"/>
                <w:kern w:val="0"/>
                <w:szCs w:val="21"/>
              </w:rPr>
            </w:pPr>
            <w:r w:rsidRPr="00316C10">
              <w:rPr>
                <w:rFonts w:ascii="Times New Roman" w:hAnsi="Times New Roman"/>
              </w:rPr>
              <w:t>457</w:t>
            </w:r>
            <w:r w:rsidRPr="00316C10">
              <w:rPr>
                <w:rFonts w:ascii="Times New Roman" w:hAnsi="Times New Roman" w:hint="eastAsia"/>
              </w:rPr>
              <w:t>亿元</w:t>
            </w:r>
          </w:p>
        </w:tc>
      </w:tr>
      <w:tr w:rsidR="00112C45" w:rsidRPr="00316C10" w14:paraId="6961F8E6" w14:textId="77777777" w:rsidTr="002C2E55">
        <w:trPr>
          <w:trHeight w:val="55"/>
          <w:jc w:val="center"/>
        </w:trPr>
        <w:tc>
          <w:tcPr>
            <w:tcW w:w="643" w:type="dxa"/>
            <w:shd w:val="clear" w:color="auto" w:fill="auto"/>
            <w:tcMar>
              <w:top w:w="15" w:type="dxa"/>
              <w:left w:w="15" w:type="dxa"/>
              <w:bottom w:w="0" w:type="dxa"/>
              <w:right w:w="15" w:type="dxa"/>
            </w:tcMar>
            <w:vAlign w:val="center"/>
          </w:tcPr>
          <w:p w14:paraId="2FBC6319" w14:textId="77777777" w:rsidR="00112C45" w:rsidRPr="00316C10" w:rsidRDefault="00112C45" w:rsidP="00112C45">
            <w:pPr>
              <w:widowControl/>
              <w:spacing w:line="360" w:lineRule="auto"/>
              <w:jc w:val="center"/>
              <w:textAlignment w:val="center"/>
              <w:rPr>
                <w:rFonts w:ascii="Times New Roman" w:hAnsi="Times New Roman"/>
                <w:kern w:val="0"/>
                <w:szCs w:val="21"/>
              </w:rPr>
            </w:pPr>
            <w:r w:rsidRPr="00316C10">
              <w:rPr>
                <w:rFonts w:ascii="Times New Roman" w:hAnsi="Times New Roman"/>
                <w:color w:val="000000"/>
                <w:kern w:val="24"/>
                <w:szCs w:val="21"/>
              </w:rPr>
              <w:t>4</w:t>
            </w:r>
          </w:p>
        </w:tc>
        <w:tc>
          <w:tcPr>
            <w:tcW w:w="6293" w:type="dxa"/>
            <w:shd w:val="clear" w:color="auto" w:fill="auto"/>
            <w:tcMar>
              <w:top w:w="15" w:type="dxa"/>
              <w:left w:w="15" w:type="dxa"/>
              <w:bottom w:w="0" w:type="dxa"/>
              <w:right w:w="15" w:type="dxa"/>
            </w:tcMar>
            <w:vAlign w:val="center"/>
          </w:tcPr>
          <w:p w14:paraId="69328940" w14:textId="104D10FB" w:rsidR="00112C45" w:rsidRPr="00316C10" w:rsidRDefault="00D76FD9" w:rsidP="00112C45">
            <w:pPr>
              <w:widowControl/>
              <w:spacing w:line="360" w:lineRule="auto"/>
              <w:jc w:val="left"/>
              <w:textAlignment w:val="center"/>
              <w:rPr>
                <w:rFonts w:ascii="Times New Roman" w:hAnsi="Times New Roman"/>
                <w:kern w:val="0"/>
                <w:szCs w:val="21"/>
              </w:rPr>
            </w:pPr>
            <w:r w:rsidRPr="00D76FD9">
              <w:rPr>
                <w:rFonts w:ascii="Times New Roman" w:hAnsi="Times New Roman" w:hint="eastAsia"/>
                <w:kern w:val="0"/>
                <w:szCs w:val="21"/>
              </w:rPr>
              <w:t>招商局蛇口控股</w:t>
            </w:r>
            <w:r w:rsidRPr="00D76FD9">
              <w:rPr>
                <w:rFonts w:ascii="Times New Roman" w:hAnsi="Times New Roman" w:hint="eastAsia"/>
                <w:kern w:val="0"/>
                <w:szCs w:val="21"/>
              </w:rPr>
              <w:t>449</w:t>
            </w:r>
            <w:r w:rsidRPr="00D76FD9">
              <w:rPr>
                <w:rFonts w:ascii="Times New Roman" w:hAnsi="Times New Roman" w:hint="eastAsia"/>
                <w:kern w:val="0"/>
                <w:szCs w:val="21"/>
              </w:rPr>
              <w:t>亿吸收合并招商地产</w:t>
            </w:r>
          </w:p>
        </w:tc>
        <w:tc>
          <w:tcPr>
            <w:tcW w:w="1961" w:type="dxa"/>
            <w:shd w:val="clear" w:color="auto" w:fill="auto"/>
            <w:tcMar>
              <w:top w:w="15" w:type="dxa"/>
              <w:left w:w="15" w:type="dxa"/>
              <w:bottom w:w="0" w:type="dxa"/>
              <w:right w:w="15" w:type="dxa"/>
            </w:tcMar>
            <w:vAlign w:val="center"/>
          </w:tcPr>
          <w:p w14:paraId="52C84DEA" w14:textId="16D2573B" w:rsidR="00112C45" w:rsidRPr="00316C10" w:rsidRDefault="00D76FD9" w:rsidP="00112C45">
            <w:pPr>
              <w:widowControl/>
              <w:spacing w:line="360" w:lineRule="auto"/>
              <w:jc w:val="center"/>
              <w:textAlignment w:val="center"/>
              <w:rPr>
                <w:rFonts w:ascii="Times New Roman" w:hAnsi="Times New Roman"/>
                <w:kern w:val="0"/>
                <w:szCs w:val="21"/>
              </w:rPr>
            </w:pPr>
            <w:r>
              <w:rPr>
                <w:rFonts w:ascii="Times New Roman" w:hAnsi="Times New Roman" w:hint="eastAsia"/>
                <w:kern w:val="0"/>
                <w:szCs w:val="21"/>
              </w:rPr>
              <w:t>449</w:t>
            </w:r>
            <w:r>
              <w:rPr>
                <w:rFonts w:ascii="Times New Roman" w:hAnsi="Times New Roman" w:hint="eastAsia"/>
                <w:kern w:val="0"/>
                <w:szCs w:val="21"/>
              </w:rPr>
              <w:t>亿元</w:t>
            </w:r>
          </w:p>
        </w:tc>
      </w:tr>
      <w:tr w:rsidR="00D76FD9" w:rsidRPr="00316C10" w14:paraId="121DC84A" w14:textId="77777777" w:rsidTr="002C2E55">
        <w:trPr>
          <w:trHeight w:val="55"/>
          <w:jc w:val="center"/>
        </w:trPr>
        <w:tc>
          <w:tcPr>
            <w:tcW w:w="643" w:type="dxa"/>
            <w:shd w:val="clear" w:color="auto" w:fill="auto"/>
            <w:tcMar>
              <w:top w:w="15" w:type="dxa"/>
              <w:left w:w="15" w:type="dxa"/>
              <w:bottom w:w="0" w:type="dxa"/>
              <w:right w:w="15" w:type="dxa"/>
            </w:tcMar>
            <w:vAlign w:val="center"/>
          </w:tcPr>
          <w:p w14:paraId="6E968929" w14:textId="77777777" w:rsidR="00D76FD9" w:rsidRPr="00316C10" w:rsidRDefault="00D76FD9" w:rsidP="00112C45">
            <w:pPr>
              <w:widowControl/>
              <w:spacing w:line="360" w:lineRule="auto"/>
              <w:jc w:val="center"/>
              <w:textAlignment w:val="center"/>
              <w:rPr>
                <w:rFonts w:ascii="Times New Roman" w:hAnsi="Times New Roman"/>
                <w:color w:val="000000"/>
                <w:kern w:val="24"/>
                <w:szCs w:val="21"/>
              </w:rPr>
            </w:pPr>
            <w:r w:rsidRPr="00316C10">
              <w:rPr>
                <w:rFonts w:ascii="Times New Roman" w:hAnsi="Times New Roman"/>
                <w:color w:val="000000"/>
                <w:kern w:val="24"/>
                <w:szCs w:val="21"/>
              </w:rPr>
              <w:t>5</w:t>
            </w:r>
          </w:p>
        </w:tc>
        <w:tc>
          <w:tcPr>
            <w:tcW w:w="6293" w:type="dxa"/>
            <w:shd w:val="clear" w:color="auto" w:fill="auto"/>
            <w:tcMar>
              <w:top w:w="15" w:type="dxa"/>
              <w:left w:w="15" w:type="dxa"/>
              <w:bottom w:w="0" w:type="dxa"/>
              <w:right w:w="15" w:type="dxa"/>
            </w:tcMar>
            <w:vAlign w:val="center"/>
          </w:tcPr>
          <w:p w14:paraId="2018E288" w14:textId="37E6B77D" w:rsidR="00D76FD9" w:rsidRPr="00316C10" w:rsidRDefault="00D76FD9" w:rsidP="00112C45">
            <w:pPr>
              <w:widowControl/>
              <w:spacing w:line="360" w:lineRule="auto"/>
              <w:jc w:val="left"/>
              <w:textAlignment w:val="center"/>
              <w:rPr>
                <w:rFonts w:ascii="Times New Roman" w:hAnsi="Times New Roman"/>
                <w:bCs/>
                <w:color w:val="000000"/>
                <w:kern w:val="24"/>
                <w:szCs w:val="21"/>
              </w:rPr>
            </w:pPr>
            <w:r w:rsidRPr="00316C10">
              <w:rPr>
                <w:rFonts w:ascii="Times New Roman" w:hAnsi="Times New Roman" w:hint="eastAsia"/>
                <w:color w:val="000000"/>
                <w:szCs w:val="21"/>
              </w:rPr>
              <w:t>西安民生收购供销大集控股</w:t>
            </w:r>
            <w:r w:rsidRPr="00316C10">
              <w:rPr>
                <w:rFonts w:ascii="Times New Roman" w:hAnsi="Times New Roman" w:hint="eastAsia"/>
                <w:color w:val="000000"/>
                <w:szCs w:val="21"/>
              </w:rPr>
              <w:t>100%</w:t>
            </w:r>
            <w:r w:rsidRPr="00316C10">
              <w:rPr>
                <w:rFonts w:ascii="Times New Roman" w:hAnsi="Times New Roman" w:hint="eastAsia"/>
                <w:color w:val="000000"/>
                <w:szCs w:val="21"/>
              </w:rPr>
              <w:t>股权</w:t>
            </w:r>
          </w:p>
        </w:tc>
        <w:tc>
          <w:tcPr>
            <w:tcW w:w="1961" w:type="dxa"/>
            <w:shd w:val="clear" w:color="auto" w:fill="auto"/>
            <w:tcMar>
              <w:top w:w="15" w:type="dxa"/>
              <w:left w:w="15" w:type="dxa"/>
              <w:bottom w:w="0" w:type="dxa"/>
              <w:right w:w="15" w:type="dxa"/>
            </w:tcMar>
            <w:vAlign w:val="center"/>
          </w:tcPr>
          <w:p w14:paraId="75B73FF6" w14:textId="291A0071" w:rsidR="00D76FD9" w:rsidRPr="00316C10" w:rsidRDefault="00D76FD9" w:rsidP="00112C45">
            <w:pPr>
              <w:widowControl/>
              <w:spacing w:line="360" w:lineRule="auto"/>
              <w:jc w:val="center"/>
              <w:textAlignment w:val="center"/>
              <w:rPr>
                <w:rFonts w:ascii="Times New Roman" w:hAnsi="Times New Roman"/>
                <w:color w:val="0D0D0D"/>
                <w:kern w:val="24"/>
                <w:szCs w:val="21"/>
              </w:rPr>
            </w:pPr>
            <w:r w:rsidRPr="00316C10">
              <w:rPr>
                <w:rFonts w:ascii="Times New Roman" w:hAnsi="Times New Roman"/>
                <w:color w:val="000000"/>
                <w:szCs w:val="21"/>
              </w:rPr>
              <w:t>268</w:t>
            </w:r>
            <w:r w:rsidRPr="00316C10">
              <w:rPr>
                <w:rFonts w:ascii="Times New Roman" w:hAnsi="Times New Roman" w:hint="eastAsia"/>
                <w:color w:val="000000"/>
                <w:szCs w:val="21"/>
              </w:rPr>
              <w:t>亿元</w:t>
            </w:r>
          </w:p>
        </w:tc>
      </w:tr>
      <w:tr w:rsidR="00D76FD9" w:rsidRPr="00316C10" w14:paraId="1FA88B62" w14:textId="77777777" w:rsidTr="002C2E55">
        <w:trPr>
          <w:trHeight w:val="55"/>
          <w:jc w:val="center"/>
        </w:trPr>
        <w:tc>
          <w:tcPr>
            <w:tcW w:w="643" w:type="dxa"/>
            <w:shd w:val="clear" w:color="auto" w:fill="auto"/>
            <w:tcMar>
              <w:top w:w="15" w:type="dxa"/>
              <w:left w:w="15" w:type="dxa"/>
              <w:bottom w:w="0" w:type="dxa"/>
              <w:right w:w="15" w:type="dxa"/>
            </w:tcMar>
            <w:vAlign w:val="center"/>
          </w:tcPr>
          <w:p w14:paraId="1B99858B" w14:textId="77777777" w:rsidR="00D76FD9" w:rsidRPr="00316C10" w:rsidRDefault="00D76FD9" w:rsidP="00112C45">
            <w:pPr>
              <w:widowControl/>
              <w:spacing w:line="360" w:lineRule="auto"/>
              <w:jc w:val="center"/>
              <w:textAlignment w:val="center"/>
              <w:rPr>
                <w:rFonts w:ascii="Times New Roman" w:hAnsi="Times New Roman"/>
                <w:color w:val="000000"/>
                <w:kern w:val="24"/>
                <w:szCs w:val="21"/>
              </w:rPr>
            </w:pPr>
            <w:r w:rsidRPr="00316C10">
              <w:rPr>
                <w:rFonts w:ascii="Times New Roman" w:hAnsi="Times New Roman" w:hint="eastAsia"/>
                <w:color w:val="000000"/>
                <w:kern w:val="24"/>
                <w:szCs w:val="21"/>
              </w:rPr>
              <w:t>6</w:t>
            </w:r>
          </w:p>
        </w:tc>
        <w:tc>
          <w:tcPr>
            <w:tcW w:w="6293" w:type="dxa"/>
            <w:shd w:val="clear" w:color="auto" w:fill="auto"/>
            <w:tcMar>
              <w:top w:w="15" w:type="dxa"/>
              <w:left w:w="15" w:type="dxa"/>
              <w:bottom w:w="0" w:type="dxa"/>
              <w:right w:w="15" w:type="dxa"/>
            </w:tcMar>
            <w:vAlign w:val="center"/>
          </w:tcPr>
          <w:p w14:paraId="6BA4E3FC" w14:textId="658FB435" w:rsidR="00D76FD9" w:rsidRPr="00316C10" w:rsidRDefault="00D76FD9" w:rsidP="00112C45">
            <w:pPr>
              <w:widowControl/>
              <w:spacing w:line="360" w:lineRule="auto"/>
              <w:jc w:val="left"/>
              <w:textAlignment w:val="center"/>
              <w:rPr>
                <w:rFonts w:ascii="Times New Roman" w:hAnsi="Times New Roman"/>
                <w:kern w:val="0"/>
                <w:szCs w:val="21"/>
              </w:rPr>
            </w:pPr>
            <w:r w:rsidRPr="00316C10">
              <w:rPr>
                <w:rFonts w:ascii="Times New Roman" w:hAnsi="Times New Roman" w:hint="eastAsia"/>
                <w:bCs/>
                <w:color w:val="000000"/>
              </w:rPr>
              <w:t>海岛建设收购海航基础产业集团有限公司</w:t>
            </w:r>
            <w:r w:rsidRPr="00316C10">
              <w:rPr>
                <w:rFonts w:ascii="Times New Roman" w:hAnsi="Times New Roman" w:hint="eastAsia"/>
                <w:bCs/>
                <w:color w:val="000000"/>
              </w:rPr>
              <w:t>100%</w:t>
            </w:r>
            <w:r w:rsidRPr="00316C10">
              <w:rPr>
                <w:rFonts w:ascii="Times New Roman" w:hAnsi="Times New Roman" w:hint="eastAsia"/>
                <w:bCs/>
                <w:color w:val="000000"/>
              </w:rPr>
              <w:t>股权</w:t>
            </w:r>
          </w:p>
        </w:tc>
        <w:tc>
          <w:tcPr>
            <w:tcW w:w="1961" w:type="dxa"/>
            <w:shd w:val="clear" w:color="auto" w:fill="auto"/>
            <w:tcMar>
              <w:top w:w="15" w:type="dxa"/>
              <w:left w:w="15" w:type="dxa"/>
              <w:bottom w:w="0" w:type="dxa"/>
              <w:right w:w="15" w:type="dxa"/>
            </w:tcMar>
            <w:vAlign w:val="center"/>
          </w:tcPr>
          <w:p w14:paraId="2FCB271F" w14:textId="55014831" w:rsidR="00D76FD9" w:rsidRPr="00316C10" w:rsidRDefault="00D76FD9" w:rsidP="00112C45">
            <w:pPr>
              <w:widowControl/>
              <w:spacing w:line="360" w:lineRule="auto"/>
              <w:jc w:val="center"/>
              <w:textAlignment w:val="center"/>
              <w:rPr>
                <w:rFonts w:ascii="Times New Roman" w:hAnsi="Times New Roman"/>
                <w:kern w:val="0"/>
                <w:szCs w:val="21"/>
              </w:rPr>
            </w:pPr>
            <w:r w:rsidRPr="00316C10">
              <w:rPr>
                <w:rFonts w:ascii="Times New Roman" w:hAnsi="Times New Roman" w:hint="eastAsia"/>
                <w:kern w:val="0"/>
                <w:szCs w:val="21"/>
              </w:rPr>
              <w:t>260</w:t>
            </w:r>
            <w:r w:rsidRPr="00316C10">
              <w:rPr>
                <w:rFonts w:ascii="Times New Roman" w:hAnsi="Times New Roman" w:hint="eastAsia"/>
                <w:kern w:val="0"/>
                <w:szCs w:val="21"/>
              </w:rPr>
              <w:t>亿元</w:t>
            </w:r>
          </w:p>
        </w:tc>
      </w:tr>
      <w:tr w:rsidR="00D76FD9" w:rsidRPr="00316C10" w14:paraId="781EB6A2" w14:textId="77777777" w:rsidTr="002C2E55">
        <w:trPr>
          <w:trHeight w:val="55"/>
          <w:jc w:val="center"/>
        </w:trPr>
        <w:tc>
          <w:tcPr>
            <w:tcW w:w="643" w:type="dxa"/>
            <w:shd w:val="clear" w:color="auto" w:fill="auto"/>
            <w:tcMar>
              <w:top w:w="15" w:type="dxa"/>
              <w:left w:w="15" w:type="dxa"/>
              <w:bottom w:w="0" w:type="dxa"/>
              <w:right w:w="15" w:type="dxa"/>
            </w:tcMar>
            <w:vAlign w:val="center"/>
          </w:tcPr>
          <w:p w14:paraId="1FF7EE25" w14:textId="77777777" w:rsidR="00D76FD9" w:rsidRPr="00316C10" w:rsidRDefault="00D76FD9" w:rsidP="00112C45">
            <w:pPr>
              <w:widowControl/>
              <w:spacing w:line="360" w:lineRule="auto"/>
              <w:jc w:val="center"/>
              <w:textAlignment w:val="center"/>
              <w:rPr>
                <w:rFonts w:ascii="Times New Roman" w:hAnsi="Times New Roman"/>
                <w:kern w:val="0"/>
                <w:szCs w:val="21"/>
              </w:rPr>
            </w:pPr>
            <w:r w:rsidRPr="00316C10">
              <w:rPr>
                <w:rFonts w:ascii="Times New Roman" w:hAnsi="Times New Roman"/>
                <w:color w:val="000000"/>
                <w:kern w:val="24"/>
                <w:szCs w:val="21"/>
              </w:rPr>
              <w:t>7</w:t>
            </w:r>
          </w:p>
        </w:tc>
        <w:tc>
          <w:tcPr>
            <w:tcW w:w="6293" w:type="dxa"/>
            <w:shd w:val="clear" w:color="auto" w:fill="auto"/>
            <w:tcMar>
              <w:top w:w="15" w:type="dxa"/>
              <w:left w:w="15" w:type="dxa"/>
              <w:bottom w:w="0" w:type="dxa"/>
              <w:right w:w="15" w:type="dxa"/>
            </w:tcMar>
            <w:vAlign w:val="center"/>
          </w:tcPr>
          <w:p w14:paraId="0577B61F" w14:textId="2D3B7211" w:rsidR="00D76FD9" w:rsidRPr="00316C10" w:rsidRDefault="00D76FD9" w:rsidP="00112C45">
            <w:pPr>
              <w:widowControl/>
              <w:spacing w:line="360" w:lineRule="auto"/>
              <w:jc w:val="left"/>
              <w:textAlignment w:val="center"/>
              <w:rPr>
                <w:rFonts w:ascii="Times New Roman" w:hAnsi="Times New Roman"/>
                <w:kern w:val="0"/>
                <w:szCs w:val="21"/>
              </w:rPr>
            </w:pPr>
            <w:r>
              <w:rPr>
                <w:rFonts w:ascii="Times New Roman" w:hAnsi="Times New Roman"/>
                <w:kern w:val="0"/>
                <w:szCs w:val="21"/>
              </w:rPr>
              <w:t>中国石油以中油管道为平台</w:t>
            </w:r>
            <w:r>
              <w:rPr>
                <w:rFonts w:ascii="Times New Roman" w:hAnsi="Times New Roman" w:hint="eastAsia"/>
                <w:kern w:val="0"/>
                <w:szCs w:val="21"/>
              </w:rPr>
              <w:t>，</w:t>
            </w:r>
            <w:r>
              <w:rPr>
                <w:rFonts w:ascii="Times New Roman" w:hAnsi="Times New Roman"/>
                <w:kern w:val="0"/>
                <w:szCs w:val="21"/>
              </w:rPr>
              <w:t>从</w:t>
            </w:r>
            <w:r>
              <w:rPr>
                <w:rFonts w:ascii="Times New Roman" w:hAnsi="Times New Roman" w:hint="eastAsia"/>
                <w:kern w:val="0"/>
                <w:szCs w:val="21"/>
              </w:rPr>
              <w:t>泰康资产管理有限责任公司和</w:t>
            </w:r>
            <w:r w:rsidRPr="00316C10">
              <w:rPr>
                <w:rFonts w:ascii="Times New Roman" w:hAnsi="Times New Roman" w:hint="eastAsia"/>
                <w:kern w:val="0"/>
                <w:szCs w:val="21"/>
              </w:rPr>
              <w:t>北京国联能源产业投资基金</w:t>
            </w:r>
            <w:r w:rsidRPr="00316C10">
              <w:rPr>
                <w:rFonts w:ascii="Times New Roman" w:hAnsi="Times New Roman" w:hint="eastAsia"/>
                <w:kern w:val="0"/>
                <w:szCs w:val="21"/>
              </w:rPr>
              <w:t>(</w:t>
            </w:r>
            <w:r w:rsidRPr="00316C10">
              <w:rPr>
                <w:rFonts w:ascii="Times New Roman" w:hAnsi="Times New Roman" w:hint="eastAsia"/>
                <w:kern w:val="0"/>
                <w:szCs w:val="21"/>
              </w:rPr>
              <w:t>有限合伙</w:t>
            </w:r>
            <w:r w:rsidRPr="00316C10">
              <w:rPr>
                <w:rFonts w:ascii="Times New Roman" w:hAnsi="Times New Roman" w:hint="eastAsia"/>
                <w:kern w:val="0"/>
                <w:szCs w:val="21"/>
              </w:rPr>
              <w:t>)</w:t>
            </w:r>
            <w:r>
              <w:rPr>
                <w:rFonts w:ascii="Times New Roman" w:hAnsi="Times New Roman" w:hint="eastAsia"/>
                <w:kern w:val="0"/>
                <w:szCs w:val="21"/>
              </w:rPr>
              <w:t>分别收购</w:t>
            </w:r>
            <w:r w:rsidRPr="00316C10">
              <w:rPr>
                <w:rFonts w:ascii="Times New Roman" w:hAnsi="Times New Roman" w:hint="eastAsia"/>
                <w:kern w:val="0"/>
                <w:szCs w:val="21"/>
              </w:rPr>
              <w:t>中石油管道联合有限公司</w:t>
            </w:r>
            <w:r w:rsidRPr="00316C10">
              <w:rPr>
                <w:rFonts w:ascii="Times New Roman" w:hAnsi="Times New Roman" w:hint="eastAsia"/>
                <w:kern w:val="0"/>
                <w:szCs w:val="21"/>
              </w:rPr>
              <w:t>14.86%</w:t>
            </w:r>
            <w:r w:rsidRPr="00316C10">
              <w:rPr>
                <w:rFonts w:ascii="Times New Roman" w:hAnsi="Times New Roman" w:hint="eastAsia"/>
                <w:kern w:val="0"/>
                <w:szCs w:val="21"/>
              </w:rPr>
              <w:t>股权，中石油西北联合管道有限责任公司</w:t>
            </w:r>
            <w:r w:rsidRPr="00316C10">
              <w:rPr>
                <w:rFonts w:ascii="Times New Roman" w:hAnsi="Times New Roman" w:hint="eastAsia"/>
                <w:kern w:val="0"/>
                <w:szCs w:val="21"/>
              </w:rPr>
              <w:t>9.6%</w:t>
            </w:r>
            <w:r w:rsidRPr="00316C10">
              <w:rPr>
                <w:rFonts w:ascii="Times New Roman" w:hAnsi="Times New Roman" w:hint="eastAsia"/>
                <w:kern w:val="0"/>
                <w:szCs w:val="21"/>
              </w:rPr>
              <w:t>股权</w:t>
            </w:r>
          </w:p>
        </w:tc>
        <w:tc>
          <w:tcPr>
            <w:tcW w:w="1961" w:type="dxa"/>
            <w:shd w:val="clear" w:color="auto" w:fill="auto"/>
            <w:tcMar>
              <w:top w:w="15" w:type="dxa"/>
              <w:left w:w="15" w:type="dxa"/>
              <w:bottom w:w="0" w:type="dxa"/>
              <w:right w:w="15" w:type="dxa"/>
            </w:tcMar>
            <w:vAlign w:val="center"/>
          </w:tcPr>
          <w:p w14:paraId="5C926AF9" w14:textId="5C93D017" w:rsidR="00D76FD9" w:rsidRPr="00316C10" w:rsidRDefault="00D76FD9" w:rsidP="00112C45">
            <w:pPr>
              <w:widowControl/>
              <w:spacing w:line="360" w:lineRule="auto"/>
              <w:jc w:val="center"/>
              <w:textAlignment w:val="center"/>
              <w:rPr>
                <w:rFonts w:ascii="Times New Roman" w:hAnsi="Times New Roman"/>
                <w:kern w:val="0"/>
                <w:szCs w:val="21"/>
              </w:rPr>
            </w:pPr>
            <w:r>
              <w:rPr>
                <w:rFonts w:ascii="Times New Roman" w:hAnsi="Times New Roman" w:hint="eastAsia"/>
                <w:kern w:val="0"/>
                <w:szCs w:val="21"/>
              </w:rPr>
              <w:t>250</w:t>
            </w:r>
            <w:r>
              <w:rPr>
                <w:rFonts w:ascii="Times New Roman" w:hAnsi="Times New Roman" w:hint="eastAsia"/>
                <w:kern w:val="0"/>
                <w:szCs w:val="21"/>
              </w:rPr>
              <w:t>亿元</w:t>
            </w:r>
          </w:p>
        </w:tc>
      </w:tr>
      <w:tr w:rsidR="00D76FD9" w:rsidRPr="00316C10" w14:paraId="6AE5A5AA" w14:textId="77777777" w:rsidTr="002C2E55">
        <w:trPr>
          <w:trHeight w:val="55"/>
          <w:jc w:val="center"/>
        </w:trPr>
        <w:tc>
          <w:tcPr>
            <w:tcW w:w="643" w:type="dxa"/>
            <w:shd w:val="clear" w:color="auto" w:fill="auto"/>
            <w:tcMar>
              <w:top w:w="15" w:type="dxa"/>
              <w:left w:w="15" w:type="dxa"/>
              <w:bottom w:w="0" w:type="dxa"/>
              <w:right w:w="15" w:type="dxa"/>
            </w:tcMar>
            <w:vAlign w:val="center"/>
          </w:tcPr>
          <w:p w14:paraId="4D515F6F" w14:textId="77777777" w:rsidR="00D76FD9" w:rsidRPr="00316C10" w:rsidRDefault="00D76FD9" w:rsidP="00112C45">
            <w:pPr>
              <w:widowControl/>
              <w:spacing w:line="360" w:lineRule="auto"/>
              <w:jc w:val="center"/>
              <w:textAlignment w:val="center"/>
              <w:rPr>
                <w:rFonts w:ascii="Times New Roman" w:hAnsi="Times New Roman"/>
                <w:kern w:val="0"/>
                <w:szCs w:val="21"/>
              </w:rPr>
            </w:pPr>
            <w:r w:rsidRPr="00316C10">
              <w:rPr>
                <w:rFonts w:ascii="Times New Roman" w:hAnsi="Times New Roman"/>
                <w:color w:val="000000"/>
                <w:kern w:val="24"/>
                <w:szCs w:val="21"/>
              </w:rPr>
              <w:t>8</w:t>
            </w:r>
          </w:p>
        </w:tc>
        <w:tc>
          <w:tcPr>
            <w:tcW w:w="6293" w:type="dxa"/>
            <w:shd w:val="clear" w:color="auto" w:fill="auto"/>
            <w:tcMar>
              <w:top w:w="15" w:type="dxa"/>
              <w:left w:w="15" w:type="dxa"/>
              <w:bottom w:w="0" w:type="dxa"/>
              <w:right w:w="15" w:type="dxa"/>
            </w:tcMar>
            <w:vAlign w:val="center"/>
          </w:tcPr>
          <w:p w14:paraId="45C70575" w14:textId="2DA2DAFF" w:rsidR="00D76FD9" w:rsidRPr="00316C10" w:rsidRDefault="00D76FD9" w:rsidP="00112C45">
            <w:pPr>
              <w:widowControl/>
              <w:spacing w:line="360" w:lineRule="auto"/>
              <w:jc w:val="left"/>
              <w:textAlignment w:val="center"/>
              <w:rPr>
                <w:rFonts w:ascii="Times New Roman" w:hAnsi="Times New Roman"/>
                <w:kern w:val="0"/>
                <w:szCs w:val="21"/>
              </w:rPr>
            </w:pPr>
            <w:r w:rsidRPr="00316C10">
              <w:rPr>
                <w:rFonts w:ascii="Times New Roman" w:hAnsi="Times New Roman" w:hint="eastAsia"/>
                <w:kern w:val="0"/>
                <w:szCs w:val="21"/>
              </w:rPr>
              <w:t>紫光股份收购西部数据</w:t>
            </w:r>
            <w:r w:rsidRPr="00316C10">
              <w:rPr>
                <w:rFonts w:ascii="Times New Roman" w:hAnsi="Times New Roman" w:hint="eastAsia"/>
                <w:kern w:val="0"/>
                <w:szCs w:val="21"/>
              </w:rPr>
              <w:t>15</w:t>
            </w:r>
            <w:r w:rsidRPr="00316C10">
              <w:rPr>
                <w:rFonts w:ascii="Times New Roman" w:hAnsi="Times New Roman"/>
                <w:kern w:val="0"/>
                <w:szCs w:val="21"/>
              </w:rPr>
              <w:t>%</w:t>
            </w:r>
            <w:r w:rsidRPr="00316C10">
              <w:rPr>
                <w:rFonts w:ascii="Times New Roman" w:hAnsi="Times New Roman"/>
                <w:kern w:val="0"/>
                <w:szCs w:val="21"/>
              </w:rPr>
              <w:t>股权</w:t>
            </w:r>
          </w:p>
        </w:tc>
        <w:tc>
          <w:tcPr>
            <w:tcW w:w="1961" w:type="dxa"/>
            <w:shd w:val="clear" w:color="auto" w:fill="auto"/>
            <w:tcMar>
              <w:top w:w="15" w:type="dxa"/>
              <w:left w:w="15" w:type="dxa"/>
              <w:bottom w:w="0" w:type="dxa"/>
              <w:right w:w="15" w:type="dxa"/>
            </w:tcMar>
            <w:vAlign w:val="center"/>
          </w:tcPr>
          <w:p w14:paraId="7F293510" w14:textId="5BB83DE7" w:rsidR="00D76FD9" w:rsidRPr="00316C10" w:rsidRDefault="00D76FD9" w:rsidP="00112C45">
            <w:pPr>
              <w:widowControl/>
              <w:spacing w:line="360" w:lineRule="auto"/>
              <w:jc w:val="center"/>
              <w:textAlignment w:val="center"/>
              <w:rPr>
                <w:rFonts w:ascii="Times New Roman" w:hAnsi="Times New Roman"/>
                <w:kern w:val="0"/>
                <w:szCs w:val="21"/>
              </w:rPr>
            </w:pPr>
            <w:r w:rsidRPr="00316C10">
              <w:rPr>
                <w:rFonts w:ascii="Times New Roman" w:hAnsi="Times New Roman" w:hint="eastAsia"/>
                <w:kern w:val="0"/>
                <w:szCs w:val="21"/>
              </w:rPr>
              <w:t>24</w:t>
            </w:r>
            <w:r w:rsidRPr="00316C10">
              <w:rPr>
                <w:rFonts w:ascii="Times New Roman" w:hAnsi="Times New Roman"/>
                <w:kern w:val="0"/>
                <w:szCs w:val="21"/>
              </w:rPr>
              <w:t>0</w:t>
            </w:r>
            <w:r w:rsidRPr="00316C10">
              <w:rPr>
                <w:rFonts w:ascii="Times New Roman" w:hAnsi="Times New Roman" w:hint="eastAsia"/>
                <w:kern w:val="0"/>
                <w:szCs w:val="21"/>
              </w:rPr>
              <w:t>亿</w:t>
            </w:r>
            <w:r w:rsidRPr="00316C10">
              <w:rPr>
                <w:rFonts w:ascii="Times New Roman" w:hAnsi="Times New Roman"/>
                <w:kern w:val="0"/>
                <w:szCs w:val="21"/>
              </w:rPr>
              <w:t>元</w:t>
            </w:r>
          </w:p>
        </w:tc>
      </w:tr>
      <w:tr w:rsidR="00D76FD9" w:rsidRPr="00316C10" w14:paraId="08C7DA6B" w14:textId="77777777" w:rsidTr="002C2E55">
        <w:trPr>
          <w:trHeight w:val="55"/>
          <w:jc w:val="center"/>
        </w:trPr>
        <w:tc>
          <w:tcPr>
            <w:tcW w:w="643" w:type="dxa"/>
            <w:shd w:val="clear" w:color="auto" w:fill="auto"/>
            <w:tcMar>
              <w:top w:w="15" w:type="dxa"/>
              <w:left w:w="15" w:type="dxa"/>
              <w:bottom w:w="0" w:type="dxa"/>
              <w:right w:w="15" w:type="dxa"/>
            </w:tcMar>
            <w:vAlign w:val="center"/>
          </w:tcPr>
          <w:p w14:paraId="07115888" w14:textId="77777777" w:rsidR="00D76FD9" w:rsidRPr="00316C10" w:rsidRDefault="00D76FD9" w:rsidP="00112C45">
            <w:pPr>
              <w:widowControl/>
              <w:spacing w:line="360" w:lineRule="auto"/>
              <w:jc w:val="center"/>
              <w:textAlignment w:val="center"/>
              <w:rPr>
                <w:rFonts w:ascii="Times New Roman" w:hAnsi="Times New Roman"/>
                <w:color w:val="000000"/>
                <w:kern w:val="24"/>
                <w:szCs w:val="21"/>
              </w:rPr>
            </w:pPr>
            <w:r w:rsidRPr="00316C10">
              <w:rPr>
                <w:rFonts w:ascii="Times New Roman" w:hAnsi="Times New Roman" w:hint="eastAsia"/>
                <w:color w:val="000000"/>
                <w:kern w:val="24"/>
                <w:szCs w:val="21"/>
              </w:rPr>
              <w:t>9</w:t>
            </w:r>
          </w:p>
        </w:tc>
        <w:tc>
          <w:tcPr>
            <w:tcW w:w="6293" w:type="dxa"/>
            <w:shd w:val="clear" w:color="auto" w:fill="auto"/>
            <w:tcMar>
              <w:top w:w="15" w:type="dxa"/>
              <w:left w:w="15" w:type="dxa"/>
              <w:bottom w:w="0" w:type="dxa"/>
              <w:right w:w="15" w:type="dxa"/>
            </w:tcMar>
            <w:vAlign w:val="center"/>
          </w:tcPr>
          <w:p w14:paraId="3F7E10EE" w14:textId="462BBBE2" w:rsidR="00D76FD9" w:rsidRPr="00316C10" w:rsidRDefault="00D76FD9" w:rsidP="00112C45">
            <w:pPr>
              <w:widowControl/>
              <w:spacing w:line="360" w:lineRule="auto"/>
              <w:jc w:val="left"/>
              <w:textAlignment w:val="center"/>
              <w:rPr>
                <w:rFonts w:ascii="Times New Roman" w:hAnsi="Times New Roman"/>
                <w:color w:val="000000"/>
                <w:kern w:val="24"/>
                <w:szCs w:val="21"/>
              </w:rPr>
            </w:pPr>
            <w:r w:rsidRPr="00316C10">
              <w:rPr>
                <w:rFonts w:ascii="Times New Roman" w:hAnsi="Times New Roman" w:hint="eastAsia"/>
                <w:color w:val="000000"/>
                <w:kern w:val="24"/>
                <w:szCs w:val="21"/>
              </w:rPr>
              <w:t>传化股份</w:t>
            </w:r>
            <w:r w:rsidRPr="00316C10">
              <w:rPr>
                <w:rFonts w:ascii="Times New Roman" w:hAnsi="Times New Roman" w:hint="eastAsia"/>
                <w:color w:val="000000"/>
                <w:kern w:val="24"/>
                <w:szCs w:val="21"/>
              </w:rPr>
              <w:t>200</w:t>
            </w:r>
            <w:r w:rsidRPr="00316C10">
              <w:rPr>
                <w:rFonts w:ascii="Times New Roman" w:hAnsi="Times New Roman" w:hint="eastAsia"/>
                <w:color w:val="000000"/>
                <w:kern w:val="24"/>
                <w:szCs w:val="21"/>
              </w:rPr>
              <w:t>亿收购传化物流</w:t>
            </w:r>
            <w:r w:rsidRPr="00316C10">
              <w:rPr>
                <w:rFonts w:ascii="Times New Roman" w:hAnsi="Times New Roman" w:hint="eastAsia"/>
                <w:color w:val="000000"/>
                <w:kern w:val="24"/>
                <w:szCs w:val="21"/>
              </w:rPr>
              <w:t>100%</w:t>
            </w:r>
            <w:r w:rsidRPr="00316C10">
              <w:rPr>
                <w:rFonts w:ascii="Times New Roman" w:hAnsi="Times New Roman" w:hint="eastAsia"/>
                <w:color w:val="000000"/>
                <w:kern w:val="24"/>
                <w:szCs w:val="21"/>
              </w:rPr>
              <w:t>股权</w:t>
            </w:r>
          </w:p>
        </w:tc>
        <w:tc>
          <w:tcPr>
            <w:tcW w:w="1961" w:type="dxa"/>
            <w:shd w:val="clear" w:color="auto" w:fill="auto"/>
            <w:tcMar>
              <w:top w:w="15" w:type="dxa"/>
              <w:left w:w="15" w:type="dxa"/>
              <w:bottom w:w="0" w:type="dxa"/>
              <w:right w:w="15" w:type="dxa"/>
            </w:tcMar>
            <w:vAlign w:val="center"/>
          </w:tcPr>
          <w:p w14:paraId="625C44CA" w14:textId="16D39556" w:rsidR="00D76FD9" w:rsidRPr="00316C10" w:rsidRDefault="00D76FD9" w:rsidP="00112C45">
            <w:pPr>
              <w:widowControl/>
              <w:spacing w:line="360" w:lineRule="auto"/>
              <w:jc w:val="center"/>
              <w:textAlignment w:val="center"/>
              <w:rPr>
                <w:rFonts w:ascii="Times New Roman" w:hAnsi="Times New Roman"/>
                <w:kern w:val="0"/>
                <w:szCs w:val="21"/>
              </w:rPr>
            </w:pPr>
            <w:r>
              <w:rPr>
                <w:rFonts w:ascii="Times New Roman" w:hAnsi="Times New Roman" w:hint="eastAsia"/>
                <w:kern w:val="0"/>
                <w:szCs w:val="21"/>
              </w:rPr>
              <w:t>200</w:t>
            </w:r>
            <w:r>
              <w:rPr>
                <w:rFonts w:ascii="Times New Roman" w:hAnsi="Times New Roman" w:hint="eastAsia"/>
                <w:kern w:val="0"/>
                <w:szCs w:val="21"/>
              </w:rPr>
              <w:t>亿元</w:t>
            </w:r>
          </w:p>
        </w:tc>
      </w:tr>
      <w:tr w:rsidR="00D76FD9" w:rsidRPr="00AB7244" w14:paraId="09675288" w14:textId="77777777" w:rsidTr="002C2E55">
        <w:trPr>
          <w:trHeight w:val="55"/>
          <w:jc w:val="center"/>
        </w:trPr>
        <w:tc>
          <w:tcPr>
            <w:tcW w:w="643" w:type="dxa"/>
            <w:shd w:val="clear" w:color="auto" w:fill="auto"/>
            <w:tcMar>
              <w:top w:w="15" w:type="dxa"/>
              <w:left w:w="15" w:type="dxa"/>
              <w:bottom w:w="0" w:type="dxa"/>
              <w:right w:w="15" w:type="dxa"/>
            </w:tcMar>
            <w:vAlign w:val="center"/>
          </w:tcPr>
          <w:p w14:paraId="7612F6F6" w14:textId="77777777" w:rsidR="00D76FD9" w:rsidRPr="00316C10" w:rsidRDefault="00D76FD9" w:rsidP="00112C45">
            <w:pPr>
              <w:widowControl/>
              <w:spacing w:line="360" w:lineRule="auto"/>
              <w:jc w:val="center"/>
              <w:textAlignment w:val="center"/>
              <w:rPr>
                <w:rFonts w:ascii="Times New Roman" w:hAnsi="Times New Roman"/>
                <w:kern w:val="0"/>
                <w:szCs w:val="21"/>
              </w:rPr>
            </w:pPr>
            <w:r w:rsidRPr="00316C10">
              <w:rPr>
                <w:rFonts w:ascii="Times New Roman" w:hAnsi="Times New Roman" w:hint="eastAsia"/>
                <w:kern w:val="0"/>
                <w:szCs w:val="21"/>
              </w:rPr>
              <w:t>10</w:t>
            </w:r>
          </w:p>
        </w:tc>
        <w:tc>
          <w:tcPr>
            <w:tcW w:w="6293" w:type="dxa"/>
            <w:shd w:val="clear" w:color="auto" w:fill="auto"/>
            <w:tcMar>
              <w:top w:w="15" w:type="dxa"/>
              <w:left w:w="15" w:type="dxa"/>
              <w:bottom w:w="0" w:type="dxa"/>
              <w:right w:w="15" w:type="dxa"/>
            </w:tcMar>
            <w:vAlign w:val="center"/>
          </w:tcPr>
          <w:p w14:paraId="50992F21" w14:textId="4E14BB9D" w:rsidR="00D76FD9" w:rsidRPr="00316C10" w:rsidRDefault="00D76FD9" w:rsidP="00112C45">
            <w:pPr>
              <w:widowControl/>
              <w:spacing w:line="360" w:lineRule="auto"/>
              <w:jc w:val="left"/>
              <w:textAlignment w:val="center"/>
              <w:rPr>
                <w:rFonts w:ascii="Times New Roman" w:hAnsi="Times New Roman"/>
                <w:kern w:val="0"/>
                <w:szCs w:val="21"/>
              </w:rPr>
            </w:pPr>
            <w:r w:rsidRPr="00316C10">
              <w:rPr>
                <w:rFonts w:ascii="Times New Roman" w:hAnsi="Times New Roman" w:hint="eastAsia"/>
                <w:kern w:val="0"/>
                <w:szCs w:val="21"/>
              </w:rPr>
              <w:t>申通快递</w:t>
            </w:r>
            <w:r w:rsidRPr="00316C10">
              <w:rPr>
                <w:rFonts w:ascii="Times New Roman" w:hAnsi="Times New Roman" w:hint="eastAsia"/>
                <w:kern w:val="0"/>
                <w:szCs w:val="21"/>
              </w:rPr>
              <w:t>169</w:t>
            </w:r>
            <w:r w:rsidRPr="00316C10">
              <w:rPr>
                <w:rFonts w:ascii="Times New Roman" w:hAnsi="Times New Roman" w:hint="eastAsia"/>
                <w:kern w:val="0"/>
                <w:szCs w:val="21"/>
              </w:rPr>
              <w:t>亿借壳艾迪西</w:t>
            </w:r>
          </w:p>
        </w:tc>
        <w:tc>
          <w:tcPr>
            <w:tcW w:w="1961" w:type="dxa"/>
            <w:shd w:val="clear" w:color="auto" w:fill="auto"/>
            <w:tcMar>
              <w:top w:w="15" w:type="dxa"/>
              <w:left w:w="15" w:type="dxa"/>
              <w:bottom w:w="0" w:type="dxa"/>
              <w:right w:w="15" w:type="dxa"/>
            </w:tcMar>
            <w:vAlign w:val="center"/>
          </w:tcPr>
          <w:p w14:paraId="1FB1F742" w14:textId="0C6E58CB" w:rsidR="00D76FD9" w:rsidRPr="00316C10" w:rsidRDefault="00D76FD9" w:rsidP="00112C45">
            <w:pPr>
              <w:widowControl/>
              <w:spacing w:line="360" w:lineRule="auto"/>
              <w:jc w:val="center"/>
              <w:textAlignment w:val="center"/>
              <w:rPr>
                <w:rFonts w:ascii="Times New Roman" w:hAnsi="Times New Roman"/>
                <w:kern w:val="0"/>
                <w:szCs w:val="21"/>
              </w:rPr>
            </w:pPr>
            <w:r>
              <w:rPr>
                <w:rFonts w:ascii="Times New Roman" w:hAnsi="Times New Roman" w:hint="eastAsia"/>
                <w:kern w:val="0"/>
                <w:szCs w:val="21"/>
              </w:rPr>
              <w:t>169</w:t>
            </w:r>
            <w:r>
              <w:rPr>
                <w:rFonts w:ascii="Times New Roman" w:hAnsi="Times New Roman" w:hint="eastAsia"/>
                <w:kern w:val="0"/>
                <w:szCs w:val="21"/>
              </w:rPr>
              <w:t>亿元</w:t>
            </w:r>
          </w:p>
        </w:tc>
      </w:tr>
    </w:tbl>
    <w:p w14:paraId="5BD5DDAF" w14:textId="0E88B992" w:rsidR="00A2006A" w:rsidRPr="008A645B" w:rsidRDefault="00EF0E07" w:rsidP="008A645B">
      <w:pPr>
        <w:widowControl/>
        <w:ind w:firstLine="480"/>
        <w:jc w:val="center"/>
        <w:rPr>
          <w:color w:val="000000"/>
          <w:szCs w:val="21"/>
        </w:rPr>
      </w:pPr>
      <w:r w:rsidRPr="008A645B">
        <w:rPr>
          <w:rFonts w:hint="eastAsia"/>
          <w:color w:val="000000"/>
          <w:szCs w:val="21"/>
        </w:rPr>
        <w:t>图</w:t>
      </w:r>
      <w:r w:rsidR="004D6554">
        <w:rPr>
          <w:rFonts w:hint="eastAsia"/>
          <w:color w:val="000000"/>
          <w:szCs w:val="21"/>
        </w:rPr>
        <w:t>13</w:t>
      </w:r>
      <w:r w:rsidRPr="008A645B">
        <w:rPr>
          <w:color w:val="000000"/>
          <w:szCs w:val="21"/>
        </w:rPr>
        <w:t xml:space="preserve">  201</w:t>
      </w:r>
      <w:r w:rsidRPr="008A645B">
        <w:rPr>
          <w:rFonts w:hint="eastAsia"/>
          <w:color w:val="000000"/>
          <w:szCs w:val="21"/>
        </w:rPr>
        <w:t>5</w:t>
      </w:r>
      <w:r w:rsidRPr="008A645B">
        <w:rPr>
          <w:color w:val="000000"/>
          <w:szCs w:val="21"/>
        </w:rPr>
        <w:t>年</w:t>
      </w:r>
      <w:r w:rsidR="00036387" w:rsidRPr="00316C10">
        <w:t>中国上市公司十大并购交易</w:t>
      </w:r>
    </w:p>
    <w:p w14:paraId="36A657D8" w14:textId="77777777" w:rsidR="00EF0E07" w:rsidRPr="00191C78" w:rsidRDefault="00EF0E07" w:rsidP="00191C78">
      <w:pPr>
        <w:spacing w:afterLines="50" w:after="156"/>
        <w:rPr>
          <w:rFonts w:ascii="Times New Roman" w:hAnsi="Times New Roman"/>
          <w:color w:val="000000"/>
          <w:szCs w:val="18"/>
        </w:rPr>
      </w:pPr>
      <w:r w:rsidRPr="00191C78">
        <w:rPr>
          <w:rFonts w:ascii="Times New Roman" w:hAnsi="Times New Roman" w:hint="eastAsia"/>
          <w:color w:val="000000"/>
          <w:szCs w:val="18"/>
        </w:rPr>
        <w:t>资料来源：北京交通大学中国企业兼并重组研究中心</w:t>
      </w:r>
      <w:proofErr w:type="spellStart"/>
      <w:r w:rsidRPr="00191C78">
        <w:rPr>
          <w:rFonts w:ascii="Times New Roman" w:hAnsi="Times New Roman"/>
          <w:color w:val="000000"/>
          <w:szCs w:val="18"/>
        </w:rPr>
        <w:t>ChinaMerger</w:t>
      </w:r>
      <w:proofErr w:type="spellEnd"/>
      <w:r w:rsidRPr="00191C78">
        <w:rPr>
          <w:rFonts w:ascii="Times New Roman" w:hAnsi="Times New Roman" w:hint="eastAsia"/>
          <w:color w:val="000000"/>
          <w:szCs w:val="18"/>
        </w:rPr>
        <w:t>数据库</w:t>
      </w:r>
    </w:p>
    <w:p w14:paraId="2684C812" w14:textId="77777777" w:rsidR="00B30833" w:rsidRPr="00543BA5" w:rsidRDefault="00B30833" w:rsidP="00B30833">
      <w:pPr>
        <w:widowControl/>
        <w:spacing w:line="0" w:lineRule="auto"/>
        <w:jc w:val="left"/>
        <w:rPr>
          <w:rFonts w:ascii="Simsun" w:eastAsia="宋体" w:hAnsi="Simsun" w:cs="宋体" w:hint="eastAsia"/>
          <w:color w:val="333333"/>
          <w:kern w:val="0"/>
          <w:szCs w:val="21"/>
        </w:rPr>
      </w:pPr>
    </w:p>
    <w:p w14:paraId="4EFC22C5" w14:textId="77777777" w:rsidR="00991CA6" w:rsidRPr="00BB1DB4" w:rsidRDefault="00A2006A" w:rsidP="00BB1DB4">
      <w:pPr>
        <w:pStyle w:val="2"/>
      </w:pPr>
      <w:r>
        <w:t>201</w:t>
      </w:r>
      <w:r>
        <w:rPr>
          <w:rFonts w:hint="eastAsia"/>
        </w:rPr>
        <w:t>6</w:t>
      </w:r>
      <w:r w:rsidR="00B30833" w:rsidRPr="00543BA5">
        <w:t>年中国企业并购市场展望</w:t>
      </w:r>
    </w:p>
    <w:p w14:paraId="39CEBD4D" w14:textId="77777777" w:rsidR="009F3439" w:rsidRPr="00443354" w:rsidRDefault="009F3439" w:rsidP="009F3439">
      <w:pPr>
        <w:widowControl/>
        <w:spacing w:after="210"/>
        <w:ind w:firstLine="426"/>
        <w:jc w:val="left"/>
      </w:pPr>
      <w:r w:rsidRPr="00443354">
        <w:rPr>
          <w:rFonts w:hint="eastAsia"/>
        </w:rPr>
        <w:t>2016</w:t>
      </w:r>
      <w:r w:rsidRPr="00443354">
        <w:rPr>
          <w:rFonts w:hint="eastAsia"/>
        </w:rPr>
        <w:t>年作为“十三五”规划的开局之年，</w:t>
      </w:r>
      <w:r>
        <w:rPr>
          <w:rFonts w:hint="eastAsia"/>
        </w:rPr>
        <w:t>也</w:t>
      </w:r>
      <w:r w:rsidRPr="00443354">
        <w:rPr>
          <w:rFonts w:hint="eastAsia"/>
        </w:rPr>
        <w:t>是全面深化改革进入落实阶段的关键一年，可以预见，在经济结构调整、去产能及去库存的压力之下，</w:t>
      </w:r>
      <w:r w:rsidRPr="00443354">
        <w:rPr>
          <w:rFonts w:hint="eastAsia"/>
        </w:rPr>
        <w:t>2016</w:t>
      </w:r>
      <w:r w:rsidRPr="00443354">
        <w:rPr>
          <w:rFonts w:hint="eastAsia"/>
        </w:rPr>
        <w:t>年并购重组的动力依然十分强劲</w:t>
      </w:r>
      <w:r w:rsidR="00C220C2">
        <w:rPr>
          <w:rFonts w:hint="eastAsia"/>
        </w:rPr>
        <w:t>，具体趋势表现为以下几点。</w:t>
      </w:r>
    </w:p>
    <w:p w14:paraId="4B4115BA" w14:textId="77777777" w:rsidR="00C73C23" w:rsidRPr="004703DB" w:rsidRDefault="00C73C23" w:rsidP="00C73C23">
      <w:pPr>
        <w:widowControl/>
        <w:spacing w:line="384" w:lineRule="atLeast"/>
        <w:ind w:firstLine="480"/>
        <w:jc w:val="left"/>
        <w:rPr>
          <w:rFonts w:ascii="微软雅黑" w:eastAsia="微软雅黑" w:hAnsi="微软雅黑" w:cs="宋体"/>
          <w:color w:val="3E3E3E"/>
          <w:kern w:val="0"/>
          <w:sz w:val="24"/>
          <w:szCs w:val="24"/>
        </w:rPr>
      </w:pPr>
      <w:r w:rsidRPr="004703DB">
        <w:rPr>
          <w:rFonts w:ascii="楷体" w:eastAsia="楷体" w:hAnsi="楷体" w:cs="宋体" w:hint="eastAsia"/>
          <w:b/>
          <w:bCs/>
          <w:color w:val="3E3E3E"/>
          <w:kern w:val="0"/>
          <w:sz w:val="24"/>
          <w:szCs w:val="24"/>
        </w:rPr>
        <w:t>1、注册制逐渐落地</w:t>
      </w:r>
      <w:r w:rsidR="00BB1DB4">
        <w:rPr>
          <w:rFonts w:ascii="楷体" w:eastAsia="楷体" w:hAnsi="楷体" w:cs="宋体" w:hint="eastAsia"/>
          <w:b/>
          <w:bCs/>
          <w:color w:val="3E3E3E"/>
          <w:kern w:val="0"/>
          <w:sz w:val="24"/>
          <w:szCs w:val="24"/>
        </w:rPr>
        <w:t>实施</w:t>
      </w:r>
      <w:r w:rsidRPr="004703DB">
        <w:rPr>
          <w:rFonts w:ascii="楷体" w:eastAsia="楷体" w:hAnsi="楷体" w:cs="宋体" w:hint="eastAsia"/>
          <w:b/>
          <w:bCs/>
          <w:color w:val="3E3E3E"/>
          <w:kern w:val="0"/>
          <w:sz w:val="24"/>
          <w:szCs w:val="24"/>
        </w:rPr>
        <w:t>，借壳上市或将减少</w:t>
      </w:r>
    </w:p>
    <w:p w14:paraId="1AEB69D9" w14:textId="77777777" w:rsidR="00991CA6" w:rsidRPr="00443354" w:rsidRDefault="00991CA6" w:rsidP="00C73C23">
      <w:pPr>
        <w:widowControl/>
        <w:spacing w:after="210"/>
        <w:ind w:firstLine="426"/>
        <w:jc w:val="left"/>
      </w:pPr>
      <w:r w:rsidRPr="00443354">
        <w:rPr>
          <w:rFonts w:hint="eastAsia"/>
        </w:rPr>
        <w:t>2015</w:t>
      </w:r>
      <w:r w:rsidRPr="00443354">
        <w:rPr>
          <w:rFonts w:hint="eastAsia"/>
        </w:rPr>
        <w:t>年</w:t>
      </w:r>
      <w:r w:rsidRPr="00443354">
        <w:rPr>
          <w:rFonts w:hint="eastAsia"/>
        </w:rPr>
        <w:t>12</w:t>
      </w:r>
      <w:r w:rsidRPr="00443354">
        <w:rPr>
          <w:rFonts w:hint="eastAsia"/>
        </w:rPr>
        <w:t>月</w:t>
      </w:r>
      <w:r w:rsidRPr="00443354">
        <w:rPr>
          <w:rFonts w:hint="eastAsia"/>
        </w:rPr>
        <w:t>27</w:t>
      </w:r>
      <w:r w:rsidRPr="00443354">
        <w:rPr>
          <w:rFonts w:hint="eastAsia"/>
        </w:rPr>
        <w:t>日，第十二届全国人民代表大会常务委员会第十八次会议审议通过《关于授权国务院在实施股票发行注册制改革中调整适用有关规定的决定</w:t>
      </w:r>
      <w:r w:rsidRPr="00443354">
        <w:rPr>
          <w:rFonts w:hint="eastAsia"/>
        </w:rPr>
        <w:t>(</w:t>
      </w:r>
      <w:r w:rsidRPr="00443354">
        <w:rPr>
          <w:rFonts w:hint="eastAsia"/>
        </w:rPr>
        <w:t>草案</w:t>
      </w:r>
      <w:r w:rsidRPr="00443354">
        <w:rPr>
          <w:rFonts w:hint="eastAsia"/>
        </w:rPr>
        <w:t>)</w:t>
      </w:r>
      <w:r w:rsidRPr="00443354">
        <w:rPr>
          <w:rFonts w:hint="eastAsia"/>
        </w:rPr>
        <w:t>》的议案，明确授权国务院可以根据股票发行注册制改革的要求，调整适用现行《证券法》关于股票核准制的规定，对注册制改革的具体制度做出专门安排。</w:t>
      </w:r>
    </w:p>
    <w:p w14:paraId="5448652D" w14:textId="0CD062B8" w:rsidR="00C73C23" w:rsidRPr="00443354" w:rsidRDefault="00C73C23" w:rsidP="00044572">
      <w:pPr>
        <w:widowControl/>
        <w:spacing w:after="210"/>
        <w:ind w:firstLine="426"/>
        <w:jc w:val="left"/>
      </w:pPr>
      <w:r w:rsidRPr="00443354">
        <w:rPr>
          <w:rFonts w:hint="eastAsia"/>
        </w:rPr>
        <w:t>注册制</w:t>
      </w:r>
      <w:r w:rsidR="00044572" w:rsidRPr="00443354">
        <w:rPr>
          <w:rFonts w:hint="eastAsia"/>
        </w:rPr>
        <w:t>的推出并实施</w:t>
      </w:r>
      <w:r w:rsidRPr="00443354">
        <w:rPr>
          <w:rFonts w:hint="eastAsia"/>
        </w:rPr>
        <w:t>，会让</w:t>
      </w:r>
      <w:r w:rsidRPr="00443354">
        <w:t>A</w:t>
      </w:r>
      <w:r w:rsidR="00044572" w:rsidRPr="00443354">
        <w:rPr>
          <w:rFonts w:hint="eastAsia"/>
        </w:rPr>
        <w:t>股的估值重构</w:t>
      </w:r>
      <w:r w:rsidRPr="00443354">
        <w:rPr>
          <w:rFonts w:hint="eastAsia"/>
        </w:rPr>
        <w:t>，涉及市场供应、壳资源价值、市场整体估值、行业结构估值、退市、投资风格等方面。注册制推出，上市和退市将更将容易，</w:t>
      </w:r>
      <w:r w:rsidR="00044572" w:rsidRPr="00443354">
        <w:rPr>
          <w:rFonts w:hint="eastAsia"/>
        </w:rPr>
        <w:t>曾备受资金热宠的</w:t>
      </w:r>
      <w:r w:rsidR="00CC76D0">
        <w:rPr>
          <w:rFonts w:hint="eastAsia"/>
        </w:rPr>
        <w:t>壳资源价值将大幅缩水，</w:t>
      </w:r>
      <w:r w:rsidR="009F3439">
        <w:rPr>
          <w:rFonts w:hint="eastAsia"/>
        </w:rPr>
        <w:t>借壳上市的交易将显著减少</w:t>
      </w:r>
      <w:r w:rsidR="00044572" w:rsidRPr="00443354">
        <w:rPr>
          <w:rFonts w:hint="eastAsia"/>
        </w:rPr>
        <w:t>。</w:t>
      </w:r>
    </w:p>
    <w:p w14:paraId="785E43CA" w14:textId="77777777" w:rsidR="00C73C23" w:rsidRPr="004703DB" w:rsidRDefault="00C73C23" w:rsidP="00C73C23">
      <w:pPr>
        <w:widowControl/>
        <w:spacing w:line="384" w:lineRule="atLeast"/>
        <w:ind w:firstLine="480"/>
        <w:jc w:val="left"/>
        <w:rPr>
          <w:rFonts w:ascii="微软雅黑" w:eastAsia="微软雅黑" w:hAnsi="微软雅黑" w:cs="宋体"/>
          <w:color w:val="3E3E3E"/>
          <w:kern w:val="0"/>
          <w:sz w:val="24"/>
          <w:szCs w:val="24"/>
        </w:rPr>
      </w:pPr>
      <w:r w:rsidRPr="004703DB">
        <w:rPr>
          <w:rFonts w:ascii="楷体" w:eastAsia="楷体" w:hAnsi="楷体" w:cs="宋体" w:hint="eastAsia"/>
          <w:b/>
          <w:bCs/>
          <w:color w:val="3E3E3E"/>
          <w:kern w:val="0"/>
          <w:sz w:val="24"/>
          <w:szCs w:val="24"/>
        </w:rPr>
        <w:t>2、</w:t>
      </w:r>
      <w:r w:rsidR="001634B6">
        <w:rPr>
          <w:rFonts w:ascii="楷体" w:eastAsia="楷体" w:hAnsi="楷体" w:cs="宋体" w:hint="eastAsia"/>
          <w:b/>
          <w:bCs/>
          <w:color w:val="3E3E3E"/>
          <w:kern w:val="0"/>
          <w:sz w:val="24"/>
          <w:szCs w:val="24"/>
        </w:rPr>
        <w:t>并购重组为清退“僵尸企业”添动力，</w:t>
      </w:r>
      <w:r w:rsidRPr="004703DB">
        <w:rPr>
          <w:rFonts w:ascii="楷体" w:eastAsia="楷体" w:hAnsi="楷体" w:cs="宋体" w:hint="eastAsia"/>
          <w:b/>
          <w:bCs/>
          <w:color w:val="3E3E3E"/>
          <w:kern w:val="0"/>
          <w:sz w:val="24"/>
          <w:szCs w:val="24"/>
        </w:rPr>
        <w:t>国企将占据并购重组主战场</w:t>
      </w:r>
    </w:p>
    <w:p w14:paraId="535B916C" w14:textId="77777777" w:rsidR="006E3A50" w:rsidRPr="00443354" w:rsidRDefault="00A37C5A" w:rsidP="00991CA6">
      <w:pPr>
        <w:widowControl/>
        <w:spacing w:after="210"/>
        <w:ind w:firstLine="426"/>
        <w:jc w:val="left"/>
      </w:pPr>
      <w:r w:rsidRPr="00443354">
        <w:rPr>
          <w:rFonts w:hint="eastAsia"/>
        </w:rPr>
        <w:lastRenderedPageBreak/>
        <w:t>作为“十三五”规划的开局之年，</w:t>
      </w:r>
      <w:r w:rsidRPr="00443354">
        <w:rPr>
          <w:rFonts w:hint="eastAsia"/>
        </w:rPr>
        <w:t>2016</w:t>
      </w:r>
      <w:r w:rsidRPr="00443354">
        <w:rPr>
          <w:rFonts w:hint="eastAsia"/>
        </w:rPr>
        <w:t>年也是全面深化改革进入落实阶段的关键一年，</w:t>
      </w:r>
      <w:r w:rsidR="006E3A50" w:rsidRPr="00443354">
        <w:rPr>
          <w:rFonts w:hint="eastAsia"/>
        </w:rPr>
        <w:t>在供给</w:t>
      </w:r>
      <w:proofErr w:type="gramStart"/>
      <w:r w:rsidR="006E3A50" w:rsidRPr="00443354">
        <w:rPr>
          <w:rFonts w:hint="eastAsia"/>
        </w:rPr>
        <w:t>侧改革</w:t>
      </w:r>
      <w:proofErr w:type="gramEnd"/>
      <w:r w:rsidR="006E3A50" w:rsidRPr="00443354">
        <w:rPr>
          <w:rFonts w:hint="eastAsia"/>
        </w:rPr>
        <w:t>和国企改革的双轮驱动下，</w:t>
      </w:r>
      <w:r w:rsidR="006E3A50" w:rsidRPr="00443354">
        <w:rPr>
          <w:rFonts w:hint="eastAsia"/>
        </w:rPr>
        <w:t>2016</w:t>
      </w:r>
      <w:r w:rsidR="006E3A50" w:rsidRPr="00443354">
        <w:rPr>
          <w:rFonts w:hint="eastAsia"/>
        </w:rPr>
        <w:t>年国企并购重组会有较大动作，资本市场也将迎来机遇。</w:t>
      </w:r>
    </w:p>
    <w:p w14:paraId="7AE6AB95" w14:textId="77777777" w:rsidR="006E3A50" w:rsidRPr="00443354" w:rsidRDefault="006E3A50" w:rsidP="006E3A50">
      <w:pPr>
        <w:widowControl/>
        <w:spacing w:after="210"/>
        <w:ind w:firstLine="426"/>
        <w:jc w:val="left"/>
      </w:pPr>
      <w:r w:rsidRPr="00443354">
        <w:rPr>
          <w:rFonts w:hint="eastAsia"/>
        </w:rPr>
        <w:t>从供给</w:t>
      </w:r>
      <w:proofErr w:type="gramStart"/>
      <w:r w:rsidRPr="00443354">
        <w:rPr>
          <w:rFonts w:hint="eastAsia"/>
        </w:rPr>
        <w:t>侧改革</w:t>
      </w:r>
      <w:proofErr w:type="gramEnd"/>
      <w:r w:rsidRPr="00443354">
        <w:rPr>
          <w:rFonts w:hint="eastAsia"/>
        </w:rPr>
        <w:t>来看，“去产能”被列为明年的首要任务。</w:t>
      </w:r>
      <w:r w:rsidRPr="00443354">
        <w:rPr>
          <w:rFonts w:hint="eastAsia"/>
        </w:rPr>
        <w:t>2015</w:t>
      </w:r>
      <w:r w:rsidRPr="00443354">
        <w:rPr>
          <w:rFonts w:hint="eastAsia"/>
        </w:rPr>
        <w:t>年</w:t>
      </w:r>
      <w:r w:rsidRPr="00443354">
        <w:rPr>
          <w:rFonts w:hint="eastAsia"/>
        </w:rPr>
        <w:t>12</w:t>
      </w:r>
      <w:r w:rsidRPr="00443354">
        <w:rPr>
          <w:rFonts w:hint="eastAsia"/>
        </w:rPr>
        <w:t>月</w:t>
      </w:r>
      <w:r w:rsidRPr="00443354">
        <w:rPr>
          <w:rFonts w:hint="eastAsia"/>
        </w:rPr>
        <w:t>9</w:t>
      </w:r>
      <w:r w:rsidRPr="00443354">
        <w:rPr>
          <w:rFonts w:hint="eastAsia"/>
        </w:rPr>
        <w:t>日，国务院总理李克强主持召开国务院常务会议，部署促进中央企业增效升级，听取监事会</w:t>
      </w:r>
      <w:proofErr w:type="gramStart"/>
      <w:r w:rsidRPr="00443354">
        <w:rPr>
          <w:rFonts w:hint="eastAsia"/>
        </w:rPr>
        <w:t>对央企监督</w:t>
      </w:r>
      <w:proofErr w:type="gramEnd"/>
      <w:r w:rsidRPr="00443354">
        <w:rPr>
          <w:rFonts w:hint="eastAsia"/>
        </w:rPr>
        <w:t>检查情况汇报。该会议确定，加强分类指导，对不符合国家能耗、环保、质量、安全等标准和长期亏损的产能过剩行业企业实行关停并转或剥离重组，对持续亏损三年以上且不符合结构调整方向的企业采取资产重组、产权转让、关闭破产等方式予以“出清”，清理处置“僵尸企业”，到</w:t>
      </w:r>
      <w:r w:rsidRPr="00443354">
        <w:rPr>
          <w:rFonts w:hint="eastAsia"/>
        </w:rPr>
        <w:t>2017</w:t>
      </w:r>
      <w:r w:rsidRPr="00443354">
        <w:rPr>
          <w:rFonts w:hint="eastAsia"/>
        </w:rPr>
        <w:t>年末实现经营性亏损企业亏损额显著下降；加快从非主业领域退出，严控产能过剩行业投资，促进国有资本更多地向关系国家安全、国民经济命脉的重点行业和关键领域集中。</w:t>
      </w:r>
      <w:r w:rsidR="00A37C5A" w:rsidRPr="00443354">
        <w:rPr>
          <w:rFonts w:hint="eastAsia"/>
        </w:rPr>
        <w:t>2016</w:t>
      </w:r>
      <w:r w:rsidR="00A37C5A" w:rsidRPr="00443354">
        <w:rPr>
          <w:rFonts w:hint="eastAsia"/>
        </w:rPr>
        <w:t>年将从</w:t>
      </w:r>
      <w:r w:rsidRPr="00443354">
        <w:rPr>
          <w:rFonts w:hint="eastAsia"/>
        </w:rPr>
        <w:t>解决“僵尸”企业问题入手，关停并转，用产权转让、关闭破产方式加快清理退出，加快企业重组合并，从需求</w:t>
      </w:r>
      <w:proofErr w:type="gramStart"/>
      <w:r w:rsidRPr="00443354">
        <w:rPr>
          <w:rFonts w:hint="eastAsia"/>
        </w:rPr>
        <w:t>端加快去</w:t>
      </w:r>
      <w:proofErr w:type="gramEnd"/>
      <w:r w:rsidRPr="00443354">
        <w:rPr>
          <w:rFonts w:hint="eastAsia"/>
        </w:rPr>
        <w:t>产能，在供给端消化产能。</w:t>
      </w:r>
      <w:r w:rsidR="00A37C5A" w:rsidRPr="00443354">
        <w:rPr>
          <w:rFonts w:hint="eastAsia"/>
        </w:rPr>
        <w:t>随着政府层面大力清退‘僵尸企业’，预计</w:t>
      </w:r>
      <w:r w:rsidR="00A37C5A" w:rsidRPr="00443354">
        <w:rPr>
          <w:rFonts w:hint="eastAsia"/>
        </w:rPr>
        <w:t>A</w:t>
      </w:r>
      <w:r w:rsidR="00A37C5A" w:rsidRPr="00443354">
        <w:rPr>
          <w:rFonts w:hint="eastAsia"/>
        </w:rPr>
        <w:t>股市场的重大重组案例将会大大增加。</w:t>
      </w:r>
    </w:p>
    <w:p w14:paraId="7E515AAD" w14:textId="5BE2F764" w:rsidR="006E3A50" w:rsidRPr="00443354" w:rsidRDefault="006E3A50" w:rsidP="00991CA6">
      <w:pPr>
        <w:widowControl/>
        <w:spacing w:after="210"/>
        <w:ind w:firstLine="426"/>
        <w:jc w:val="left"/>
      </w:pPr>
      <w:r w:rsidRPr="00443354">
        <w:rPr>
          <w:rFonts w:hint="eastAsia"/>
        </w:rPr>
        <w:t>在国有企业改革方面，</w:t>
      </w:r>
      <w:r w:rsidR="00DE2F9F" w:rsidRPr="00443354">
        <w:rPr>
          <w:rFonts w:hint="eastAsia"/>
        </w:rPr>
        <w:t>2015</w:t>
      </w:r>
      <w:r w:rsidR="00DE2F9F" w:rsidRPr="00443354">
        <w:rPr>
          <w:rFonts w:hint="eastAsia"/>
        </w:rPr>
        <w:t>年</w:t>
      </w:r>
      <w:r w:rsidR="00A37C5A" w:rsidRPr="00443354">
        <w:rPr>
          <w:rFonts w:hint="eastAsia"/>
        </w:rPr>
        <w:t>《关于深化国有企业改革的指导意见》以及</w:t>
      </w:r>
      <w:r w:rsidR="009F3439">
        <w:rPr>
          <w:rFonts w:hint="eastAsia"/>
        </w:rPr>
        <w:t>一系列配套文件相继发布，</w:t>
      </w:r>
      <w:r w:rsidR="00A37C5A" w:rsidRPr="00443354">
        <w:rPr>
          <w:rFonts w:hint="eastAsia"/>
        </w:rPr>
        <w:t>为新一轮国企改革指明了方向</w:t>
      </w:r>
      <w:r w:rsidRPr="00443354">
        <w:rPr>
          <w:rFonts w:hint="eastAsia"/>
        </w:rPr>
        <w:t>。</w:t>
      </w:r>
      <w:r w:rsidR="00A37C5A" w:rsidRPr="00443354">
        <w:rPr>
          <w:rFonts w:hint="eastAsia"/>
        </w:rPr>
        <w:t>2016</w:t>
      </w:r>
      <w:r w:rsidR="00CB32E9" w:rsidRPr="00443354">
        <w:rPr>
          <w:rFonts w:hint="eastAsia"/>
        </w:rPr>
        <w:t>年是国企改革</w:t>
      </w:r>
      <w:r w:rsidR="009F3439">
        <w:rPr>
          <w:rFonts w:hint="eastAsia"/>
        </w:rPr>
        <w:t>成为解决诸多经济中矛盾的交叉项，</w:t>
      </w:r>
      <w:r w:rsidR="00CB32E9" w:rsidRPr="00443354">
        <w:rPr>
          <w:rFonts w:hint="eastAsia"/>
        </w:rPr>
        <w:t>加快推进</w:t>
      </w:r>
      <w:r w:rsidR="009F3439">
        <w:rPr>
          <w:rFonts w:hint="eastAsia"/>
        </w:rPr>
        <w:t>势在必行</w:t>
      </w:r>
      <w:r w:rsidR="00CB32E9" w:rsidRPr="00443354">
        <w:rPr>
          <w:rFonts w:hint="eastAsia"/>
        </w:rPr>
        <w:t>，</w:t>
      </w:r>
      <w:r w:rsidR="00E73DE3" w:rsidRPr="00443354">
        <w:rPr>
          <w:rFonts w:hint="eastAsia"/>
        </w:rPr>
        <w:t>预计国有资本投资公司和运营公司将展开实质性运作，</w:t>
      </w:r>
      <w:r w:rsidRPr="00443354">
        <w:t>国企并购大潮</w:t>
      </w:r>
      <w:r w:rsidR="00A37C5A" w:rsidRPr="00443354">
        <w:t>可谓</w:t>
      </w:r>
      <w:r w:rsidRPr="00443354">
        <w:t>蓄势待发。</w:t>
      </w:r>
    </w:p>
    <w:p w14:paraId="1210A040" w14:textId="77777777" w:rsidR="00C73C23" w:rsidRPr="004703DB" w:rsidRDefault="00C73C23" w:rsidP="00C73C23">
      <w:pPr>
        <w:widowControl/>
        <w:spacing w:line="384" w:lineRule="atLeast"/>
        <w:ind w:firstLine="480"/>
        <w:jc w:val="left"/>
        <w:rPr>
          <w:rFonts w:ascii="微软雅黑" w:eastAsia="微软雅黑" w:hAnsi="微软雅黑" w:cs="宋体"/>
          <w:color w:val="3E3E3E"/>
          <w:kern w:val="0"/>
          <w:sz w:val="24"/>
          <w:szCs w:val="24"/>
        </w:rPr>
      </w:pPr>
      <w:r w:rsidRPr="004703DB">
        <w:rPr>
          <w:rFonts w:ascii="楷体" w:eastAsia="楷体" w:hAnsi="楷体" w:cs="宋体" w:hint="eastAsia"/>
          <w:b/>
          <w:bCs/>
          <w:color w:val="3E3E3E"/>
          <w:kern w:val="0"/>
          <w:sz w:val="24"/>
          <w:szCs w:val="24"/>
        </w:rPr>
        <w:t>3、中国制造2025</w:t>
      </w:r>
      <w:r w:rsidR="00CB32E9">
        <w:rPr>
          <w:rFonts w:ascii="楷体" w:eastAsia="楷体" w:hAnsi="楷体" w:cs="宋体" w:hint="eastAsia"/>
          <w:b/>
          <w:bCs/>
          <w:color w:val="3E3E3E"/>
          <w:kern w:val="0"/>
          <w:sz w:val="24"/>
          <w:szCs w:val="24"/>
        </w:rPr>
        <w:t>推进高端机械</w:t>
      </w:r>
      <w:r w:rsidRPr="004703DB">
        <w:rPr>
          <w:rFonts w:ascii="楷体" w:eastAsia="楷体" w:hAnsi="楷体" w:cs="宋体" w:hint="eastAsia"/>
          <w:b/>
          <w:bCs/>
          <w:color w:val="3E3E3E"/>
          <w:kern w:val="0"/>
          <w:sz w:val="24"/>
          <w:szCs w:val="24"/>
        </w:rPr>
        <w:t>制造并购</w:t>
      </w:r>
    </w:p>
    <w:p w14:paraId="22E08567" w14:textId="77777777" w:rsidR="00C73C23" w:rsidRPr="00443354" w:rsidRDefault="00C73C23" w:rsidP="00C73C23">
      <w:pPr>
        <w:widowControl/>
        <w:spacing w:after="210"/>
        <w:ind w:firstLine="426"/>
        <w:jc w:val="left"/>
      </w:pPr>
      <w:r w:rsidRPr="00443354">
        <w:t>2015</w:t>
      </w:r>
      <w:r w:rsidRPr="00443354">
        <w:rPr>
          <w:rFonts w:hint="eastAsia"/>
        </w:rPr>
        <w:t>年</w:t>
      </w:r>
      <w:r w:rsidRPr="00443354">
        <w:t>5</w:t>
      </w:r>
      <w:r w:rsidRPr="00443354">
        <w:rPr>
          <w:rFonts w:hint="eastAsia"/>
        </w:rPr>
        <w:t>月《中国制造</w:t>
      </w:r>
      <w:r w:rsidRPr="00443354">
        <w:t>2025</w:t>
      </w:r>
      <w:r w:rsidRPr="00443354">
        <w:rPr>
          <w:rFonts w:hint="eastAsia"/>
        </w:rPr>
        <w:t>》出台，该规划明确指出，要围绕机械、电子、汽车、国防军工、化工、轻工等工业机器人、特种机器人，以及医疗健康、家庭服务、教育娱乐等服务机器人应用需求，积极研发新产品，促进机器人标准化、模块化发展，扩大市场应用。</w:t>
      </w:r>
      <w:r w:rsidR="003465A4" w:rsidRPr="00443354">
        <w:rPr>
          <w:rFonts w:hint="eastAsia"/>
        </w:rPr>
        <w:t>制造业</w:t>
      </w:r>
      <w:r w:rsidR="003465A4" w:rsidRPr="00443354">
        <w:rPr>
          <w:rFonts w:hint="eastAsia"/>
        </w:rPr>
        <w:t>2025</w:t>
      </w:r>
      <w:r w:rsidR="003465A4" w:rsidRPr="00443354">
        <w:rPr>
          <w:rFonts w:hint="eastAsia"/>
        </w:rPr>
        <w:t>的提出，制造业未来向机器人领域等智能制造方向发展，而并购为传统制造业转型升级提供了新的手段。目前，</w:t>
      </w:r>
      <w:r w:rsidRPr="00443354">
        <w:t>A</w:t>
      </w:r>
      <w:r w:rsidRPr="00443354">
        <w:rPr>
          <w:rFonts w:hint="eastAsia"/>
        </w:rPr>
        <w:t>股多家上市公司对机器人市场列入规划，并通过并购手段，加快对该业务的布局。</w:t>
      </w:r>
    </w:p>
    <w:p w14:paraId="1A6A8534" w14:textId="77777777" w:rsidR="001552DC" w:rsidRPr="00B6731D" w:rsidRDefault="00A034C6" w:rsidP="00C73C23">
      <w:pPr>
        <w:widowControl/>
        <w:spacing w:after="210"/>
        <w:ind w:firstLine="426"/>
        <w:jc w:val="left"/>
        <w:rPr>
          <w:rFonts w:ascii="楷体" w:eastAsia="楷体" w:hAnsi="楷体" w:cs="宋体"/>
          <w:b/>
          <w:bCs/>
          <w:color w:val="3E3E3E"/>
          <w:kern w:val="0"/>
          <w:sz w:val="24"/>
          <w:szCs w:val="24"/>
        </w:rPr>
      </w:pPr>
      <w:r>
        <w:rPr>
          <w:rFonts w:ascii="楷体" w:eastAsia="楷体" w:hAnsi="楷体" w:cs="宋体" w:hint="eastAsia"/>
          <w:b/>
          <w:bCs/>
          <w:color w:val="3E3E3E"/>
          <w:kern w:val="0"/>
          <w:sz w:val="24"/>
          <w:szCs w:val="24"/>
        </w:rPr>
        <w:t>4</w:t>
      </w:r>
      <w:r w:rsidR="00B6731D" w:rsidRPr="00B6731D">
        <w:rPr>
          <w:rFonts w:ascii="楷体" w:eastAsia="楷体" w:hAnsi="楷体" w:cs="宋体" w:hint="eastAsia"/>
          <w:b/>
          <w:bCs/>
          <w:color w:val="3E3E3E"/>
          <w:kern w:val="0"/>
          <w:sz w:val="24"/>
          <w:szCs w:val="24"/>
        </w:rPr>
        <w:t>.一带一路激活</w:t>
      </w:r>
      <w:r w:rsidR="00EE531F">
        <w:rPr>
          <w:rFonts w:ascii="楷体" w:eastAsia="楷体" w:hAnsi="楷体" w:cs="宋体" w:hint="eastAsia"/>
          <w:b/>
          <w:bCs/>
          <w:color w:val="3E3E3E"/>
          <w:kern w:val="0"/>
          <w:sz w:val="24"/>
          <w:szCs w:val="24"/>
        </w:rPr>
        <w:t>境外</w:t>
      </w:r>
      <w:r w:rsidR="00B6731D" w:rsidRPr="00B6731D">
        <w:rPr>
          <w:rFonts w:ascii="楷体" w:eastAsia="楷体" w:hAnsi="楷体" w:cs="宋体" w:hint="eastAsia"/>
          <w:b/>
          <w:bCs/>
          <w:color w:val="3E3E3E"/>
          <w:kern w:val="0"/>
          <w:sz w:val="24"/>
          <w:szCs w:val="24"/>
        </w:rPr>
        <w:t>并购</w:t>
      </w:r>
    </w:p>
    <w:p w14:paraId="0384EBFE" w14:textId="2E5C5366" w:rsidR="00B6731D" w:rsidRPr="00443354" w:rsidRDefault="00B6731D" w:rsidP="00B6731D">
      <w:pPr>
        <w:widowControl/>
        <w:spacing w:after="210"/>
        <w:ind w:firstLine="426"/>
        <w:jc w:val="left"/>
      </w:pPr>
      <w:r w:rsidRPr="00443354">
        <w:t>2013</w:t>
      </w:r>
      <w:r w:rsidRPr="00443354">
        <w:t>年</w:t>
      </w:r>
      <w:r w:rsidRPr="00443354">
        <w:t>9</w:t>
      </w:r>
      <w:r w:rsidRPr="00443354">
        <w:t>月和</w:t>
      </w:r>
      <w:r w:rsidRPr="00443354">
        <w:t>10</w:t>
      </w:r>
      <w:r w:rsidRPr="00443354">
        <w:t>月，国家主席习近平在出访中亚和东南亚国家期间，先后提出共建</w:t>
      </w:r>
      <w:r w:rsidRPr="00443354">
        <w:t>“</w:t>
      </w:r>
      <w:r w:rsidRPr="00443354">
        <w:t>丝绸之路经济带</w:t>
      </w:r>
      <w:r w:rsidRPr="00443354">
        <w:t>”</w:t>
      </w:r>
      <w:r w:rsidRPr="00443354">
        <w:t>和</w:t>
      </w:r>
      <w:r w:rsidRPr="00443354">
        <w:t>“21</w:t>
      </w:r>
      <w:r w:rsidRPr="00443354">
        <w:t>世纪海上丝绸之路</w:t>
      </w:r>
      <w:r w:rsidRPr="00443354">
        <w:t>”</w:t>
      </w:r>
      <w:r w:rsidRPr="00443354">
        <w:t>的重大倡议，得到国际社会高度关注。</w:t>
      </w:r>
      <w:r w:rsidRPr="00443354">
        <w:rPr>
          <w:rFonts w:hint="eastAsia"/>
        </w:rPr>
        <w:t>在“一带一路”的新形势下，中国的企业将迎来新一轮并购浪潮。从宏观经济层面看，世界经济仍处在国际金融危机后的深刻调整期，由此，各国与中国合作意愿明显增强。我国成为</w:t>
      </w:r>
      <w:r w:rsidR="00D76FD9" w:rsidRPr="00443354">
        <w:rPr>
          <w:rFonts w:hint="eastAsia"/>
        </w:rPr>
        <w:t>第一大的汇率储备国</w:t>
      </w:r>
      <w:r w:rsidRPr="00443354">
        <w:rPr>
          <w:rFonts w:hint="eastAsia"/>
        </w:rPr>
        <w:t>和</w:t>
      </w:r>
      <w:r w:rsidR="00D76FD9" w:rsidRPr="00443354">
        <w:rPr>
          <w:rFonts w:hint="eastAsia"/>
        </w:rPr>
        <w:t>第二大对外投资国</w:t>
      </w:r>
      <w:r w:rsidRPr="00443354">
        <w:rPr>
          <w:rFonts w:hint="eastAsia"/>
        </w:rPr>
        <w:t>，中国企业正在成为激活国内外并购市场最活跃的因素之一。“一带一路”战略给中国企业搭建了广阔的新舞台，通过并购获取海外资源、技术与市场正在成为众多中国企业发展的常态化手段。</w:t>
      </w:r>
    </w:p>
    <w:p w14:paraId="1D5E296C" w14:textId="77777777" w:rsidR="00C73C23" w:rsidRPr="004703DB" w:rsidRDefault="00C73C23" w:rsidP="00C73C23">
      <w:pPr>
        <w:widowControl/>
        <w:spacing w:line="384" w:lineRule="atLeast"/>
        <w:ind w:firstLine="480"/>
        <w:jc w:val="left"/>
        <w:rPr>
          <w:rFonts w:ascii="微软雅黑" w:eastAsia="微软雅黑" w:hAnsi="微软雅黑" w:cs="宋体"/>
          <w:color w:val="3E3E3E"/>
          <w:kern w:val="0"/>
          <w:sz w:val="24"/>
          <w:szCs w:val="24"/>
        </w:rPr>
      </w:pPr>
      <w:r w:rsidRPr="004703DB">
        <w:rPr>
          <w:rFonts w:ascii="楷体" w:eastAsia="楷体" w:hAnsi="楷体" w:cs="宋体" w:hint="eastAsia"/>
          <w:b/>
          <w:bCs/>
          <w:color w:val="3E3E3E"/>
          <w:kern w:val="0"/>
          <w:sz w:val="24"/>
          <w:szCs w:val="24"/>
        </w:rPr>
        <w:t>5、</w:t>
      </w:r>
      <w:r w:rsidR="0093233F">
        <w:rPr>
          <w:rFonts w:ascii="楷体" w:eastAsia="楷体" w:hAnsi="楷体" w:cs="宋体" w:hint="eastAsia"/>
          <w:b/>
          <w:bCs/>
          <w:color w:val="3E3E3E"/>
          <w:kern w:val="0"/>
          <w:sz w:val="24"/>
          <w:szCs w:val="24"/>
        </w:rPr>
        <w:t>“</w:t>
      </w:r>
      <w:r w:rsidRPr="004703DB">
        <w:rPr>
          <w:rFonts w:ascii="楷体" w:eastAsia="楷体" w:hAnsi="楷体" w:cs="宋体" w:hint="eastAsia"/>
          <w:b/>
          <w:bCs/>
          <w:color w:val="3E3E3E"/>
          <w:kern w:val="0"/>
          <w:sz w:val="24"/>
          <w:szCs w:val="24"/>
        </w:rPr>
        <w:t>PE+上市公司</w:t>
      </w:r>
      <w:r w:rsidR="0093233F">
        <w:rPr>
          <w:rFonts w:ascii="楷体" w:eastAsia="楷体" w:hAnsi="楷体" w:cs="宋体" w:hint="eastAsia"/>
          <w:b/>
          <w:bCs/>
          <w:color w:val="3E3E3E"/>
          <w:kern w:val="0"/>
          <w:sz w:val="24"/>
          <w:szCs w:val="24"/>
        </w:rPr>
        <w:t>”持续高热</w:t>
      </w:r>
    </w:p>
    <w:p w14:paraId="4067C5EA" w14:textId="77777777" w:rsidR="00FC2662" w:rsidRPr="00443354" w:rsidRDefault="0093233F" w:rsidP="00DE2F9F">
      <w:pPr>
        <w:widowControl/>
        <w:spacing w:after="210"/>
        <w:ind w:firstLine="426"/>
        <w:jc w:val="left"/>
      </w:pPr>
      <w:r w:rsidRPr="00443354">
        <w:rPr>
          <w:rFonts w:hint="eastAsia"/>
        </w:rPr>
        <w:t>2011-2012</w:t>
      </w:r>
      <w:r w:rsidRPr="00443354">
        <w:rPr>
          <w:rFonts w:hint="eastAsia"/>
        </w:rPr>
        <w:t>年，硅谷天堂开始进行“</w:t>
      </w:r>
      <w:r w:rsidRPr="00443354">
        <w:rPr>
          <w:rFonts w:hint="eastAsia"/>
        </w:rPr>
        <w:t>PE+</w:t>
      </w:r>
      <w:r w:rsidRPr="00443354">
        <w:rPr>
          <w:rFonts w:hint="eastAsia"/>
        </w:rPr>
        <w:t>上市公司”模式的试运行，到</w:t>
      </w:r>
      <w:r w:rsidR="00FC2662" w:rsidRPr="00443354">
        <w:rPr>
          <w:rFonts w:hint="eastAsia"/>
        </w:rPr>
        <w:t>2013-2015</w:t>
      </w:r>
      <w:r w:rsidRPr="00443354">
        <w:rPr>
          <w:rFonts w:hint="eastAsia"/>
        </w:rPr>
        <w:t>年，其“</w:t>
      </w:r>
      <w:r w:rsidRPr="00443354">
        <w:rPr>
          <w:rFonts w:hint="eastAsia"/>
        </w:rPr>
        <w:t>PE+</w:t>
      </w:r>
      <w:r w:rsidRPr="00443354">
        <w:rPr>
          <w:rFonts w:hint="eastAsia"/>
        </w:rPr>
        <w:t>上市公司”模式逐步成熟，并形成一定规模。</w:t>
      </w:r>
      <w:r w:rsidR="00C73C23" w:rsidRPr="00443354">
        <w:rPr>
          <w:rFonts w:hint="eastAsia"/>
        </w:rPr>
        <w:t>自从国内</w:t>
      </w:r>
      <w:r w:rsidR="00C73C23" w:rsidRPr="00443354">
        <w:t>PE</w:t>
      </w:r>
      <w:r w:rsidR="00C73C23" w:rsidRPr="00443354">
        <w:rPr>
          <w:rFonts w:hint="eastAsia"/>
        </w:rPr>
        <w:t>机构硅谷天堂创新的运作</w:t>
      </w:r>
      <w:r w:rsidR="00C73C23" w:rsidRPr="00443354">
        <w:t>PE+</w:t>
      </w:r>
      <w:r w:rsidR="00C73C23" w:rsidRPr="00443354">
        <w:rPr>
          <w:rFonts w:hint="eastAsia"/>
        </w:rPr>
        <w:t>上市公司的并购模式以来，</w:t>
      </w:r>
      <w:r w:rsidR="00C73C23" w:rsidRPr="00443354">
        <w:t>A</w:t>
      </w:r>
      <w:r w:rsidR="00C73C23" w:rsidRPr="00443354">
        <w:rPr>
          <w:rFonts w:hint="eastAsia"/>
        </w:rPr>
        <w:t>股市开始出现大量类似的项目交易。</w:t>
      </w:r>
      <w:r w:rsidR="00C73C23" w:rsidRPr="00443354">
        <w:t>PE</w:t>
      </w:r>
      <w:r w:rsidR="00C73C23" w:rsidRPr="00443354">
        <w:rPr>
          <w:rFonts w:hint="eastAsia"/>
        </w:rPr>
        <w:t>和上市公司联合成立有限合伙并购基金，担当上市公司产业整合的主体，通过开展投资、并购、整合等业务，推动上市公司既定的战略布局。</w:t>
      </w:r>
    </w:p>
    <w:p w14:paraId="682065E4" w14:textId="77777777" w:rsidR="00C73C23" w:rsidRPr="00443354" w:rsidRDefault="00FC2662" w:rsidP="00FC2662">
      <w:pPr>
        <w:widowControl/>
        <w:spacing w:after="210"/>
        <w:ind w:firstLine="426"/>
        <w:jc w:val="left"/>
      </w:pPr>
      <w:r w:rsidRPr="00443354">
        <w:rPr>
          <w:rFonts w:hint="eastAsia"/>
        </w:rPr>
        <w:lastRenderedPageBreak/>
        <w:t>上交所于</w:t>
      </w:r>
      <w:r w:rsidR="00DE2F9F" w:rsidRPr="00443354">
        <w:rPr>
          <w:rFonts w:hint="eastAsia"/>
        </w:rPr>
        <w:t>2015</w:t>
      </w:r>
      <w:r w:rsidR="00DE2F9F" w:rsidRPr="00443354">
        <w:rPr>
          <w:rFonts w:hint="eastAsia"/>
        </w:rPr>
        <w:t>年</w:t>
      </w:r>
      <w:r w:rsidRPr="00443354">
        <w:rPr>
          <w:rFonts w:hint="eastAsia"/>
        </w:rPr>
        <w:t>9</w:t>
      </w:r>
      <w:r w:rsidRPr="00443354">
        <w:rPr>
          <w:rFonts w:hint="eastAsia"/>
        </w:rPr>
        <w:t>月</w:t>
      </w:r>
      <w:r w:rsidRPr="00443354">
        <w:rPr>
          <w:rFonts w:hint="eastAsia"/>
        </w:rPr>
        <w:t>11</w:t>
      </w:r>
      <w:r w:rsidRPr="00443354">
        <w:rPr>
          <w:rFonts w:hint="eastAsia"/>
        </w:rPr>
        <w:t>日正式发布《上市公司与私募基金合作投资事项信息披露业务指引》，</w:t>
      </w:r>
      <w:r w:rsidR="00DE2F9F" w:rsidRPr="00443354">
        <w:rPr>
          <w:rFonts w:hint="eastAsia"/>
        </w:rPr>
        <w:t>对日渐兴起的“</w:t>
      </w:r>
      <w:r w:rsidR="00DE2F9F" w:rsidRPr="00443354">
        <w:rPr>
          <w:rFonts w:hint="eastAsia"/>
        </w:rPr>
        <w:t>PE+</w:t>
      </w:r>
      <w:r w:rsidR="00DE2F9F" w:rsidRPr="00443354">
        <w:rPr>
          <w:rFonts w:hint="eastAsia"/>
        </w:rPr>
        <w:t>上市公司”投资模式</w:t>
      </w:r>
      <w:r w:rsidRPr="00443354">
        <w:rPr>
          <w:rFonts w:hint="eastAsia"/>
        </w:rPr>
        <w:t>以强化信息披露要求为主旨，从“明晰相关方的关联关系或者利益安排</w:t>
      </w:r>
      <w:r w:rsidRPr="00443354">
        <w:t>”</w:t>
      </w:r>
      <w:r w:rsidRPr="00443354">
        <w:rPr>
          <w:rFonts w:hint="eastAsia"/>
        </w:rPr>
        <w:t>等多个角度予以规范，</w:t>
      </w:r>
      <w:r w:rsidR="00DE2F9F" w:rsidRPr="00443354">
        <w:rPr>
          <w:rFonts w:hint="eastAsia"/>
        </w:rPr>
        <w:t>从而增强披露的有效性和针对性。</w:t>
      </w:r>
      <w:r w:rsidRPr="00443354">
        <w:rPr>
          <w:rFonts w:hint="eastAsia"/>
        </w:rPr>
        <w:t>可以预见，</w:t>
      </w:r>
      <w:r w:rsidRPr="00443354">
        <w:rPr>
          <w:rFonts w:hint="eastAsia"/>
        </w:rPr>
        <w:t>2016</w:t>
      </w:r>
      <w:r w:rsidRPr="00443354">
        <w:rPr>
          <w:rFonts w:hint="eastAsia"/>
        </w:rPr>
        <w:t>年</w:t>
      </w:r>
      <w:r w:rsidR="00C73C23" w:rsidRPr="00443354">
        <w:t>PE+</w:t>
      </w:r>
      <w:r w:rsidR="00C73C23" w:rsidRPr="00443354">
        <w:rPr>
          <w:rFonts w:hint="eastAsia"/>
        </w:rPr>
        <w:t>上市公司的项目并购模式将继续在</w:t>
      </w:r>
      <w:r w:rsidR="00C73C23" w:rsidRPr="00443354">
        <w:t>A</w:t>
      </w:r>
      <w:r w:rsidRPr="00443354">
        <w:rPr>
          <w:rFonts w:hint="eastAsia"/>
        </w:rPr>
        <w:t>股市场风行</w:t>
      </w:r>
      <w:r w:rsidR="00C73C23" w:rsidRPr="00443354">
        <w:rPr>
          <w:rFonts w:hint="eastAsia"/>
        </w:rPr>
        <w:t>。</w:t>
      </w:r>
    </w:p>
    <w:sectPr w:rsidR="00C73C23" w:rsidRPr="004433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838B3" w14:textId="77777777" w:rsidR="003D66B7" w:rsidRDefault="003D66B7" w:rsidP="00A67185">
      <w:r>
        <w:separator/>
      </w:r>
    </w:p>
  </w:endnote>
  <w:endnote w:type="continuationSeparator" w:id="0">
    <w:p w14:paraId="632A0F08" w14:textId="77777777" w:rsidR="003D66B7" w:rsidRDefault="003D66B7" w:rsidP="00A6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225ACC" w14:textId="77777777" w:rsidR="003D66B7" w:rsidRDefault="003D66B7" w:rsidP="00A67185">
      <w:r>
        <w:separator/>
      </w:r>
    </w:p>
  </w:footnote>
  <w:footnote w:type="continuationSeparator" w:id="0">
    <w:p w14:paraId="5A74F9C5" w14:textId="77777777" w:rsidR="003D66B7" w:rsidRDefault="003D66B7" w:rsidP="00A67185">
      <w:r>
        <w:continuationSeparator/>
      </w:r>
    </w:p>
  </w:footnote>
  <w:footnote w:id="1">
    <w:p w14:paraId="2DFD9067" w14:textId="6D62375A" w:rsidR="00D76FD9" w:rsidRDefault="00D76FD9">
      <w:pPr>
        <w:pStyle w:val="af"/>
      </w:pPr>
      <w:r>
        <w:rPr>
          <w:rStyle w:val="af0"/>
        </w:rPr>
        <w:footnoteRef/>
      </w:r>
      <w:r>
        <w:t xml:space="preserve"> </w:t>
      </w:r>
      <w:r>
        <w:t>按照企业的经济性质将企业分为国有经济</w:t>
      </w:r>
      <w:r>
        <w:rPr>
          <w:rFonts w:hint="eastAsia"/>
        </w:rPr>
        <w:t>、</w:t>
      </w:r>
      <w:r>
        <w:t>民营经济</w:t>
      </w:r>
      <w:r>
        <w:rPr>
          <w:rFonts w:hint="eastAsia"/>
        </w:rPr>
        <w:t>、</w:t>
      </w:r>
      <w:r>
        <w:t>外资经济</w:t>
      </w:r>
      <w:r>
        <w:rPr>
          <w:rFonts w:hint="eastAsia"/>
        </w:rPr>
        <w:t>，此处只筛选出国有经济和民营经济并进行比较分析。</w:t>
      </w:r>
    </w:p>
  </w:footnote>
  <w:footnote w:id="2">
    <w:p w14:paraId="0F63C4EF" w14:textId="0E66CBE4" w:rsidR="00BA0373" w:rsidRDefault="008856B5">
      <w:pPr>
        <w:pStyle w:val="af"/>
      </w:pPr>
      <w:r>
        <w:rPr>
          <w:rStyle w:val="af0"/>
        </w:rPr>
        <w:footnoteRef/>
      </w:r>
      <w:r>
        <w:rPr>
          <w:rFonts w:ascii="Times New Roman" w:hAnsi="Times New Roman" w:hint="eastAsia"/>
          <w:color w:val="000000"/>
        </w:rPr>
        <w:t>数据来源：</w:t>
      </w:r>
      <w:r w:rsidRPr="00191C78">
        <w:rPr>
          <w:rFonts w:ascii="Times New Roman" w:hAnsi="Times New Roman" w:hint="eastAsia"/>
          <w:color w:val="000000"/>
        </w:rPr>
        <w:t>北京交通大学中国企业兼并重组研究中心</w:t>
      </w:r>
      <w:proofErr w:type="spellStart"/>
      <w:r w:rsidRPr="00191C78">
        <w:rPr>
          <w:rFonts w:ascii="Times New Roman" w:hAnsi="Times New Roman"/>
          <w:color w:val="000000"/>
        </w:rPr>
        <w:t>ChinaMerger</w:t>
      </w:r>
      <w:proofErr w:type="spellEnd"/>
      <w:r w:rsidRPr="00191C78">
        <w:rPr>
          <w:rFonts w:ascii="Times New Roman" w:hAnsi="Times New Roman" w:hint="eastAsia"/>
          <w:color w:val="000000"/>
        </w:rPr>
        <w:t>数据库</w:t>
      </w:r>
      <w:r>
        <w:rPr>
          <w:rFonts w:ascii="Times New Roman" w:hAnsi="Times New Roman" w:hint="eastAsia"/>
          <w:color w:val="000000"/>
        </w:rPr>
        <w:t>；中国上市公司十大并购交易筛选规则：</w:t>
      </w:r>
      <w:r w:rsidR="001E59D1">
        <w:rPr>
          <w:rFonts w:ascii="Times New Roman" w:hAnsi="Times New Roman" w:hint="eastAsia"/>
          <w:color w:val="000000"/>
        </w:rPr>
        <w:t>数据库中将交易金额降序筛选，</w:t>
      </w:r>
      <w:proofErr w:type="gramStart"/>
      <w:r w:rsidR="001E59D1">
        <w:rPr>
          <w:rFonts w:ascii="Times New Roman" w:hAnsi="Times New Roman" w:hint="eastAsia"/>
          <w:color w:val="000000"/>
        </w:rPr>
        <w:t>取交易</w:t>
      </w:r>
      <w:proofErr w:type="gramEnd"/>
      <w:r w:rsidR="001E59D1">
        <w:rPr>
          <w:rFonts w:ascii="Times New Roman" w:hAnsi="Times New Roman" w:hint="eastAsia"/>
          <w:color w:val="000000"/>
        </w:rPr>
        <w:t>金额前</w:t>
      </w:r>
      <w:r>
        <w:rPr>
          <w:rFonts w:ascii="Times New Roman" w:hAnsi="Times New Roman" w:hint="eastAsia"/>
          <w:color w:val="000000"/>
        </w:rPr>
        <w:t>十大交易。</w:t>
      </w:r>
      <w:bookmarkStart w:id="2" w:name="_GoBack"/>
      <w:bookmarkEnd w:id="2"/>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59C"/>
    <w:rsid w:val="00015CB8"/>
    <w:rsid w:val="00015D94"/>
    <w:rsid w:val="00036387"/>
    <w:rsid w:val="00044572"/>
    <w:rsid w:val="00082033"/>
    <w:rsid w:val="000A54AE"/>
    <w:rsid w:val="000D78D3"/>
    <w:rsid w:val="00112C45"/>
    <w:rsid w:val="001552DC"/>
    <w:rsid w:val="001634B6"/>
    <w:rsid w:val="0017116E"/>
    <w:rsid w:val="00191C78"/>
    <w:rsid w:val="001B62D8"/>
    <w:rsid w:val="001C505A"/>
    <w:rsid w:val="001E5202"/>
    <w:rsid w:val="001E59D1"/>
    <w:rsid w:val="0022383F"/>
    <w:rsid w:val="00225B0F"/>
    <w:rsid w:val="00280912"/>
    <w:rsid w:val="00282E37"/>
    <w:rsid w:val="002C1591"/>
    <w:rsid w:val="002C2E55"/>
    <w:rsid w:val="002D480E"/>
    <w:rsid w:val="002E0309"/>
    <w:rsid w:val="002E4237"/>
    <w:rsid w:val="00316C10"/>
    <w:rsid w:val="00326B3F"/>
    <w:rsid w:val="003465A4"/>
    <w:rsid w:val="0035064B"/>
    <w:rsid w:val="00356568"/>
    <w:rsid w:val="003A39B2"/>
    <w:rsid w:val="003C657E"/>
    <w:rsid w:val="003D66B7"/>
    <w:rsid w:val="004153B7"/>
    <w:rsid w:val="00442D39"/>
    <w:rsid w:val="00443354"/>
    <w:rsid w:val="0045165F"/>
    <w:rsid w:val="00466D3C"/>
    <w:rsid w:val="00487C32"/>
    <w:rsid w:val="004925D0"/>
    <w:rsid w:val="004A2FE2"/>
    <w:rsid w:val="004C159C"/>
    <w:rsid w:val="004D44F3"/>
    <w:rsid w:val="004D6554"/>
    <w:rsid w:val="004F528A"/>
    <w:rsid w:val="00542145"/>
    <w:rsid w:val="00554C02"/>
    <w:rsid w:val="005652DC"/>
    <w:rsid w:val="005659D5"/>
    <w:rsid w:val="0058777E"/>
    <w:rsid w:val="00601D1F"/>
    <w:rsid w:val="0066074D"/>
    <w:rsid w:val="0066196C"/>
    <w:rsid w:val="006B7443"/>
    <w:rsid w:val="006C7F53"/>
    <w:rsid w:val="006D05EA"/>
    <w:rsid w:val="006E3A50"/>
    <w:rsid w:val="006E3D21"/>
    <w:rsid w:val="006E5E84"/>
    <w:rsid w:val="006F3984"/>
    <w:rsid w:val="006F5CD8"/>
    <w:rsid w:val="007123DD"/>
    <w:rsid w:val="00733022"/>
    <w:rsid w:val="0075551F"/>
    <w:rsid w:val="0076199D"/>
    <w:rsid w:val="00761A6A"/>
    <w:rsid w:val="007957EF"/>
    <w:rsid w:val="007A1A0E"/>
    <w:rsid w:val="007D46EE"/>
    <w:rsid w:val="007E0FE8"/>
    <w:rsid w:val="007F3B3E"/>
    <w:rsid w:val="007F4DEA"/>
    <w:rsid w:val="007F5B5F"/>
    <w:rsid w:val="00800592"/>
    <w:rsid w:val="00856438"/>
    <w:rsid w:val="0085713F"/>
    <w:rsid w:val="008856B5"/>
    <w:rsid w:val="008A645B"/>
    <w:rsid w:val="008D2CF6"/>
    <w:rsid w:val="00903601"/>
    <w:rsid w:val="00916B91"/>
    <w:rsid w:val="0093233F"/>
    <w:rsid w:val="00991CA6"/>
    <w:rsid w:val="009A0B34"/>
    <w:rsid w:val="009C0D5E"/>
    <w:rsid w:val="009F3439"/>
    <w:rsid w:val="00A034C6"/>
    <w:rsid w:val="00A2006A"/>
    <w:rsid w:val="00A31CC3"/>
    <w:rsid w:val="00A37C5A"/>
    <w:rsid w:val="00A563C5"/>
    <w:rsid w:val="00A67185"/>
    <w:rsid w:val="00A82D8F"/>
    <w:rsid w:val="00AB7244"/>
    <w:rsid w:val="00B30833"/>
    <w:rsid w:val="00B6731D"/>
    <w:rsid w:val="00B959C8"/>
    <w:rsid w:val="00BA0067"/>
    <w:rsid w:val="00BA0373"/>
    <w:rsid w:val="00BB1DB4"/>
    <w:rsid w:val="00BD446A"/>
    <w:rsid w:val="00C220C2"/>
    <w:rsid w:val="00C522E0"/>
    <w:rsid w:val="00C73C23"/>
    <w:rsid w:val="00CA08BC"/>
    <w:rsid w:val="00CB32E9"/>
    <w:rsid w:val="00CC76D0"/>
    <w:rsid w:val="00D059F9"/>
    <w:rsid w:val="00D46CA4"/>
    <w:rsid w:val="00D76FD9"/>
    <w:rsid w:val="00DB2B5C"/>
    <w:rsid w:val="00DE2F9F"/>
    <w:rsid w:val="00E17332"/>
    <w:rsid w:val="00E73DE3"/>
    <w:rsid w:val="00E76269"/>
    <w:rsid w:val="00E80581"/>
    <w:rsid w:val="00E9484E"/>
    <w:rsid w:val="00ED21CC"/>
    <w:rsid w:val="00EE531F"/>
    <w:rsid w:val="00EF0E07"/>
    <w:rsid w:val="00F23A55"/>
    <w:rsid w:val="00F67A11"/>
    <w:rsid w:val="00F829BE"/>
    <w:rsid w:val="00FA3A2A"/>
    <w:rsid w:val="00FC2662"/>
    <w:rsid w:val="00FE5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4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C657E"/>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A2006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2006A"/>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A2006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A2006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71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7185"/>
    <w:rPr>
      <w:sz w:val="18"/>
      <w:szCs w:val="18"/>
    </w:rPr>
  </w:style>
  <w:style w:type="paragraph" w:styleId="a4">
    <w:name w:val="footer"/>
    <w:basedOn w:val="a"/>
    <w:link w:val="Char0"/>
    <w:uiPriority w:val="99"/>
    <w:unhideWhenUsed/>
    <w:rsid w:val="00A67185"/>
    <w:pPr>
      <w:tabs>
        <w:tab w:val="center" w:pos="4153"/>
        <w:tab w:val="right" w:pos="8306"/>
      </w:tabs>
      <w:snapToGrid w:val="0"/>
      <w:jc w:val="left"/>
    </w:pPr>
    <w:rPr>
      <w:sz w:val="18"/>
      <w:szCs w:val="18"/>
    </w:rPr>
  </w:style>
  <w:style w:type="character" w:customStyle="1" w:styleId="Char0">
    <w:name w:val="页脚 Char"/>
    <w:basedOn w:val="a0"/>
    <w:link w:val="a4"/>
    <w:uiPriority w:val="99"/>
    <w:rsid w:val="00A67185"/>
    <w:rPr>
      <w:sz w:val="18"/>
      <w:szCs w:val="18"/>
    </w:rPr>
  </w:style>
  <w:style w:type="character" w:customStyle="1" w:styleId="1Char">
    <w:name w:val="标题 1 Char"/>
    <w:basedOn w:val="a0"/>
    <w:link w:val="1"/>
    <w:uiPriority w:val="9"/>
    <w:rsid w:val="003C657E"/>
    <w:rPr>
      <w:rFonts w:ascii="宋体" w:eastAsia="宋体" w:hAnsi="宋体" w:cs="宋体"/>
      <w:b/>
      <w:bCs/>
      <w:kern w:val="36"/>
      <w:sz w:val="48"/>
      <w:szCs w:val="48"/>
    </w:rPr>
  </w:style>
  <w:style w:type="character" w:customStyle="1" w:styleId="blue">
    <w:name w:val="blue"/>
    <w:basedOn w:val="a0"/>
    <w:rsid w:val="003C657E"/>
  </w:style>
  <w:style w:type="character" w:styleId="a5">
    <w:name w:val="Hyperlink"/>
    <w:basedOn w:val="a0"/>
    <w:uiPriority w:val="99"/>
    <w:semiHidden/>
    <w:unhideWhenUsed/>
    <w:rsid w:val="003C657E"/>
    <w:rPr>
      <w:color w:val="0000FF"/>
      <w:u w:val="single"/>
    </w:rPr>
  </w:style>
  <w:style w:type="paragraph" w:styleId="a6">
    <w:name w:val="Normal (Web)"/>
    <w:basedOn w:val="a"/>
    <w:uiPriority w:val="99"/>
    <w:semiHidden/>
    <w:unhideWhenUsed/>
    <w:rsid w:val="003C657E"/>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3C657E"/>
    <w:rPr>
      <w:b/>
      <w:bCs/>
    </w:rPr>
  </w:style>
  <w:style w:type="paragraph" w:styleId="a8">
    <w:name w:val="Balloon Text"/>
    <w:basedOn w:val="a"/>
    <w:link w:val="Char1"/>
    <w:uiPriority w:val="99"/>
    <w:semiHidden/>
    <w:unhideWhenUsed/>
    <w:rsid w:val="0066196C"/>
    <w:rPr>
      <w:sz w:val="18"/>
      <w:szCs w:val="18"/>
    </w:rPr>
  </w:style>
  <w:style w:type="character" w:customStyle="1" w:styleId="Char1">
    <w:name w:val="批注框文本 Char"/>
    <w:basedOn w:val="a0"/>
    <w:link w:val="a8"/>
    <w:uiPriority w:val="99"/>
    <w:semiHidden/>
    <w:rsid w:val="0066196C"/>
    <w:rPr>
      <w:sz w:val="18"/>
      <w:szCs w:val="18"/>
    </w:rPr>
  </w:style>
  <w:style w:type="character" w:customStyle="1" w:styleId="2Char">
    <w:name w:val="标题 2 Char"/>
    <w:basedOn w:val="a0"/>
    <w:link w:val="2"/>
    <w:uiPriority w:val="9"/>
    <w:rsid w:val="00A2006A"/>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A2006A"/>
    <w:rPr>
      <w:b/>
      <w:bCs/>
      <w:sz w:val="32"/>
      <w:szCs w:val="32"/>
    </w:rPr>
  </w:style>
  <w:style w:type="character" w:customStyle="1" w:styleId="4Char">
    <w:name w:val="标题 4 Char"/>
    <w:basedOn w:val="a0"/>
    <w:link w:val="4"/>
    <w:uiPriority w:val="9"/>
    <w:rsid w:val="00A2006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A2006A"/>
    <w:rPr>
      <w:b/>
      <w:bCs/>
      <w:sz w:val="28"/>
      <w:szCs w:val="28"/>
    </w:rPr>
  </w:style>
  <w:style w:type="paragraph" w:styleId="a9">
    <w:name w:val="Title"/>
    <w:basedOn w:val="a"/>
    <w:next w:val="a"/>
    <w:link w:val="Char2"/>
    <w:uiPriority w:val="10"/>
    <w:qFormat/>
    <w:rsid w:val="006F3984"/>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9"/>
    <w:uiPriority w:val="10"/>
    <w:rsid w:val="006F3984"/>
    <w:rPr>
      <w:rFonts w:asciiTheme="majorHAnsi" w:eastAsia="宋体" w:hAnsiTheme="majorHAnsi" w:cstheme="majorBidi"/>
      <w:b/>
      <w:bCs/>
      <w:sz w:val="32"/>
      <w:szCs w:val="32"/>
    </w:rPr>
  </w:style>
  <w:style w:type="character" w:styleId="aa">
    <w:name w:val="annotation reference"/>
    <w:basedOn w:val="a0"/>
    <w:uiPriority w:val="99"/>
    <w:semiHidden/>
    <w:unhideWhenUsed/>
    <w:rsid w:val="007F4DEA"/>
    <w:rPr>
      <w:sz w:val="21"/>
      <w:szCs w:val="21"/>
    </w:rPr>
  </w:style>
  <w:style w:type="paragraph" w:styleId="ab">
    <w:name w:val="annotation text"/>
    <w:basedOn w:val="a"/>
    <w:link w:val="Char3"/>
    <w:uiPriority w:val="99"/>
    <w:semiHidden/>
    <w:unhideWhenUsed/>
    <w:rsid w:val="007F4DEA"/>
    <w:pPr>
      <w:jc w:val="left"/>
    </w:pPr>
  </w:style>
  <w:style w:type="character" w:customStyle="1" w:styleId="Char3">
    <w:name w:val="批注文字 Char"/>
    <w:basedOn w:val="a0"/>
    <w:link w:val="ab"/>
    <w:uiPriority w:val="99"/>
    <w:semiHidden/>
    <w:rsid w:val="007F4DEA"/>
  </w:style>
  <w:style w:type="paragraph" w:styleId="ac">
    <w:name w:val="annotation subject"/>
    <w:basedOn w:val="ab"/>
    <w:next w:val="ab"/>
    <w:link w:val="Char4"/>
    <w:uiPriority w:val="99"/>
    <w:semiHidden/>
    <w:unhideWhenUsed/>
    <w:rsid w:val="007F4DEA"/>
    <w:rPr>
      <w:b/>
      <w:bCs/>
    </w:rPr>
  </w:style>
  <w:style w:type="character" w:customStyle="1" w:styleId="Char4">
    <w:name w:val="批注主题 Char"/>
    <w:basedOn w:val="Char3"/>
    <w:link w:val="ac"/>
    <w:uiPriority w:val="99"/>
    <w:semiHidden/>
    <w:rsid w:val="007F4DEA"/>
    <w:rPr>
      <w:b/>
      <w:bCs/>
    </w:rPr>
  </w:style>
  <w:style w:type="paragraph" w:styleId="ad">
    <w:name w:val="endnote text"/>
    <w:basedOn w:val="a"/>
    <w:link w:val="Char5"/>
    <w:uiPriority w:val="99"/>
    <w:semiHidden/>
    <w:unhideWhenUsed/>
    <w:rsid w:val="00D76FD9"/>
    <w:pPr>
      <w:snapToGrid w:val="0"/>
      <w:jc w:val="left"/>
    </w:pPr>
  </w:style>
  <w:style w:type="character" w:customStyle="1" w:styleId="Char5">
    <w:name w:val="尾注文本 Char"/>
    <w:basedOn w:val="a0"/>
    <w:link w:val="ad"/>
    <w:uiPriority w:val="99"/>
    <w:semiHidden/>
    <w:rsid w:val="00D76FD9"/>
  </w:style>
  <w:style w:type="character" w:styleId="ae">
    <w:name w:val="endnote reference"/>
    <w:basedOn w:val="a0"/>
    <w:uiPriority w:val="99"/>
    <w:semiHidden/>
    <w:unhideWhenUsed/>
    <w:rsid w:val="00D76FD9"/>
    <w:rPr>
      <w:vertAlign w:val="superscript"/>
    </w:rPr>
  </w:style>
  <w:style w:type="paragraph" w:styleId="af">
    <w:name w:val="footnote text"/>
    <w:basedOn w:val="a"/>
    <w:link w:val="Char6"/>
    <w:uiPriority w:val="99"/>
    <w:semiHidden/>
    <w:unhideWhenUsed/>
    <w:rsid w:val="00D76FD9"/>
    <w:pPr>
      <w:snapToGrid w:val="0"/>
      <w:jc w:val="left"/>
    </w:pPr>
    <w:rPr>
      <w:sz w:val="18"/>
      <w:szCs w:val="18"/>
    </w:rPr>
  </w:style>
  <w:style w:type="character" w:customStyle="1" w:styleId="Char6">
    <w:name w:val="脚注文本 Char"/>
    <w:basedOn w:val="a0"/>
    <w:link w:val="af"/>
    <w:uiPriority w:val="99"/>
    <w:semiHidden/>
    <w:rsid w:val="00D76FD9"/>
    <w:rPr>
      <w:sz w:val="18"/>
      <w:szCs w:val="18"/>
    </w:rPr>
  </w:style>
  <w:style w:type="character" w:styleId="af0">
    <w:name w:val="footnote reference"/>
    <w:basedOn w:val="a0"/>
    <w:uiPriority w:val="99"/>
    <w:semiHidden/>
    <w:unhideWhenUsed/>
    <w:rsid w:val="00D76FD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C657E"/>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A2006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2006A"/>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A2006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A2006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71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7185"/>
    <w:rPr>
      <w:sz w:val="18"/>
      <w:szCs w:val="18"/>
    </w:rPr>
  </w:style>
  <w:style w:type="paragraph" w:styleId="a4">
    <w:name w:val="footer"/>
    <w:basedOn w:val="a"/>
    <w:link w:val="Char0"/>
    <w:uiPriority w:val="99"/>
    <w:unhideWhenUsed/>
    <w:rsid w:val="00A67185"/>
    <w:pPr>
      <w:tabs>
        <w:tab w:val="center" w:pos="4153"/>
        <w:tab w:val="right" w:pos="8306"/>
      </w:tabs>
      <w:snapToGrid w:val="0"/>
      <w:jc w:val="left"/>
    </w:pPr>
    <w:rPr>
      <w:sz w:val="18"/>
      <w:szCs w:val="18"/>
    </w:rPr>
  </w:style>
  <w:style w:type="character" w:customStyle="1" w:styleId="Char0">
    <w:name w:val="页脚 Char"/>
    <w:basedOn w:val="a0"/>
    <w:link w:val="a4"/>
    <w:uiPriority w:val="99"/>
    <w:rsid w:val="00A67185"/>
    <w:rPr>
      <w:sz w:val="18"/>
      <w:szCs w:val="18"/>
    </w:rPr>
  </w:style>
  <w:style w:type="character" w:customStyle="1" w:styleId="1Char">
    <w:name w:val="标题 1 Char"/>
    <w:basedOn w:val="a0"/>
    <w:link w:val="1"/>
    <w:uiPriority w:val="9"/>
    <w:rsid w:val="003C657E"/>
    <w:rPr>
      <w:rFonts w:ascii="宋体" w:eastAsia="宋体" w:hAnsi="宋体" w:cs="宋体"/>
      <w:b/>
      <w:bCs/>
      <w:kern w:val="36"/>
      <w:sz w:val="48"/>
      <w:szCs w:val="48"/>
    </w:rPr>
  </w:style>
  <w:style w:type="character" w:customStyle="1" w:styleId="blue">
    <w:name w:val="blue"/>
    <w:basedOn w:val="a0"/>
    <w:rsid w:val="003C657E"/>
  </w:style>
  <w:style w:type="character" w:styleId="a5">
    <w:name w:val="Hyperlink"/>
    <w:basedOn w:val="a0"/>
    <w:uiPriority w:val="99"/>
    <w:semiHidden/>
    <w:unhideWhenUsed/>
    <w:rsid w:val="003C657E"/>
    <w:rPr>
      <w:color w:val="0000FF"/>
      <w:u w:val="single"/>
    </w:rPr>
  </w:style>
  <w:style w:type="paragraph" w:styleId="a6">
    <w:name w:val="Normal (Web)"/>
    <w:basedOn w:val="a"/>
    <w:uiPriority w:val="99"/>
    <w:semiHidden/>
    <w:unhideWhenUsed/>
    <w:rsid w:val="003C657E"/>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3C657E"/>
    <w:rPr>
      <w:b/>
      <w:bCs/>
    </w:rPr>
  </w:style>
  <w:style w:type="paragraph" w:styleId="a8">
    <w:name w:val="Balloon Text"/>
    <w:basedOn w:val="a"/>
    <w:link w:val="Char1"/>
    <w:uiPriority w:val="99"/>
    <w:semiHidden/>
    <w:unhideWhenUsed/>
    <w:rsid w:val="0066196C"/>
    <w:rPr>
      <w:sz w:val="18"/>
      <w:szCs w:val="18"/>
    </w:rPr>
  </w:style>
  <w:style w:type="character" w:customStyle="1" w:styleId="Char1">
    <w:name w:val="批注框文本 Char"/>
    <w:basedOn w:val="a0"/>
    <w:link w:val="a8"/>
    <w:uiPriority w:val="99"/>
    <w:semiHidden/>
    <w:rsid w:val="0066196C"/>
    <w:rPr>
      <w:sz w:val="18"/>
      <w:szCs w:val="18"/>
    </w:rPr>
  </w:style>
  <w:style w:type="character" w:customStyle="1" w:styleId="2Char">
    <w:name w:val="标题 2 Char"/>
    <w:basedOn w:val="a0"/>
    <w:link w:val="2"/>
    <w:uiPriority w:val="9"/>
    <w:rsid w:val="00A2006A"/>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A2006A"/>
    <w:rPr>
      <w:b/>
      <w:bCs/>
      <w:sz w:val="32"/>
      <w:szCs w:val="32"/>
    </w:rPr>
  </w:style>
  <w:style w:type="character" w:customStyle="1" w:styleId="4Char">
    <w:name w:val="标题 4 Char"/>
    <w:basedOn w:val="a0"/>
    <w:link w:val="4"/>
    <w:uiPriority w:val="9"/>
    <w:rsid w:val="00A2006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A2006A"/>
    <w:rPr>
      <w:b/>
      <w:bCs/>
      <w:sz w:val="28"/>
      <w:szCs w:val="28"/>
    </w:rPr>
  </w:style>
  <w:style w:type="paragraph" w:styleId="a9">
    <w:name w:val="Title"/>
    <w:basedOn w:val="a"/>
    <w:next w:val="a"/>
    <w:link w:val="Char2"/>
    <w:uiPriority w:val="10"/>
    <w:qFormat/>
    <w:rsid w:val="006F3984"/>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9"/>
    <w:uiPriority w:val="10"/>
    <w:rsid w:val="006F3984"/>
    <w:rPr>
      <w:rFonts w:asciiTheme="majorHAnsi" w:eastAsia="宋体" w:hAnsiTheme="majorHAnsi" w:cstheme="majorBidi"/>
      <w:b/>
      <w:bCs/>
      <w:sz w:val="32"/>
      <w:szCs w:val="32"/>
    </w:rPr>
  </w:style>
  <w:style w:type="character" w:styleId="aa">
    <w:name w:val="annotation reference"/>
    <w:basedOn w:val="a0"/>
    <w:uiPriority w:val="99"/>
    <w:semiHidden/>
    <w:unhideWhenUsed/>
    <w:rsid w:val="007F4DEA"/>
    <w:rPr>
      <w:sz w:val="21"/>
      <w:szCs w:val="21"/>
    </w:rPr>
  </w:style>
  <w:style w:type="paragraph" w:styleId="ab">
    <w:name w:val="annotation text"/>
    <w:basedOn w:val="a"/>
    <w:link w:val="Char3"/>
    <w:uiPriority w:val="99"/>
    <w:semiHidden/>
    <w:unhideWhenUsed/>
    <w:rsid w:val="007F4DEA"/>
    <w:pPr>
      <w:jc w:val="left"/>
    </w:pPr>
  </w:style>
  <w:style w:type="character" w:customStyle="1" w:styleId="Char3">
    <w:name w:val="批注文字 Char"/>
    <w:basedOn w:val="a0"/>
    <w:link w:val="ab"/>
    <w:uiPriority w:val="99"/>
    <w:semiHidden/>
    <w:rsid w:val="007F4DEA"/>
  </w:style>
  <w:style w:type="paragraph" w:styleId="ac">
    <w:name w:val="annotation subject"/>
    <w:basedOn w:val="ab"/>
    <w:next w:val="ab"/>
    <w:link w:val="Char4"/>
    <w:uiPriority w:val="99"/>
    <w:semiHidden/>
    <w:unhideWhenUsed/>
    <w:rsid w:val="007F4DEA"/>
    <w:rPr>
      <w:b/>
      <w:bCs/>
    </w:rPr>
  </w:style>
  <w:style w:type="character" w:customStyle="1" w:styleId="Char4">
    <w:name w:val="批注主题 Char"/>
    <w:basedOn w:val="Char3"/>
    <w:link w:val="ac"/>
    <w:uiPriority w:val="99"/>
    <w:semiHidden/>
    <w:rsid w:val="007F4DEA"/>
    <w:rPr>
      <w:b/>
      <w:bCs/>
    </w:rPr>
  </w:style>
  <w:style w:type="paragraph" w:styleId="ad">
    <w:name w:val="endnote text"/>
    <w:basedOn w:val="a"/>
    <w:link w:val="Char5"/>
    <w:uiPriority w:val="99"/>
    <w:semiHidden/>
    <w:unhideWhenUsed/>
    <w:rsid w:val="00D76FD9"/>
    <w:pPr>
      <w:snapToGrid w:val="0"/>
      <w:jc w:val="left"/>
    </w:pPr>
  </w:style>
  <w:style w:type="character" w:customStyle="1" w:styleId="Char5">
    <w:name w:val="尾注文本 Char"/>
    <w:basedOn w:val="a0"/>
    <w:link w:val="ad"/>
    <w:uiPriority w:val="99"/>
    <w:semiHidden/>
    <w:rsid w:val="00D76FD9"/>
  </w:style>
  <w:style w:type="character" w:styleId="ae">
    <w:name w:val="endnote reference"/>
    <w:basedOn w:val="a0"/>
    <w:uiPriority w:val="99"/>
    <w:semiHidden/>
    <w:unhideWhenUsed/>
    <w:rsid w:val="00D76FD9"/>
    <w:rPr>
      <w:vertAlign w:val="superscript"/>
    </w:rPr>
  </w:style>
  <w:style w:type="paragraph" w:styleId="af">
    <w:name w:val="footnote text"/>
    <w:basedOn w:val="a"/>
    <w:link w:val="Char6"/>
    <w:uiPriority w:val="99"/>
    <w:semiHidden/>
    <w:unhideWhenUsed/>
    <w:rsid w:val="00D76FD9"/>
    <w:pPr>
      <w:snapToGrid w:val="0"/>
      <w:jc w:val="left"/>
    </w:pPr>
    <w:rPr>
      <w:sz w:val="18"/>
      <w:szCs w:val="18"/>
    </w:rPr>
  </w:style>
  <w:style w:type="character" w:customStyle="1" w:styleId="Char6">
    <w:name w:val="脚注文本 Char"/>
    <w:basedOn w:val="a0"/>
    <w:link w:val="af"/>
    <w:uiPriority w:val="99"/>
    <w:semiHidden/>
    <w:rsid w:val="00D76FD9"/>
    <w:rPr>
      <w:sz w:val="18"/>
      <w:szCs w:val="18"/>
    </w:rPr>
  </w:style>
  <w:style w:type="character" w:styleId="af0">
    <w:name w:val="footnote reference"/>
    <w:basedOn w:val="a0"/>
    <w:uiPriority w:val="99"/>
    <w:semiHidden/>
    <w:unhideWhenUsed/>
    <w:rsid w:val="00D76F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40011">
      <w:bodyDiv w:val="1"/>
      <w:marLeft w:val="0"/>
      <w:marRight w:val="0"/>
      <w:marTop w:val="0"/>
      <w:marBottom w:val="0"/>
      <w:divBdr>
        <w:top w:val="none" w:sz="0" w:space="0" w:color="auto"/>
        <w:left w:val="none" w:sz="0" w:space="0" w:color="auto"/>
        <w:bottom w:val="none" w:sz="0" w:space="0" w:color="auto"/>
        <w:right w:val="none" w:sz="0" w:space="0" w:color="auto"/>
      </w:divBdr>
    </w:div>
    <w:div w:id="263877630">
      <w:bodyDiv w:val="1"/>
      <w:marLeft w:val="0"/>
      <w:marRight w:val="0"/>
      <w:marTop w:val="0"/>
      <w:marBottom w:val="0"/>
      <w:divBdr>
        <w:top w:val="none" w:sz="0" w:space="0" w:color="auto"/>
        <w:left w:val="none" w:sz="0" w:space="0" w:color="auto"/>
        <w:bottom w:val="none" w:sz="0" w:space="0" w:color="auto"/>
        <w:right w:val="none" w:sz="0" w:space="0" w:color="auto"/>
      </w:divBdr>
      <w:divsChild>
        <w:div w:id="829520589">
          <w:marLeft w:val="0"/>
          <w:marRight w:val="0"/>
          <w:marTop w:val="0"/>
          <w:marBottom w:val="0"/>
          <w:divBdr>
            <w:top w:val="single" w:sz="6" w:space="0" w:color="CECECE"/>
            <w:left w:val="single" w:sz="6" w:space="0" w:color="CECECE"/>
            <w:bottom w:val="single" w:sz="6" w:space="0" w:color="CECECE"/>
            <w:right w:val="single" w:sz="6" w:space="0" w:color="CECECE"/>
          </w:divBdr>
        </w:div>
      </w:divsChild>
    </w:div>
    <w:div w:id="574246278">
      <w:bodyDiv w:val="1"/>
      <w:marLeft w:val="0"/>
      <w:marRight w:val="0"/>
      <w:marTop w:val="0"/>
      <w:marBottom w:val="0"/>
      <w:divBdr>
        <w:top w:val="none" w:sz="0" w:space="0" w:color="auto"/>
        <w:left w:val="none" w:sz="0" w:space="0" w:color="auto"/>
        <w:bottom w:val="none" w:sz="0" w:space="0" w:color="auto"/>
        <w:right w:val="none" w:sz="0" w:space="0" w:color="auto"/>
      </w:divBdr>
    </w:div>
    <w:div w:id="1075007505">
      <w:bodyDiv w:val="1"/>
      <w:marLeft w:val="0"/>
      <w:marRight w:val="0"/>
      <w:marTop w:val="0"/>
      <w:marBottom w:val="0"/>
      <w:divBdr>
        <w:top w:val="none" w:sz="0" w:space="0" w:color="auto"/>
        <w:left w:val="none" w:sz="0" w:space="0" w:color="auto"/>
        <w:bottom w:val="none" w:sz="0" w:space="0" w:color="auto"/>
        <w:right w:val="none" w:sz="0" w:space="0" w:color="auto"/>
      </w:divBdr>
    </w:div>
    <w:div w:id="1100419670">
      <w:bodyDiv w:val="1"/>
      <w:marLeft w:val="0"/>
      <w:marRight w:val="0"/>
      <w:marTop w:val="0"/>
      <w:marBottom w:val="0"/>
      <w:divBdr>
        <w:top w:val="none" w:sz="0" w:space="0" w:color="auto"/>
        <w:left w:val="none" w:sz="0" w:space="0" w:color="auto"/>
        <w:bottom w:val="none" w:sz="0" w:space="0" w:color="auto"/>
        <w:right w:val="none" w:sz="0" w:space="0" w:color="auto"/>
      </w:divBdr>
    </w:div>
    <w:div w:id="1106199184">
      <w:bodyDiv w:val="1"/>
      <w:marLeft w:val="0"/>
      <w:marRight w:val="0"/>
      <w:marTop w:val="0"/>
      <w:marBottom w:val="0"/>
      <w:divBdr>
        <w:top w:val="none" w:sz="0" w:space="0" w:color="auto"/>
        <w:left w:val="none" w:sz="0" w:space="0" w:color="auto"/>
        <w:bottom w:val="none" w:sz="0" w:space="0" w:color="auto"/>
        <w:right w:val="none" w:sz="0" w:space="0" w:color="auto"/>
      </w:divBdr>
    </w:div>
    <w:div w:id="1232539217">
      <w:bodyDiv w:val="1"/>
      <w:marLeft w:val="0"/>
      <w:marRight w:val="0"/>
      <w:marTop w:val="0"/>
      <w:marBottom w:val="0"/>
      <w:divBdr>
        <w:top w:val="none" w:sz="0" w:space="0" w:color="auto"/>
        <w:left w:val="none" w:sz="0" w:space="0" w:color="auto"/>
        <w:bottom w:val="none" w:sz="0" w:space="0" w:color="auto"/>
        <w:right w:val="none" w:sz="0" w:space="0" w:color="auto"/>
      </w:divBdr>
    </w:div>
    <w:div w:id="1319383113">
      <w:bodyDiv w:val="1"/>
      <w:marLeft w:val="0"/>
      <w:marRight w:val="0"/>
      <w:marTop w:val="0"/>
      <w:marBottom w:val="0"/>
      <w:divBdr>
        <w:top w:val="none" w:sz="0" w:space="0" w:color="auto"/>
        <w:left w:val="none" w:sz="0" w:space="0" w:color="auto"/>
        <w:bottom w:val="none" w:sz="0" w:space="0" w:color="auto"/>
        <w:right w:val="none" w:sz="0" w:space="0" w:color="auto"/>
      </w:divBdr>
      <w:divsChild>
        <w:div w:id="1572277797">
          <w:marLeft w:val="0"/>
          <w:marRight w:val="0"/>
          <w:marTop w:val="0"/>
          <w:marBottom w:val="0"/>
          <w:divBdr>
            <w:top w:val="single" w:sz="6" w:space="0" w:color="CECECE"/>
            <w:left w:val="single" w:sz="6" w:space="0" w:color="CECECE"/>
            <w:bottom w:val="single" w:sz="6" w:space="0" w:color="CECECE"/>
            <w:right w:val="single" w:sz="6" w:space="0" w:color="CECECE"/>
          </w:divBdr>
        </w:div>
      </w:divsChild>
    </w:div>
    <w:div w:id="1418550694">
      <w:bodyDiv w:val="1"/>
      <w:marLeft w:val="0"/>
      <w:marRight w:val="0"/>
      <w:marTop w:val="0"/>
      <w:marBottom w:val="0"/>
      <w:divBdr>
        <w:top w:val="none" w:sz="0" w:space="0" w:color="auto"/>
        <w:left w:val="none" w:sz="0" w:space="0" w:color="auto"/>
        <w:bottom w:val="none" w:sz="0" w:space="0" w:color="auto"/>
        <w:right w:val="none" w:sz="0" w:space="0" w:color="auto"/>
      </w:divBdr>
      <w:divsChild>
        <w:div w:id="82536362">
          <w:marLeft w:val="0"/>
          <w:marRight w:val="0"/>
          <w:marTop w:val="0"/>
          <w:marBottom w:val="0"/>
          <w:divBdr>
            <w:top w:val="single" w:sz="6" w:space="0" w:color="CECECE"/>
            <w:left w:val="single" w:sz="6" w:space="0" w:color="CECECE"/>
            <w:bottom w:val="single" w:sz="6" w:space="0" w:color="CECECE"/>
            <w:right w:val="single" w:sz="6" w:space="0" w:color="CECECE"/>
          </w:divBdr>
        </w:div>
      </w:divsChild>
    </w:div>
    <w:div w:id="1466698382">
      <w:bodyDiv w:val="1"/>
      <w:marLeft w:val="0"/>
      <w:marRight w:val="0"/>
      <w:marTop w:val="0"/>
      <w:marBottom w:val="0"/>
      <w:divBdr>
        <w:top w:val="none" w:sz="0" w:space="0" w:color="auto"/>
        <w:left w:val="none" w:sz="0" w:space="0" w:color="auto"/>
        <w:bottom w:val="none" w:sz="0" w:space="0" w:color="auto"/>
        <w:right w:val="none" w:sz="0" w:space="0" w:color="auto"/>
      </w:divBdr>
      <w:divsChild>
        <w:div w:id="161940520">
          <w:marLeft w:val="0"/>
          <w:marRight w:val="0"/>
          <w:marTop w:val="60"/>
          <w:marBottom w:val="60"/>
          <w:divBdr>
            <w:top w:val="none" w:sz="0" w:space="0" w:color="auto"/>
            <w:left w:val="none" w:sz="0" w:space="0" w:color="auto"/>
            <w:bottom w:val="none" w:sz="0" w:space="0" w:color="auto"/>
            <w:right w:val="none" w:sz="0" w:space="0" w:color="auto"/>
          </w:divBdr>
        </w:div>
        <w:div w:id="2141026071">
          <w:marLeft w:val="0"/>
          <w:marRight w:val="0"/>
          <w:marTop w:val="150"/>
          <w:marBottom w:val="0"/>
          <w:divBdr>
            <w:top w:val="none" w:sz="0" w:space="0" w:color="auto"/>
            <w:left w:val="none" w:sz="0" w:space="0" w:color="auto"/>
            <w:bottom w:val="none" w:sz="0" w:space="0" w:color="auto"/>
            <w:right w:val="none" w:sz="0" w:space="0" w:color="auto"/>
          </w:divBdr>
          <w:divsChild>
            <w:div w:id="97990231">
              <w:marLeft w:val="0"/>
              <w:marRight w:val="0"/>
              <w:marTop w:val="0"/>
              <w:marBottom w:val="0"/>
              <w:divBdr>
                <w:top w:val="none" w:sz="0" w:space="0" w:color="auto"/>
                <w:left w:val="none" w:sz="0" w:space="0" w:color="auto"/>
                <w:bottom w:val="none" w:sz="0" w:space="0" w:color="auto"/>
                <w:right w:val="none" w:sz="0" w:space="0" w:color="auto"/>
              </w:divBdr>
            </w:div>
            <w:div w:id="105123479">
              <w:marLeft w:val="0"/>
              <w:marRight w:val="0"/>
              <w:marTop w:val="0"/>
              <w:marBottom w:val="0"/>
              <w:divBdr>
                <w:top w:val="none" w:sz="0" w:space="0" w:color="auto"/>
                <w:left w:val="none" w:sz="0" w:space="0" w:color="auto"/>
                <w:bottom w:val="none" w:sz="0" w:space="0" w:color="auto"/>
                <w:right w:val="none" w:sz="0" w:space="0" w:color="auto"/>
              </w:divBdr>
            </w:div>
            <w:div w:id="308487901">
              <w:marLeft w:val="0"/>
              <w:marRight w:val="0"/>
              <w:marTop w:val="0"/>
              <w:marBottom w:val="0"/>
              <w:divBdr>
                <w:top w:val="none" w:sz="0" w:space="0" w:color="auto"/>
                <w:left w:val="none" w:sz="0" w:space="0" w:color="auto"/>
                <w:bottom w:val="none" w:sz="0" w:space="0" w:color="auto"/>
                <w:right w:val="none" w:sz="0" w:space="0" w:color="auto"/>
              </w:divBdr>
            </w:div>
            <w:div w:id="673848812">
              <w:marLeft w:val="0"/>
              <w:marRight w:val="0"/>
              <w:marTop w:val="0"/>
              <w:marBottom w:val="0"/>
              <w:divBdr>
                <w:top w:val="none" w:sz="0" w:space="0" w:color="auto"/>
                <w:left w:val="none" w:sz="0" w:space="0" w:color="auto"/>
                <w:bottom w:val="none" w:sz="0" w:space="0" w:color="auto"/>
                <w:right w:val="none" w:sz="0" w:space="0" w:color="auto"/>
              </w:divBdr>
            </w:div>
            <w:div w:id="834876205">
              <w:marLeft w:val="0"/>
              <w:marRight w:val="0"/>
              <w:marTop w:val="0"/>
              <w:marBottom w:val="0"/>
              <w:divBdr>
                <w:top w:val="none" w:sz="0" w:space="0" w:color="auto"/>
                <w:left w:val="none" w:sz="0" w:space="0" w:color="auto"/>
                <w:bottom w:val="none" w:sz="0" w:space="0" w:color="auto"/>
                <w:right w:val="none" w:sz="0" w:space="0" w:color="auto"/>
              </w:divBdr>
            </w:div>
            <w:div w:id="1019625390">
              <w:marLeft w:val="0"/>
              <w:marRight w:val="0"/>
              <w:marTop w:val="0"/>
              <w:marBottom w:val="0"/>
              <w:divBdr>
                <w:top w:val="none" w:sz="0" w:space="0" w:color="auto"/>
                <w:left w:val="none" w:sz="0" w:space="0" w:color="auto"/>
                <w:bottom w:val="none" w:sz="0" w:space="0" w:color="auto"/>
                <w:right w:val="none" w:sz="0" w:space="0" w:color="auto"/>
              </w:divBdr>
            </w:div>
            <w:div w:id="1029914393">
              <w:marLeft w:val="0"/>
              <w:marRight w:val="0"/>
              <w:marTop w:val="0"/>
              <w:marBottom w:val="0"/>
              <w:divBdr>
                <w:top w:val="none" w:sz="0" w:space="0" w:color="auto"/>
                <w:left w:val="none" w:sz="0" w:space="0" w:color="auto"/>
                <w:bottom w:val="none" w:sz="0" w:space="0" w:color="auto"/>
                <w:right w:val="none" w:sz="0" w:space="0" w:color="auto"/>
              </w:divBdr>
            </w:div>
            <w:div w:id="1065643170">
              <w:marLeft w:val="0"/>
              <w:marRight w:val="0"/>
              <w:marTop w:val="0"/>
              <w:marBottom w:val="0"/>
              <w:divBdr>
                <w:top w:val="none" w:sz="0" w:space="0" w:color="auto"/>
                <w:left w:val="none" w:sz="0" w:space="0" w:color="auto"/>
                <w:bottom w:val="none" w:sz="0" w:space="0" w:color="auto"/>
                <w:right w:val="none" w:sz="0" w:space="0" w:color="auto"/>
              </w:divBdr>
            </w:div>
            <w:div w:id="1157260743">
              <w:marLeft w:val="0"/>
              <w:marRight w:val="0"/>
              <w:marTop w:val="0"/>
              <w:marBottom w:val="0"/>
              <w:divBdr>
                <w:top w:val="none" w:sz="0" w:space="0" w:color="auto"/>
                <w:left w:val="none" w:sz="0" w:space="0" w:color="auto"/>
                <w:bottom w:val="none" w:sz="0" w:space="0" w:color="auto"/>
                <w:right w:val="none" w:sz="0" w:space="0" w:color="auto"/>
              </w:divBdr>
            </w:div>
            <w:div w:id="1269654178">
              <w:marLeft w:val="0"/>
              <w:marRight w:val="0"/>
              <w:marTop w:val="0"/>
              <w:marBottom w:val="0"/>
              <w:divBdr>
                <w:top w:val="none" w:sz="0" w:space="0" w:color="auto"/>
                <w:left w:val="none" w:sz="0" w:space="0" w:color="auto"/>
                <w:bottom w:val="none" w:sz="0" w:space="0" w:color="auto"/>
                <w:right w:val="none" w:sz="0" w:space="0" w:color="auto"/>
              </w:divBdr>
            </w:div>
            <w:div w:id="1359503139">
              <w:marLeft w:val="0"/>
              <w:marRight w:val="0"/>
              <w:marTop w:val="0"/>
              <w:marBottom w:val="0"/>
              <w:divBdr>
                <w:top w:val="none" w:sz="0" w:space="0" w:color="auto"/>
                <w:left w:val="none" w:sz="0" w:space="0" w:color="auto"/>
                <w:bottom w:val="none" w:sz="0" w:space="0" w:color="auto"/>
                <w:right w:val="none" w:sz="0" w:space="0" w:color="auto"/>
              </w:divBdr>
            </w:div>
            <w:div w:id="1545405679">
              <w:marLeft w:val="0"/>
              <w:marRight w:val="0"/>
              <w:marTop w:val="0"/>
              <w:marBottom w:val="0"/>
              <w:divBdr>
                <w:top w:val="none" w:sz="0" w:space="0" w:color="auto"/>
                <w:left w:val="none" w:sz="0" w:space="0" w:color="auto"/>
                <w:bottom w:val="none" w:sz="0" w:space="0" w:color="auto"/>
                <w:right w:val="none" w:sz="0" w:space="0" w:color="auto"/>
              </w:divBdr>
            </w:div>
            <w:div w:id="1668971162">
              <w:marLeft w:val="0"/>
              <w:marRight w:val="0"/>
              <w:marTop w:val="0"/>
              <w:marBottom w:val="0"/>
              <w:divBdr>
                <w:top w:val="none" w:sz="0" w:space="0" w:color="auto"/>
                <w:left w:val="none" w:sz="0" w:space="0" w:color="auto"/>
                <w:bottom w:val="none" w:sz="0" w:space="0" w:color="auto"/>
                <w:right w:val="none" w:sz="0" w:space="0" w:color="auto"/>
              </w:divBdr>
            </w:div>
            <w:div w:id="2034989880">
              <w:marLeft w:val="0"/>
              <w:marRight w:val="0"/>
              <w:marTop w:val="0"/>
              <w:marBottom w:val="0"/>
              <w:divBdr>
                <w:top w:val="none" w:sz="0" w:space="0" w:color="auto"/>
                <w:left w:val="none" w:sz="0" w:space="0" w:color="auto"/>
                <w:bottom w:val="none" w:sz="0" w:space="0" w:color="auto"/>
                <w:right w:val="none" w:sz="0" w:space="0" w:color="auto"/>
              </w:divBdr>
            </w:div>
            <w:div w:id="20970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1858">
      <w:bodyDiv w:val="1"/>
      <w:marLeft w:val="0"/>
      <w:marRight w:val="0"/>
      <w:marTop w:val="0"/>
      <w:marBottom w:val="0"/>
      <w:divBdr>
        <w:top w:val="none" w:sz="0" w:space="0" w:color="auto"/>
        <w:left w:val="none" w:sz="0" w:space="0" w:color="auto"/>
        <w:bottom w:val="none" w:sz="0" w:space="0" w:color="auto"/>
        <w:right w:val="none" w:sz="0" w:space="0" w:color="auto"/>
      </w:divBdr>
    </w:div>
    <w:div w:id="1854800914">
      <w:bodyDiv w:val="1"/>
      <w:marLeft w:val="0"/>
      <w:marRight w:val="0"/>
      <w:marTop w:val="0"/>
      <w:marBottom w:val="0"/>
      <w:divBdr>
        <w:top w:val="none" w:sz="0" w:space="0" w:color="auto"/>
        <w:left w:val="none" w:sz="0" w:space="0" w:color="auto"/>
        <w:bottom w:val="none" w:sz="0" w:space="0" w:color="auto"/>
        <w:right w:val="none" w:sz="0" w:space="0" w:color="auto"/>
      </w:divBdr>
      <w:divsChild>
        <w:div w:id="1089303476">
          <w:marLeft w:val="0"/>
          <w:marRight w:val="0"/>
          <w:marTop w:val="0"/>
          <w:marBottom w:val="0"/>
          <w:divBdr>
            <w:top w:val="single" w:sz="6" w:space="0" w:color="CECECE"/>
            <w:left w:val="single" w:sz="6" w:space="0" w:color="CECECE"/>
            <w:bottom w:val="single" w:sz="6" w:space="0" w:color="CECECE"/>
            <w:right w:val="single" w:sz="6" w:space="0" w:color="CECECE"/>
          </w:divBdr>
        </w:div>
      </w:divsChild>
    </w:div>
    <w:div w:id="1861358564">
      <w:bodyDiv w:val="1"/>
      <w:marLeft w:val="0"/>
      <w:marRight w:val="0"/>
      <w:marTop w:val="0"/>
      <w:marBottom w:val="0"/>
      <w:divBdr>
        <w:top w:val="none" w:sz="0" w:space="0" w:color="auto"/>
        <w:left w:val="none" w:sz="0" w:space="0" w:color="auto"/>
        <w:bottom w:val="none" w:sz="0" w:space="0" w:color="auto"/>
        <w:right w:val="none" w:sz="0" w:space="0" w:color="auto"/>
      </w:divBdr>
      <w:divsChild>
        <w:div w:id="708139784">
          <w:marLeft w:val="0"/>
          <w:marRight w:val="0"/>
          <w:marTop w:val="0"/>
          <w:marBottom w:val="0"/>
          <w:divBdr>
            <w:top w:val="single" w:sz="6" w:space="0" w:color="CECECE"/>
            <w:left w:val="single" w:sz="6" w:space="0" w:color="CECECE"/>
            <w:bottom w:val="single" w:sz="6" w:space="0" w:color="CECECE"/>
            <w:right w:val="single" w:sz="6" w:space="0" w:color="CECECE"/>
          </w:divBdr>
        </w:div>
      </w:divsChild>
    </w:div>
    <w:div w:id="213609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F5EBA-12E7-4D7B-9D7F-50FE2361D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11</Pages>
  <Words>991</Words>
  <Characters>5654</Characters>
  <Application>Microsoft Office Word</Application>
  <DocSecurity>0</DocSecurity>
  <Lines>47</Lines>
  <Paragraphs>13</Paragraphs>
  <ScaleCrop>false</ScaleCrop>
  <Company/>
  <LinksUpToDate>false</LinksUpToDate>
  <CharactersWithSpaces>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李超锋</dc:creator>
  <cp:lastModifiedBy>李超锋</cp:lastModifiedBy>
  <cp:revision>4</cp:revision>
  <dcterms:created xsi:type="dcterms:W3CDTF">2016-01-12T17:32:00Z</dcterms:created>
  <dcterms:modified xsi:type="dcterms:W3CDTF">2016-01-14T16:00:00Z</dcterms:modified>
</cp:coreProperties>
</file>