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footer3.xml" ContentType="application/vnd.openxmlformats-officedocument.wordprocessingml.footer+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emf" ContentType="image/x-emf"/>
  <Override PartName="/word/theme/themeOverride12.xml" ContentType="application/vnd.openxmlformats-officedocument.themeOverride+xml"/>
  <Override PartName="/word/theme/themeOverride21.xml" ContentType="application/vnd.openxmlformats-officedocument.themeOverride+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footer2.xml" ContentType="application/vnd.openxmlformats-officedocument.wordprocessingml.footer+xml"/>
  <Default Extension="wdp" ContentType="image/vnd.ms-photo"/>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10355" w:type="dxa"/>
        <w:tblLook w:val="01E0"/>
      </w:tblPr>
      <w:tblGrid>
        <w:gridCol w:w="10355"/>
      </w:tblGrid>
      <w:tr w:rsidR="00233103" w:rsidRPr="00F02B75" w:rsidTr="00AE3C96">
        <w:trPr>
          <w:trHeight w:val="715"/>
        </w:trPr>
        <w:tc>
          <w:tcPr>
            <w:tcW w:w="10355" w:type="dxa"/>
            <w:vAlign w:val="center"/>
          </w:tcPr>
          <w:p w:rsidR="00233103" w:rsidRPr="0044380D" w:rsidRDefault="00233103" w:rsidP="00CD10CD">
            <w:pPr>
              <w:ind w:leftChars="100" w:left="210"/>
              <w:rPr>
                <w:rFonts w:ascii="Arial Unicode MS" w:hAnsi="Arial Unicode MS" w:cs="Arial Unicode MS"/>
                <w:sz w:val="28"/>
                <w:szCs w:val="28"/>
              </w:rPr>
            </w:pPr>
            <w:r>
              <w:rPr>
                <w:rFonts w:ascii="Arial" w:eastAsia="黑体" w:hAnsi="Arial" w:cs="Arial" w:hint="eastAsia"/>
                <w:sz w:val="30"/>
                <w:szCs w:val="30"/>
              </w:rPr>
              <w:t>宏观</w:t>
            </w:r>
            <w:r w:rsidR="00604B3B">
              <w:rPr>
                <w:rFonts w:ascii="Arial" w:eastAsia="黑体" w:hAnsi="Arial" w:cs="Arial" w:hint="eastAsia"/>
                <w:sz w:val="30"/>
                <w:szCs w:val="30"/>
              </w:rPr>
              <w:t>研究</w:t>
            </w:r>
            <w:r>
              <w:rPr>
                <w:rFonts w:ascii="Arial Unicode MS" w:hAnsi="Arial Unicode MS" w:cs="Arial Unicode MS"/>
                <w:sz w:val="28"/>
                <w:szCs w:val="28"/>
              </w:rPr>
              <w:t xml:space="preserve">                             </w:t>
            </w:r>
          </w:p>
          <w:p w:rsidR="00233103" w:rsidRPr="00F02B75" w:rsidRDefault="003D3FA9" w:rsidP="00EA0D72">
            <w:pPr>
              <w:rPr>
                <w:rFonts w:ascii="Arial" w:hAnsi="Arial" w:cs="Arial"/>
              </w:rPr>
            </w:pPr>
            <w:r w:rsidRPr="003D3FA9">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55pt;margin-top:13.85pt;width:514.5pt;height:5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" filled="f" fillcolor="#036" stroked="f">
                  <v:textbox>
                    <w:txbxContent>
                      <w:p w:rsidR="00617EA9" w:rsidRDefault="00617EA9" w:rsidP="00FF0DDE">
                        <w:pPr>
                          <w:jc w:val="center"/>
                          <w:rPr>
                            <w:rStyle w:val="10"/>
                            <w:rFonts w:ascii="Calibri" w:eastAsia="黑体" w:hAnsi="Calibri"/>
                            <w:b/>
                            <w:color w:val="005096"/>
                            <w:sz w:val="36"/>
                            <w:szCs w:val="36"/>
                          </w:rPr>
                        </w:pPr>
                        <w:r>
                          <w:rPr>
                            <w:rStyle w:val="10"/>
                            <w:rFonts w:ascii="Calibri" w:eastAsia="黑体" w:hAnsi="Calibri" w:hint="eastAsia"/>
                            <w:b/>
                            <w:color w:val="005096"/>
                            <w:sz w:val="36"/>
                            <w:szCs w:val="36"/>
                          </w:rPr>
                          <w:t>中国式</w:t>
                        </w:r>
                        <w:r w:rsidRPr="00A76F68">
                          <w:rPr>
                            <w:rStyle w:val="10"/>
                            <w:rFonts w:ascii="Calibri" w:eastAsia="黑体" w:hAnsi="Calibri" w:hint="eastAsia"/>
                            <w:b/>
                            <w:color w:val="005096"/>
                            <w:sz w:val="36"/>
                            <w:szCs w:val="36"/>
                          </w:rPr>
                          <w:t>去产能全景图</w:t>
                        </w:r>
                      </w:p>
                      <w:p w:rsidR="00617EA9" w:rsidRPr="00FF0DDE" w:rsidRDefault="00617EA9" w:rsidP="00FF0DDE">
                        <w:pPr>
                          <w:jc w:val="center"/>
                          <w:rPr>
                            <w:rStyle w:val="10"/>
                            <w:rFonts w:ascii="Calibri" w:eastAsia="黑体" w:hAnsi="Calibri"/>
                            <w:b/>
                            <w:color w:val="005096"/>
                            <w:sz w:val="36"/>
                            <w:szCs w:val="36"/>
                          </w:rPr>
                        </w:pPr>
                        <w:r>
                          <w:rPr>
                            <w:rStyle w:val="10"/>
                            <w:rFonts w:ascii="Calibri" w:eastAsia="黑体" w:hAnsi="Calibri" w:hint="eastAsia"/>
                            <w:b/>
                            <w:color w:val="005096"/>
                            <w:sz w:val="28"/>
                            <w:szCs w:val="36"/>
                          </w:rPr>
                          <w:t>——民生证券研究院联合专题报告</w:t>
                        </w:r>
                      </w:p>
                    </w:txbxContent>
                  </v:textbox>
                </v:shape>
              </w:pict>
            </w:r>
          </w:p>
        </w:tc>
      </w:tr>
    </w:tbl>
    <w:p w:rsidR="00233103" w:rsidRPr="00EA0D72" w:rsidRDefault="003D3FA9" w:rsidP="005143F4">
      <w:pPr>
        <w:autoSpaceDE w:val="0"/>
        <w:autoSpaceDN w:val="0"/>
        <w:adjustRightInd w:val="0"/>
        <w:snapToGrid w:val="0"/>
        <w:spacing w:afterLines="500"/>
        <w:rPr>
          <w:rFonts w:ascii="黑体" w:eastAsia="黑体"/>
          <w:b/>
          <w:color w:val="005096"/>
          <w:sz w:val="10"/>
          <w:szCs w:val="10"/>
        </w:rPr>
      </w:pPr>
      <w:r w:rsidRPr="003D3FA9">
        <w:rPr>
          <w:noProof/>
        </w:rPr>
        <w:pict>
          <v:shape id="Text Box 8" o:spid="_x0000_s1027" type="#_x0000_t202" style="position:absolute;left:0;text-align:left;margin-left:352.5pt;margin-top:56.05pt;width:178.5pt;height:15.6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" filled="f" fillcolor="#036" stroked="f">
            <v:textbox inset="0,0,0,0">
              <w:txbxContent>
                <w:p w:rsidR="00617EA9" w:rsidRDefault="00617EA9" w:rsidP="00224C0B">
                  <w:r>
                    <w:rPr>
                      <w:rFonts w:ascii="Arial" w:hAnsi="Arial" w:cs="Arial"/>
                      <w:b/>
                      <w:color w:val="FFFFFF"/>
                      <w:sz w:val="22"/>
                      <w:szCs w:val="22"/>
                    </w:rPr>
                    <w:t>201</w:t>
                  </w:r>
                  <w:r>
                    <w:rPr>
                      <w:rFonts w:ascii="Arial" w:hAnsi="Arial" w:cs="Arial" w:hint="eastAsia"/>
                      <w:b/>
                      <w:color w:val="FFFFFF"/>
                      <w:sz w:val="22"/>
                      <w:szCs w:val="22"/>
                    </w:rPr>
                    <w:t>6</w:t>
                  </w:r>
                  <w:r w:rsidRPr="00917ACA">
                    <w:rPr>
                      <w:rFonts w:ascii="Arial" w:hAnsi="Arial" w:cs="Arial" w:hint="eastAsia"/>
                      <w:b/>
                      <w:color w:val="FFFFFF"/>
                      <w:sz w:val="22"/>
                      <w:szCs w:val="22"/>
                    </w:rPr>
                    <w:t>年</w:t>
                  </w:r>
                  <w:r>
                    <w:rPr>
                      <w:rFonts w:ascii="Arial" w:hAnsi="Arial" w:cs="Arial" w:hint="eastAsia"/>
                      <w:b/>
                      <w:color w:val="FFFFFF"/>
                      <w:sz w:val="22"/>
                      <w:szCs w:val="22"/>
                    </w:rPr>
                    <w:t>2</w:t>
                  </w:r>
                  <w:r w:rsidRPr="00917ACA">
                    <w:rPr>
                      <w:rFonts w:ascii="Arial" w:hAnsi="Arial" w:cs="Arial" w:hint="eastAsia"/>
                      <w:b/>
                      <w:color w:val="FFFFFF"/>
                      <w:sz w:val="22"/>
                      <w:szCs w:val="22"/>
                    </w:rPr>
                    <w:t>月</w:t>
                  </w:r>
                  <w:r>
                    <w:rPr>
                      <w:rFonts w:ascii="Arial" w:hAnsi="Arial" w:cs="Arial" w:hint="eastAsia"/>
                      <w:b/>
                      <w:color w:val="FFFFFF"/>
                      <w:sz w:val="22"/>
                      <w:szCs w:val="22"/>
                    </w:rPr>
                    <w:t>04</w:t>
                  </w:r>
                  <w:r w:rsidRPr="00917ACA">
                    <w:rPr>
                      <w:rFonts w:ascii="Arial" w:hAnsi="Arial" w:cs="Arial" w:hint="eastAsia"/>
                      <w:b/>
                      <w:color w:val="FFFFFF"/>
                      <w:sz w:val="22"/>
                      <w:szCs w:val="22"/>
                    </w:rPr>
                    <w:t>日</w:t>
                  </w:r>
                </w:p>
              </w:txbxContent>
            </v:textbox>
          </v:shape>
        </w:pict>
      </w:r>
    </w:p>
    <w:p w:rsidR="00233103" w:rsidRDefault="00233103" w:rsidP="00E1605D">
      <w:pPr>
        <w:autoSpaceDE w:val="0"/>
        <w:autoSpaceDN w:val="0"/>
        <w:ind w:firstLineChars="196" w:firstLine="314"/>
        <w:rPr>
          <w:sz w:val="16"/>
          <w:szCs w:val="16"/>
        </w:rPr>
      </w:pPr>
      <w:bookmarkStart w:id="0" w:name="RANGE!AC1"/>
      <w:bookmarkEnd w:id="0"/>
    </w:p>
    <w:p w:rsidR="008503C1" w:rsidRDefault="008503C1" w:rsidP="005143F4">
      <w:pPr>
        <w:spacing w:beforeLines="50" w:afterLines="50" w:line="360" w:lineRule="exact"/>
        <w:ind w:right="-1" w:firstLineChars="200" w:firstLine="320"/>
        <w:rPr>
          <w:sz w:val="16"/>
          <w:szCs w:val="16"/>
        </w:rPr>
      </w:pPr>
      <w:r w:rsidRPr="003B3956">
        <w:rPr>
          <w:rFonts w:hint="eastAsia"/>
          <w:sz w:val="16"/>
          <w:szCs w:val="16"/>
        </w:rPr>
        <w:t>民生证券研究院执行院长、首席宏观研究员</w:t>
      </w:r>
      <w:r w:rsidRPr="003B3956">
        <w:rPr>
          <w:sz w:val="16"/>
          <w:szCs w:val="16"/>
        </w:rPr>
        <w:t xml:space="preserve">  </w:t>
      </w:r>
      <w:proofErr w:type="gramStart"/>
      <w:r w:rsidRPr="003B3956">
        <w:rPr>
          <w:rFonts w:hint="eastAsia"/>
          <w:sz w:val="16"/>
          <w:szCs w:val="16"/>
        </w:rPr>
        <w:t>管清友</w:t>
      </w:r>
      <w:proofErr w:type="gramEnd"/>
      <w:r w:rsidRPr="003B3956">
        <w:rPr>
          <w:sz w:val="16"/>
          <w:szCs w:val="16"/>
        </w:rPr>
        <w:t xml:space="preserve">  </w:t>
      </w:r>
      <w:r w:rsidRPr="003B3956">
        <w:rPr>
          <w:rFonts w:hint="eastAsia"/>
          <w:sz w:val="16"/>
          <w:szCs w:val="16"/>
        </w:rPr>
        <w:t>电话：</w:t>
      </w:r>
      <w:r w:rsidRPr="003B3956">
        <w:rPr>
          <w:sz w:val="16"/>
          <w:szCs w:val="16"/>
        </w:rPr>
        <w:t xml:space="preserve">010-85127430   </w:t>
      </w:r>
      <w:r w:rsidRPr="003B3956">
        <w:rPr>
          <w:rFonts w:hint="eastAsia"/>
          <w:sz w:val="16"/>
          <w:szCs w:val="16"/>
        </w:rPr>
        <w:t>邮箱：</w:t>
      </w:r>
      <w:hyperlink r:id="rId8" w:history="1">
        <w:r w:rsidRPr="003B3956">
          <w:rPr>
            <w:rStyle w:val="a5"/>
            <w:sz w:val="16"/>
            <w:szCs w:val="16"/>
          </w:rPr>
          <w:t>guanqingyou@mszq.com</w:t>
        </w:r>
      </w:hyperlink>
      <w:r w:rsidRPr="003B3956">
        <w:rPr>
          <w:sz w:val="16"/>
          <w:szCs w:val="16"/>
        </w:rPr>
        <w:t xml:space="preserve"> </w:t>
      </w:r>
      <w:r w:rsidRPr="003B3956">
        <w:rPr>
          <w:rFonts w:hint="eastAsia"/>
          <w:sz w:val="16"/>
          <w:szCs w:val="16"/>
        </w:rPr>
        <w:t>执业证号：</w:t>
      </w:r>
      <w:r w:rsidRPr="003B3956">
        <w:rPr>
          <w:rFonts w:hint="eastAsia"/>
          <w:sz w:val="16"/>
          <w:szCs w:val="16"/>
        </w:rPr>
        <w:t>S0100514090002</w:t>
      </w:r>
    </w:p>
    <w:p w:rsidR="008503C1" w:rsidRDefault="00287AC8" w:rsidP="005143F4">
      <w:pPr>
        <w:spacing w:beforeLines="50" w:afterLines="50" w:line="360" w:lineRule="exact"/>
        <w:ind w:rightChars="1000" w:right="2100" w:firstLineChars="200" w:firstLine="320"/>
      </w:pPr>
      <w:r>
        <w:rPr>
          <w:rFonts w:hint="eastAsia"/>
          <w:sz w:val="16"/>
          <w:szCs w:val="16"/>
        </w:rPr>
        <w:t>宏观朱振鑫</w:t>
      </w:r>
      <w:r>
        <w:rPr>
          <w:rFonts w:hint="eastAsia"/>
          <w:sz w:val="16"/>
          <w:szCs w:val="16"/>
        </w:rPr>
        <w:t>/</w:t>
      </w:r>
      <w:r>
        <w:rPr>
          <w:rFonts w:hint="eastAsia"/>
          <w:sz w:val="16"/>
          <w:szCs w:val="16"/>
        </w:rPr>
        <w:t>张瑜，策略李少君</w:t>
      </w:r>
      <w:r>
        <w:rPr>
          <w:rFonts w:hint="eastAsia"/>
          <w:sz w:val="16"/>
          <w:szCs w:val="16"/>
        </w:rPr>
        <w:t>/</w:t>
      </w:r>
      <w:r w:rsidR="005143F4">
        <w:rPr>
          <w:rFonts w:hint="eastAsia"/>
          <w:sz w:val="16"/>
          <w:szCs w:val="16"/>
        </w:rPr>
        <w:t>周隆刚</w:t>
      </w:r>
      <w:r>
        <w:rPr>
          <w:rFonts w:hint="eastAsia"/>
          <w:sz w:val="16"/>
          <w:szCs w:val="16"/>
        </w:rPr>
        <w:t>，煤炭王海伟，钢铁王聪敏，建材严晓情，化工</w:t>
      </w:r>
      <w:proofErr w:type="gramStart"/>
      <w:r>
        <w:rPr>
          <w:rFonts w:hint="eastAsia"/>
          <w:sz w:val="16"/>
          <w:szCs w:val="16"/>
        </w:rPr>
        <w:t>范</w:t>
      </w:r>
      <w:proofErr w:type="gramEnd"/>
      <w:r>
        <w:rPr>
          <w:rFonts w:hint="eastAsia"/>
          <w:sz w:val="16"/>
          <w:szCs w:val="16"/>
        </w:rPr>
        <w:t>劲松</w:t>
      </w:r>
      <w:r>
        <w:rPr>
          <w:rFonts w:hint="eastAsia"/>
          <w:sz w:val="16"/>
          <w:szCs w:val="16"/>
        </w:rPr>
        <w:t>/</w:t>
      </w:r>
      <w:r>
        <w:rPr>
          <w:rFonts w:hint="eastAsia"/>
          <w:sz w:val="16"/>
          <w:szCs w:val="16"/>
        </w:rPr>
        <w:t>沈晓源，</w:t>
      </w:r>
      <w:proofErr w:type="gramStart"/>
      <w:r>
        <w:rPr>
          <w:rFonts w:hint="eastAsia"/>
          <w:sz w:val="16"/>
          <w:szCs w:val="16"/>
        </w:rPr>
        <w:t>有色喻罗毅</w:t>
      </w:r>
      <w:proofErr w:type="gramEnd"/>
    </w:p>
    <w:p w:rsidR="00EA5FB4" w:rsidRPr="00287AC8" w:rsidRDefault="00EA5FB4" w:rsidP="0097513A">
      <w:pPr>
        <w:spacing w:line="360" w:lineRule="auto"/>
        <w:ind w:rightChars="1000" w:right="2100" w:firstLineChars="200" w:firstLine="420"/>
        <w:rPr>
          <w:rFonts w:ascii="楷体" w:eastAsia="楷体" w:hAnsi="楷体"/>
          <w:szCs w:val="21"/>
        </w:rPr>
      </w:pPr>
    </w:p>
    <w:p w:rsidR="009B3BE9" w:rsidRPr="001D15D1" w:rsidRDefault="00494722" w:rsidP="0096157D">
      <w:pPr>
        <w:spacing w:line="360" w:lineRule="auto"/>
        <w:ind w:rightChars="1000" w:right="2100"/>
        <w:rPr>
          <w:rFonts w:ascii="楷体" w:eastAsia="楷体" w:hAnsi="楷体"/>
          <w:b/>
          <w:color w:val="0070C0"/>
          <w:sz w:val="24"/>
          <w:szCs w:val="21"/>
        </w:rPr>
      </w:pPr>
      <w:r>
        <w:rPr>
          <w:rFonts w:ascii="楷体" w:eastAsia="楷体" w:hAnsi="楷体" w:hint="eastAsia"/>
          <w:b/>
          <w:color w:val="0070C0"/>
          <w:sz w:val="24"/>
          <w:szCs w:val="21"/>
        </w:rPr>
        <w:t>【</w:t>
      </w:r>
      <w:r w:rsidR="001E07DA">
        <w:rPr>
          <w:rFonts w:ascii="楷体" w:eastAsia="楷体" w:hAnsi="楷体" w:hint="eastAsia"/>
          <w:b/>
          <w:color w:val="0070C0"/>
          <w:sz w:val="24"/>
          <w:szCs w:val="21"/>
        </w:rPr>
        <w:t>摘要</w:t>
      </w:r>
      <w:r>
        <w:rPr>
          <w:rFonts w:ascii="楷体" w:eastAsia="楷体" w:hAnsi="楷体" w:hint="eastAsia"/>
          <w:b/>
          <w:color w:val="0070C0"/>
          <w:sz w:val="24"/>
          <w:szCs w:val="21"/>
        </w:rPr>
        <w:t>】</w:t>
      </w:r>
    </w:p>
    <w:p w:rsidR="00824BF3" w:rsidRPr="001E07DA" w:rsidRDefault="00B67BE7" w:rsidP="001E07DA">
      <w:pPr>
        <w:spacing w:line="360" w:lineRule="auto"/>
        <w:ind w:rightChars="1000" w:right="2100" w:firstLineChars="200" w:firstLine="420"/>
        <w:rPr>
          <w:rFonts w:ascii="楷体" w:eastAsia="楷体" w:hAnsi="楷体"/>
          <w:szCs w:val="21"/>
        </w:rPr>
      </w:pPr>
      <w:r w:rsidRPr="001E07DA">
        <w:rPr>
          <w:rFonts w:ascii="楷体" w:eastAsia="楷体" w:hAnsi="楷体" w:hint="eastAsia"/>
          <w:szCs w:val="21"/>
        </w:rPr>
        <w:t>本文由民生证券研究院宏观、策略、煤炭、钢</w:t>
      </w:r>
      <w:r w:rsidR="00494722" w:rsidRPr="001E07DA">
        <w:rPr>
          <w:rFonts w:ascii="楷体" w:eastAsia="楷体" w:hAnsi="楷体" w:hint="eastAsia"/>
          <w:szCs w:val="21"/>
        </w:rPr>
        <w:t>铁、建材、化工、有色团队联袂打造，一方面自上而下梳理去产能的逻辑</w:t>
      </w:r>
      <w:r w:rsidRPr="001E07DA">
        <w:rPr>
          <w:rFonts w:ascii="楷体" w:eastAsia="楷体" w:hAnsi="楷体" w:hint="eastAsia"/>
          <w:szCs w:val="21"/>
        </w:rPr>
        <w:t>、方式和市场影响，另一方面自下而上梳理主要过剩行业去产能的进程、风险和受益公司等，力求为各位投资者提供一份去产能的全景图。</w:t>
      </w:r>
    </w:p>
    <w:p w:rsidR="00617EA9" w:rsidRPr="00617EA9" w:rsidRDefault="007B5169" w:rsidP="007B5169">
      <w:pPr>
        <w:spacing w:line="360" w:lineRule="auto"/>
        <w:ind w:rightChars="1000" w:right="2100" w:firstLineChars="200" w:firstLine="422"/>
        <w:rPr>
          <w:rFonts w:ascii="楷体" w:eastAsia="楷体" w:hAnsi="楷体"/>
          <w:szCs w:val="21"/>
        </w:rPr>
      </w:pPr>
      <w:r>
        <w:rPr>
          <w:rFonts w:ascii="楷体" w:eastAsia="楷体" w:hAnsi="楷体" w:hint="eastAsia"/>
          <w:b/>
          <w:szCs w:val="21"/>
        </w:rPr>
        <w:t>一</w:t>
      </w:r>
      <w:r w:rsidR="00617EA9" w:rsidRPr="007B5169">
        <w:rPr>
          <w:rFonts w:ascii="楷体" w:eastAsia="楷体" w:hAnsi="楷体" w:hint="eastAsia"/>
          <w:b/>
          <w:szCs w:val="21"/>
        </w:rPr>
        <w:t>、2016年是真正意义的去产能元年，中央施政重心从需求侧向供给侧倾斜，产能调整从控制增量向清理存量过渡</w:t>
      </w:r>
      <w:r w:rsidR="00617EA9">
        <w:rPr>
          <w:rFonts w:ascii="楷体" w:eastAsia="楷体" w:hAnsi="楷体" w:hint="eastAsia"/>
          <w:szCs w:val="21"/>
        </w:rPr>
        <w:t>。去产能可能采取的措施：财政直接或间接补贴；清理不良资产；加快兼并重组；提高环保能耗等行业标准；打破刚性兑付；完善破产清算制度；建立产能检测体系等</w:t>
      </w:r>
    </w:p>
    <w:p w:rsidR="00617EA9" w:rsidRDefault="007B5169" w:rsidP="007B5169">
      <w:pPr>
        <w:spacing w:line="360" w:lineRule="auto"/>
        <w:ind w:rightChars="1000" w:right="2100" w:firstLineChars="200" w:firstLine="422"/>
        <w:rPr>
          <w:rFonts w:ascii="楷体" w:eastAsia="楷体" w:hAnsi="楷体"/>
          <w:szCs w:val="21"/>
        </w:rPr>
      </w:pPr>
      <w:r>
        <w:rPr>
          <w:rFonts w:ascii="楷体" w:eastAsia="楷体" w:hAnsi="楷体" w:hint="eastAsia"/>
          <w:b/>
          <w:szCs w:val="21"/>
        </w:rPr>
        <w:t>二</w:t>
      </w:r>
      <w:r w:rsidR="00617EA9" w:rsidRPr="007B5169">
        <w:rPr>
          <w:rFonts w:ascii="楷体" w:eastAsia="楷体" w:hAnsi="楷体" w:hint="eastAsia"/>
          <w:b/>
          <w:szCs w:val="21"/>
        </w:rPr>
        <w:t>、</w:t>
      </w:r>
      <w:r w:rsidRPr="007B5169">
        <w:rPr>
          <w:rFonts w:ascii="楷体" w:eastAsia="楷体" w:hAnsi="楷体" w:hint="eastAsia"/>
          <w:b/>
          <w:szCs w:val="21"/>
        </w:rPr>
        <w:t>从历史经验看，去产能期间市场“深蹲起跳”，业绩支撑很重要</w:t>
      </w:r>
      <w:r w:rsidRPr="007B5169">
        <w:rPr>
          <w:rFonts w:ascii="楷体" w:eastAsia="楷体" w:hAnsi="楷体" w:hint="eastAsia"/>
          <w:szCs w:val="21"/>
        </w:rPr>
        <w:t>。</w:t>
      </w:r>
      <w:r w:rsidR="00617EA9" w:rsidRPr="009B2884">
        <w:rPr>
          <w:rFonts w:ascii="楷体" w:eastAsia="楷体" w:hAnsi="楷体" w:hint="eastAsia"/>
          <w:szCs w:val="21"/>
        </w:rPr>
        <w:t>一是关注相关供给</w:t>
      </w:r>
      <w:r>
        <w:rPr>
          <w:rFonts w:ascii="楷体" w:eastAsia="楷体" w:hAnsi="楷体" w:hint="eastAsia"/>
          <w:szCs w:val="21"/>
        </w:rPr>
        <w:t>侧结构性改革过程中相关政策提</w:t>
      </w:r>
      <w:proofErr w:type="gramStart"/>
      <w:r>
        <w:rPr>
          <w:rFonts w:ascii="楷体" w:eastAsia="楷体" w:hAnsi="楷体" w:hint="eastAsia"/>
          <w:szCs w:val="21"/>
        </w:rPr>
        <w:t>振市场</w:t>
      </w:r>
      <w:proofErr w:type="gramEnd"/>
      <w:r>
        <w:rPr>
          <w:rFonts w:ascii="楷体" w:eastAsia="楷体" w:hAnsi="楷体" w:hint="eastAsia"/>
          <w:szCs w:val="21"/>
        </w:rPr>
        <w:t>情绪带来的交易性机会，二是相关出清较快行业由于业绩改善带来的结构性机会，</w:t>
      </w:r>
      <w:r w:rsidR="00617EA9" w:rsidRPr="009B2884">
        <w:rPr>
          <w:rFonts w:ascii="楷体" w:eastAsia="楷体" w:hAnsi="楷体" w:hint="eastAsia"/>
          <w:szCs w:val="21"/>
        </w:rPr>
        <w:t>三是在改革取得阶段性成就时，改良后的旧经济与新经济共振带来的新增长周期催生的系统性行情。</w:t>
      </w:r>
    </w:p>
    <w:p w:rsidR="007B5169" w:rsidRDefault="007B5169" w:rsidP="007B5169">
      <w:pPr>
        <w:spacing w:line="360" w:lineRule="auto"/>
        <w:ind w:rightChars="1000" w:right="2100" w:firstLineChars="200" w:firstLine="422"/>
        <w:rPr>
          <w:rFonts w:ascii="楷体" w:eastAsia="楷体" w:hAnsi="楷体"/>
          <w:b/>
          <w:szCs w:val="21"/>
        </w:rPr>
      </w:pPr>
      <w:r>
        <w:rPr>
          <w:rFonts w:ascii="楷体" w:eastAsia="楷体" w:hAnsi="楷体" w:hint="eastAsia"/>
          <w:b/>
          <w:szCs w:val="21"/>
        </w:rPr>
        <w:t>三</w:t>
      </w:r>
      <w:r w:rsidR="005143F4">
        <w:rPr>
          <w:rFonts w:ascii="楷体" w:eastAsia="楷体" w:hAnsi="楷体" w:hint="eastAsia"/>
          <w:b/>
          <w:szCs w:val="21"/>
        </w:rPr>
        <w:t>、行业全景图</w:t>
      </w:r>
      <w:r w:rsidRPr="007B5169">
        <w:rPr>
          <w:rFonts w:ascii="楷体" w:eastAsia="楷体" w:hAnsi="楷体" w:hint="eastAsia"/>
          <w:b/>
          <w:szCs w:val="21"/>
        </w:rPr>
        <w:t>：</w:t>
      </w:r>
    </w:p>
    <w:p w:rsidR="007B5169" w:rsidRDefault="007B5169" w:rsidP="007B5169">
      <w:pPr>
        <w:spacing w:line="360" w:lineRule="auto"/>
        <w:ind w:rightChars="1000" w:right="2100" w:firstLineChars="200" w:firstLine="422"/>
        <w:rPr>
          <w:rFonts w:ascii="楷体" w:eastAsia="楷体" w:hAnsi="楷体"/>
          <w:szCs w:val="21"/>
        </w:rPr>
      </w:pPr>
      <w:r>
        <w:rPr>
          <w:rFonts w:ascii="楷体" w:eastAsia="楷体" w:hAnsi="楷体" w:hint="eastAsia"/>
          <w:b/>
          <w:szCs w:val="21"/>
        </w:rPr>
        <w:t>1、</w:t>
      </w:r>
      <w:r w:rsidRPr="007B5169">
        <w:rPr>
          <w:rFonts w:ascii="楷体" w:eastAsia="楷体" w:hAnsi="楷体" w:hint="eastAsia"/>
          <w:b/>
          <w:szCs w:val="21"/>
        </w:rPr>
        <w:t>钢铁：</w:t>
      </w:r>
      <w:r w:rsidR="00C774E2">
        <w:rPr>
          <w:rFonts w:ascii="楷体" w:eastAsia="楷体" w:hAnsi="楷体" w:hint="eastAsia"/>
          <w:szCs w:val="21"/>
        </w:rPr>
        <w:t>我国</w:t>
      </w:r>
      <w:r w:rsidR="00C774E2" w:rsidRPr="00BA6241">
        <w:rPr>
          <w:rFonts w:ascii="楷体" w:eastAsia="楷体" w:hAnsi="楷体" w:hint="eastAsia"/>
          <w:szCs w:val="21"/>
        </w:rPr>
        <w:t>粗钢产能利用率仅为67.17%，产能</w:t>
      </w:r>
      <w:r w:rsidR="00C774E2">
        <w:rPr>
          <w:rFonts w:ascii="楷体" w:eastAsia="楷体" w:hAnsi="楷体" w:hint="eastAsia"/>
          <w:szCs w:val="21"/>
        </w:rPr>
        <w:t>仍</w:t>
      </w:r>
      <w:r w:rsidR="00C774E2" w:rsidRPr="00BA6241">
        <w:rPr>
          <w:rFonts w:ascii="楷体" w:eastAsia="楷体" w:hAnsi="楷体" w:hint="eastAsia"/>
          <w:szCs w:val="21"/>
        </w:rPr>
        <w:t>严重过剩</w:t>
      </w:r>
      <w:r w:rsidR="00C774E2">
        <w:rPr>
          <w:rFonts w:ascii="楷体" w:eastAsia="楷体" w:hAnsi="楷体" w:hint="eastAsia"/>
          <w:szCs w:val="21"/>
        </w:rPr>
        <w:t>。去产能受益的</w:t>
      </w:r>
      <w:r>
        <w:rPr>
          <w:rFonts w:ascii="楷体" w:eastAsia="楷体" w:hAnsi="楷体" w:hint="eastAsia"/>
          <w:szCs w:val="21"/>
        </w:rPr>
        <w:t>一是大型钢企</w:t>
      </w:r>
      <w:r w:rsidRPr="007B5169">
        <w:rPr>
          <w:rFonts w:ascii="楷体" w:eastAsia="楷体" w:hAnsi="楷体" w:hint="eastAsia"/>
          <w:szCs w:val="21"/>
        </w:rPr>
        <w:t>，特别在高端领域拥有竞争优势的龙头企业，例如宝钢股份，</w:t>
      </w:r>
      <w:proofErr w:type="gramStart"/>
      <w:r w:rsidRPr="007B5169">
        <w:rPr>
          <w:rFonts w:ascii="楷体" w:eastAsia="楷体" w:hAnsi="楷体" w:hint="eastAsia"/>
          <w:szCs w:val="21"/>
        </w:rPr>
        <w:t>河钢股份</w:t>
      </w:r>
      <w:proofErr w:type="gramEnd"/>
      <w:r w:rsidRPr="007B5169">
        <w:rPr>
          <w:rFonts w:ascii="楷体" w:eastAsia="楷体" w:hAnsi="楷体" w:hint="eastAsia"/>
          <w:szCs w:val="21"/>
        </w:rPr>
        <w:t>，武钢股份等。</w:t>
      </w:r>
      <w:r>
        <w:rPr>
          <w:rFonts w:ascii="楷体" w:eastAsia="楷体" w:hAnsi="楷体" w:hint="eastAsia"/>
          <w:szCs w:val="21"/>
        </w:rPr>
        <w:t>二是</w:t>
      </w:r>
      <w:r w:rsidRPr="007B5169">
        <w:rPr>
          <w:rFonts w:ascii="楷体" w:eastAsia="楷体" w:hAnsi="楷体" w:hint="eastAsia"/>
          <w:szCs w:val="21"/>
        </w:rPr>
        <w:t>需求转型的钢企及特钢企业</w:t>
      </w:r>
      <w:r>
        <w:rPr>
          <w:rFonts w:ascii="楷体" w:eastAsia="楷体" w:hAnsi="楷体" w:hint="eastAsia"/>
          <w:szCs w:val="21"/>
        </w:rPr>
        <w:t>。例如</w:t>
      </w:r>
      <w:r w:rsidRPr="007B5169">
        <w:rPr>
          <w:rFonts w:ascii="楷体" w:eastAsia="楷体" w:hAnsi="楷体" w:hint="eastAsia"/>
          <w:szCs w:val="21"/>
        </w:rPr>
        <w:t>久立</w:t>
      </w:r>
      <w:proofErr w:type="gramStart"/>
      <w:r w:rsidRPr="007B5169">
        <w:rPr>
          <w:rFonts w:ascii="楷体" w:eastAsia="楷体" w:hAnsi="楷体" w:hint="eastAsia"/>
          <w:szCs w:val="21"/>
        </w:rPr>
        <w:t>特</w:t>
      </w:r>
      <w:proofErr w:type="gramEnd"/>
      <w:r w:rsidRPr="007B5169">
        <w:rPr>
          <w:rFonts w:ascii="楷体" w:eastAsia="楷体" w:hAnsi="楷体" w:hint="eastAsia"/>
          <w:szCs w:val="21"/>
        </w:rPr>
        <w:t>材，抚顺特钢，太钢不锈等。</w:t>
      </w:r>
      <w:r>
        <w:rPr>
          <w:rFonts w:ascii="楷体" w:eastAsia="楷体" w:hAnsi="楷体" w:hint="eastAsia"/>
          <w:szCs w:val="21"/>
        </w:rPr>
        <w:t>三是</w:t>
      </w:r>
      <w:r w:rsidRPr="007B5169">
        <w:rPr>
          <w:rFonts w:ascii="楷体" w:eastAsia="楷体" w:hAnsi="楷体" w:hint="eastAsia"/>
          <w:szCs w:val="21"/>
        </w:rPr>
        <w:t>寻求转型的钢企：南钢股份，</w:t>
      </w:r>
      <w:proofErr w:type="gramStart"/>
      <w:r w:rsidRPr="007B5169">
        <w:rPr>
          <w:rFonts w:ascii="楷体" w:eastAsia="楷体" w:hAnsi="楷体" w:hint="eastAsia"/>
          <w:szCs w:val="21"/>
        </w:rPr>
        <w:t>酒钢宏兴</w:t>
      </w:r>
      <w:proofErr w:type="gramEnd"/>
      <w:r w:rsidRPr="007B5169">
        <w:rPr>
          <w:rFonts w:ascii="楷体" w:eastAsia="楷体" w:hAnsi="楷体" w:hint="eastAsia"/>
          <w:szCs w:val="21"/>
        </w:rPr>
        <w:t>，新日恒力</w:t>
      </w:r>
      <w:r>
        <w:rPr>
          <w:rFonts w:ascii="楷体" w:eastAsia="楷体" w:hAnsi="楷体" w:hint="eastAsia"/>
          <w:szCs w:val="21"/>
        </w:rPr>
        <w:t>。</w:t>
      </w:r>
      <w:r w:rsidRPr="007B5169">
        <w:rPr>
          <w:rFonts w:ascii="楷体" w:eastAsia="楷体" w:hAnsi="楷体" w:hint="eastAsia"/>
          <w:szCs w:val="21"/>
        </w:rPr>
        <w:t>风险压力大的企业：负债率高，流动性差，产品结构不佳，盈利能力弱的企业，例如八一钢铁，重庆钢铁，西宁特钢，</w:t>
      </w:r>
      <w:proofErr w:type="gramStart"/>
      <w:r w:rsidRPr="007B5169">
        <w:rPr>
          <w:rFonts w:ascii="楷体" w:eastAsia="楷体" w:hAnsi="楷体" w:hint="eastAsia"/>
          <w:szCs w:val="21"/>
        </w:rPr>
        <w:t>韶</w:t>
      </w:r>
      <w:proofErr w:type="gramEnd"/>
      <w:r w:rsidRPr="007B5169">
        <w:rPr>
          <w:rFonts w:ascii="楷体" w:eastAsia="楷体" w:hAnsi="楷体" w:hint="eastAsia"/>
          <w:szCs w:val="21"/>
        </w:rPr>
        <w:t>钢松山</w:t>
      </w:r>
      <w:r>
        <w:rPr>
          <w:rFonts w:ascii="楷体" w:eastAsia="楷体" w:hAnsi="楷体" w:hint="eastAsia"/>
          <w:szCs w:val="21"/>
        </w:rPr>
        <w:t>。</w:t>
      </w:r>
    </w:p>
    <w:p w:rsidR="005143F4" w:rsidRPr="00CD3660" w:rsidRDefault="007B5169" w:rsidP="005143F4">
      <w:pPr>
        <w:spacing w:line="360" w:lineRule="auto"/>
        <w:ind w:rightChars="1000" w:right="2100" w:firstLine="360"/>
        <w:rPr>
          <w:rFonts w:ascii="楷体" w:eastAsia="楷体" w:hAnsi="楷体"/>
          <w:szCs w:val="21"/>
        </w:rPr>
      </w:pPr>
      <w:r>
        <w:rPr>
          <w:rFonts w:ascii="楷体" w:eastAsia="楷体" w:hAnsi="楷体" w:hint="eastAsia"/>
          <w:b/>
          <w:szCs w:val="21"/>
        </w:rPr>
        <w:t>2、</w:t>
      </w:r>
      <w:r w:rsidRPr="007B5169">
        <w:rPr>
          <w:rFonts w:ascii="楷体" w:eastAsia="楷体" w:hAnsi="楷体" w:hint="eastAsia"/>
          <w:b/>
          <w:szCs w:val="21"/>
        </w:rPr>
        <w:t>煤炭：</w:t>
      </w:r>
      <w:r w:rsidR="005143F4" w:rsidRPr="00AB2FF0">
        <w:rPr>
          <w:rFonts w:ascii="楷体" w:eastAsia="楷体" w:hAnsi="楷体" w:hint="eastAsia"/>
          <w:szCs w:val="21"/>
        </w:rPr>
        <w:t>预计2015年供需差为4.2亿吨左右，</w:t>
      </w:r>
      <w:r w:rsidR="005143F4">
        <w:rPr>
          <w:rFonts w:ascii="楷体" w:eastAsia="楷体" w:hAnsi="楷体" w:hint="eastAsia"/>
          <w:szCs w:val="21"/>
        </w:rPr>
        <w:t>在</w:t>
      </w:r>
      <w:r w:rsidR="005143F4" w:rsidRPr="00AB2FF0">
        <w:rPr>
          <w:rFonts w:ascii="楷体" w:eastAsia="楷体" w:hAnsi="楷体" w:hint="eastAsia"/>
          <w:szCs w:val="21"/>
        </w:rPr>
        <w:t>维持社会库存不变的情况下，供需</w:t>
      </w:r>
      <w:proofErr w:type="gramStart"/>
      <w:r w:rsidR="005143F4" w:rsidRPr="00AB2FF0">
        <w:rPr>
          <w:rFonts w:ascii="楷体" w:eastAsia="楷体" w:hAnsi="楷体" w:hint="eastAsia"/>
          <w:szCs w:val="21"/>
        </w:rPr>
        <w:t>差未来</w:t>
      </w:r>
      <w:proofErr w:type="gramEnd"/>
      <w:r w:rsidR="005143F4" w:rsidRPr="00AB2FF0">
        <w:rPr>
          <w:rFonts w:ascii="楷体" w:eastAsia="楷体" w:hAnsi="楷体" w:hint="eastAsia"/>
          <w:szCs w:val="21"/>
        </w:rPr>
        <w:t>三年（2016年-2018年）将大幅收窄2.7亿吨至1.5</w:t>
      </w:r>
      <w:r w:rsidR="005143F4">
        <w:rPr>
          <w:rFonts w:ascii="楷体" w:eastAsia="楷体" w:hAnsi="楷体" w:hint="eastAsia"/>
          <w:szCs w:val="21"/>
        </w:rPr>
        <w:t>亿吨，市场供需格局有望得到重大改善</w:t>
      </w:r>
      <w:r w:rsidR="00D40536" w:rsidRPr="00D40536">
        <w:rPr>
          <w:rFonts w:ascii="楷体" w:eastAsia="楷体" w:hAnsi="楷体" w:hint="eastAsia"/>
          <w:szCs w:val="21"/>
        </w:rPr>
        <w:t>。</w:t>
      </w:r>
      <w:r w:rsidR="005143F4" w:rsidRPr="00CD3660">
        <w:rPr>
          <w:rFonts w:ascii="楷体" w:eastAsia="楷体" w:hAnsi="楷体" w:hint="eastAsia"/>
          <w:szCs w:val="21"/>
        </w:rPr>
        <w:t>维持三条投资主线：（1）低估值蓝筹+供给侧改革：中国神华、中煤能源、陕西煤业、</w:t>
      </w:r>
      <w:r w:rsidR="005143F4" w:rsidRPr="005143F4">
        <w:rPr>
          <w:rFonts w:ascii="楷体" w:eastAsia="楷体" w:hAnsi="楷体" w:hint="eastAsia"/>
          <w:szCs w:val="21"/>
        </w:rPr>
        <w:t>西山煤电、</w:t>
      </w:r>
      <w:r w:rsidR="005143F4" w:rsidRPr="00CD3660">
        <w:rPr>
          <w:rFonts w:ascii="楷体" w:eastAsia="楷体" w:hAnsi="楷体" w:hint="eastAsia"/>
          <w:szCs w:val="21"/>
        </w:rPr>
        <w:t>阳泉煤业、</w:t>
      </w:r>
      <w:proofErr w:type="gramStart"/>
      <w:r w:rsidR="005143F4" w:rsidRPr="00CD3660">
        <w:rPr>
          <w:rFonts w:ascii="楷体" w:eastAsia="楷体" w:hAnsi="楷体" w:hint="eastAsia"/>
          <w:szCs w:val="21"/>
        </w:rPr>
        <w:t>潞</w:t>
      </w:r>
      <w:proofErr w:type="gramEnd"/>
      <w:r w:rsidR="005143F4" w:rsidRPr="00CD3660">
        <w:rPr>
          <w:rFonts w:ascii="楷体" w:eastAsia="楷体" w:hAnsi="楷体" w:hint="eastAsia"/>
          <w:szCs w:val="21"/>
        </w:rPr>
        <w:t>安环能；（2）转型+主题：</w:t>
      </w:r>
      <w:proofErr w:type="gramStart"/>
      <w:r w:rsidR="005143F4" w:rsidRPr="00CD3660">
        <w:rPr>
          <w:rFonts w:ascii="楷体" w:eastAsia="楷体" w:hAnsi="楷体" w:hint="eastAsia"/>
          <w:szCs w:val="21"/>
        </w:rPr>
        <w:t>瑞茂通</w:t>
      </w:r>
      <w:proofErr w:type="gramEnd"/>
      <w:r w:rsidR="005143F4" w:rsidRPr="00CD3660">
        <w:rPr>
          <w:rFonts w:ascii="楷体" w:eastAsia="楷体" w:hAnsi="楷体" w:hint="eastAsia"/>
          <w:szCs w:val="21"/>
        </w:rPr>
        <w:t>、禾嘉股份、新奥股份；（3）煤炭清洁利用：亿能洁能。</w:t>
      </w:r>
      <w:r w:rsidR="005143F4">
        <w:rPr>
          <w:rFonts w:ascii="楷体" w:eastAsia="楷体" w:hAnsi="楷体" w:hint="eastAsia"/>
          <w:szCs w:val="21"/>
        </w:rPr>
        <w:t>短期来看，重点产煤区域的龙头企业最为</w:t>
      </w:r>
      <w:r w:rsidR="005143F4" w:rsidRPr="005143F4">
        <w:rPr>
          <w:rFonts w:ascii="楷体" w:eastAsia="楷体" w:hAnsi="楷体" w:hint="eastAsia"/>
          <w:szCs w:val="21"/>
        </w:rPr>
        <w:t>受益。</w:t>
      </w:r>
    </w:p>
    <w:p w:rsidR="007B5169" w:rsidRPr="005143F4" w:rsidRDefault="007B5169" w:rsidP="005143F4">
      <w:pPr>
        <w:spacing w:line="360" w:lineRule="auto"/>
        <w:ind w:rightChars="1000" w:right="2100" w:firstLineChars="200" w:firstLine="420"/>
        <w:rPr>
          <w:rFonts w:ascii="楷体" w:eastAsia="楷体" w:hAnsi="楷体"/>
          <w:szCs w:val="21"/>
        </w:rPr>
      </w:pPr>
    </w:p>
    <w:p w:rsidR="007B5169" w:rsidRDefault="007B5169" w:rsidP="001E07DA">
      <w:pPr>
        <w:spacing w:line="360" w:lineRule="auto"/>
        <w:ind w:rightChars="1000" w:right="2100" w:firstLineChars="200" w:firstLine="422"/>
        <w:rPr>
          <w:rFonts w:ascii="楷体" w:eastAsia="楷体" w:hAnsi="楷体"/>
          <w:szCs w:val="21"/>
        </w:rPr>
      </w:pPr>
      <w:r w:rsidRPr="001E07DA">
        <w:rPr>
          <w:rFonts w:ascii="楷体" w:eastAsia="楷体" w:hAnsi="楷体" w:hint="eastAsia"/>
          <w:b/>
          <w:szCs w:val="21"/>
        </w:rPr>
        <w:lastRenderedPageBreak/>
        <w:t>3、化工：</w:t>
      </w:r>
      <w:r w:rsidR="001E07DA">
        <w:rPr>
          <w:rFonts w:ascii="楷体" w:eastAsia="楷体" w:hAnsi="楷体" w:hint="eastAsia"/>
          <w:szCs w:val="21"/>
        </w:rPr>
        <w:t>（1）</w:t>
      </w:r>
      <w:r w:rsidRPr="007B5169">
        <w:rPr>
          <w:rFonts w:ascii="楷体" w:eastAsia="楷体" w:hAnsi="楷体" w:hint="eastAsia"/>
          <w:szCs w:val="21"/>
        </w:rPr>
        <w:t>钛白粉行业有望逐步回暖，全年涨价或超预期。推荐顺序：佰利联、安纳达、中核钛白。</w:t>
      </w:r>
      <w:r w:rsidR="001E07DA">
        <w:rPr>
          <w:rFonts w:ascii="楷体" w:eastAsia="楷体" w:hAnsi="楷体" w:hint="eastAsia"/>
          <w:szCs w:val="21"/>
        </w:rPr>
        <w:t>（2）PTA行业集中度高，反弹基础好。</w:t>
      </w:r>
      <w:r w:rsidR="001E07DA" w:rsidRPr="001E07DA">
        <w:rPr>
          <w:rFonts w:ascii="楷体" w:eastAsia="楷体" w:hAnsi="楷体" w:hint="eastAsia"/>
          <w:szCs w:val="21"/>
        </w:rPr>
        <w:t>推荐顺序：</w:t>
      </w:r>
      <w:proofErr w:type="gramStart"/>
      <w:r w:rsidR="001E07DA" w:rsidRPr="001E07DA">
        <w:rPr>
          <w:rFonts w:ascii="楷体" w:eastAsia="楷体" w:hAnsi="楷体" w:hint="eastAsia"/>
          <w:szCs w:val="21"/>
        </w:rPr>
        <w:t>恒逸石化</w:t>
      </w:r>
      <w:proofErr w:type="gramEnd"/>
      <w:r w:rsidR="001E07DA" w:rsidRPr="001E07DA">
        <w:rPr>
          <w:rFonts w:ascii="楷体" w:eastAsia="楷体" w:hAnsi="楷体" w:hint="eastAsia"/>
          <w:szCs w:val="21"/>
        </w:rPr>
        <w:t>、荣盛石化、</w:t>
      </w:r>
      <w:proofErr w:type="gramStart"/>
      <w:r w:rsidR="001E07DA" w:rsidRPr="001E07DA">
        <w:rPr>
          <w:rFonts w:ascii="楷体" w:eastAsia="楷体" w:hAnsi="楷体" w:hint="eastAsia"/>
          <w:szCs w:val="21"/>
        </w:rPr>
        <w:t>桐昆股份</w:t>
      </w:r>
      <w:proofErr w:type="gramEnd"/>
      <w:r w:rsidR="001E07DA" w:rsidRPr="001E07DA">
        <w:rPr>
          <w:rFonts w:ascii="楷体" w:eastAsia="楷体" w:hAnsi="楷体" w:hint="eastAsia"/>
          <w:szCs w:val="21"/>
        </w:rPr>
        <w:t>。</w:t>
      </w:r>
      <w:r w:rsidR="001E07DA">
        <w:rPr>
          <w:rFonts w:ascii="楷体" w:eastAsia="楷体" w:hAnsi="楷体" w:hint="eastAsia"/>
          <w:szCs w:val="21"/>
        </w:rPr>
        <w:t>(3)</w:t>
      </w:r>
      <w:r w:rsidR="001E07DA" w:rsidRPr="001E07DA">
        <w:rPr>
          <w:rFonts w:hint="eastAsia"/>
        </w:rPr>
        <w:t xml:space="preserve"> </w:t>
      </w:r>
      <w:r w:rsidR="001E07DA" w:rsidRPr="001E07DA">
        <w:rPr>
          <w:rFonts w:ascii="楷体" w:eastAsia="楷体" w:hAnsi="楷体" w:hint="eastAsia"/>
          <w:szCs w:val="21"/>
        </w:rPr>
        <w:t>纯碱行业开工率高，产能收缩，价格有望继续上涨</w:t>
      </w:r>
      <w:r w:rsidR="001E07DA">
        <w:rPr>
          <w:rFonts w:ascii="楷体" w:eastAsia="楷体" w:hAnsi="楷体" w:hint="eastAsia"/>
          <w:szCs w:val="21"/>
        </w:rPr>
        <w:t>。</w:t>
      </w:r>
      <w:r w:rsidR="001E07DA" w:rsidRPr="001E07DA">
        <w:rPr>
          <w:rFonts w:ascii="楷体" w:eastAsia="楷体" w:hAnsi="楷体" w:hint="eastAsia"/>
          <w:szCs w:val="21"/>
        </w:rPr>
        <w:t>推荐顺序：山东海化、三友化工、双环科技、湖北宜化。</w:t>
      </w:r>
      <w:r w:rsidR="001E07DA">
        <w:rPr>
          <w:rFonts w:ascii="楷体" w:eastAsia="楷体" w:hAnsi="楷体" w:hint="eastAsia"/>
          <w:szCs w:val="21"/>
        </w:rPr>
        <w:t>（4）</w:t>
      </w:r>
      <w:r w:rsidR="001E07DA" w:rsidRPr="001E07DA">
        <w:rPr>
          <w:rFonts w:ascii="楷体" w:eastAsia="楷体" w:hAnsi="楷体" w:hint="eastAsia"/>
          <w:szCs w:val="21"/>
        </w:rPr>
        <w:t>PVC价格处于历史大底，无电石电力配套产能将退出</w:t>
      </w:r>
      <w:r w:rsidR="001E07DA">
        <w:rPr>
          <w:rFonts w:ascii="楷体" w:eastAsia="楷体" w:hAnsi="楷体" w:hint="eastAsia"/>
          <w:szCs w:val="21"/>
        </w:rPr>
        <w:t>。</w:t>
      </w:r>
      <w:r w:rsidR="001E07DA" w:rsidRPr="001E07DA">
        <w:rPr>
          <w:rFonts w:ascii="楷体" w:eastAsia="楷体" w:hAnsi="楷体" w:hint="eastAsia"/>
          <w:szCs w:val="21"/>
        </w:rPr>
        <w:t>推荐顺序：中泰化学、英力特、鸿达兴业、君正集团。</w:t>
      </w:r>
      <w:r w:rsidR="001E07DA">
        <w:rPr>
          <w:rFonts w:ascii="楷体" w:eastAsia="楷体" w:hAnsi="楷体" w:hint="eastAsia"/>
          <w:szCs w:val="21"/>
        </w:rPr>
        <w:t>（5）</w:t>
      </w:r>
      <w:r w:rsidR="001E07DA" w:rsidRPr="001E07DA">
        <w:rPr>
          <w:rFonts w:ascii="楷体" w:eastAsia="楷体" w:hAnsi="楷体" w:hint="eastAsia"/>
          <w:szCs w:val="21"/>
        </w:rPr>
        <w:t>橡胶正在酝酿新一轮大周期</w:t>
      </w:r>
      <w:r w:rsidR="001E07DA">
        <w:rPr>
          <w:rFonts w:ascii="楷体" w:eastAsia="楷体" w:hAnsi="楷体" w:hint="eastAsia"/>
          <w:szCs w:val="21"/>
        </w:rPr>
        <w:t>。</w:t>
      </w:r>
      <w:r w:rsidR="001E07DA" w:rsidRPr="001E07DA">
        <w:rPr>
          <w:rFonts w:ascii="楷体" w:eastAsia="楷体" w:hAnsi="楷体" w:hint="eastAsia"/>
          <w:szCs w:val="21"/>
        </w:rPr>
        <w:t>推荐顺序：齐翔腾达、海南橡胶。</w:t>
      </w:r>
    </w:p>
    <w:p w:rsidR="001B4031" w:rsidRDefault="001B4031" w:rsidP="00C774E2">
      <w:pPr>
        <w:spacing w:line="360" w:lineRule="auto"/>
        <w:ind w:rightChars="1000" w:right="2100" w:firstLineChars="200" w:firstLine="422"/>
        <w:rPr>
          <w:rFonts w:ascii="楷体" w:eastAsia="楷体" w:hAnsi="楷体"/>
          <w:szCs w:val="21"/>
        </w:rPr>
      </w:pPr>
      <w:r w:rsidRPr="00C774E2">
        <w:rPr>
          <w:rFonts w:ascii="楷体" w:eastAsia="楷体" w:hAnsi="楷体" w:hint="eastAsia"/>
          <w:b/>
          <w:szCs w:val="21"/>
        </w:rPr>
        <w:t>4、</w:t>
      </w:r>
      <w:r w:rsidR="00C774E2" w:rsidRPr="00C774E2">
        <w:rPr>
          <w:rFonts w:ascii="楷体" w:eastAsia="楷体" w:hAnsi="楷体" w:hint="eastAsia"/>
          <w:b/>
          <w:szCs w:val="21"/>
        </w:rPr>
        <w:t>建材</w:t>
      </w:r>
      <w:r>
        <w:rPr>
          <w:rFonts w:ascii="楷体" w:eastAsia="楷体" w:hAnsi="楷体" w:hint="eastAsia"/>
          <w:szCs w:val="21"/>
        </w:rPr>
        <w:t>：</w:t>
      </w:r>
      <w:r w:rsidR="00C774E2" w:rsidRPr="002148DB">
        <w:rPr>
          <w:rFonts w:ascii="楷体_GB2312" w:hint="eastAsia"/>
        </w:rPr>
        <w:t>2015年水泥行业去产能仍未开始。</w:t>
      </w:r>
      <w:r w:rsidR="00DB3F25" w:rsidRPr="00DB3F25">
        <w:rPr>
          <w:rFonts w:ascii="楷体_GB2312" w:hint="eastAsia"/>
        </w:rPr>
        <w:t>2015年水泥熟料产能约为18.1亿吨，同比2014年增加2.2%</w:t>
      </w:r>
      <w:r w:rsidR="00DB3F25">
        <w:rPr>
          <w:rFonts w:ascii="楷体_GB2312" w:hint="eastAsia"/>
        </w:rPr>
        <w:t>，仅仅是</w:t>
      </w:r>
      <w:r w:rsidR="00DB3F25" w:rsidRPr="00DB3F25">
        <w:rPr>
          <w:rFonts w:ascii="楷体_GB2312" w:hint="eastAsia"/>
        </w:rPr>
        <w:t>增长速度放缓。然而，在水泥需求快速下降的压力下，</w:t>
      </w:r>
      <w:proofErr w:type="gramStart"/>
      <w:r w:rsidR="00DB3F25" w:rsidRPr="00DB3F25">
        <w:rPr>
          <w:rFonts w:ascii="楷体_GB2312" w:hint="eastAsia"/>
        </w:rPr>
        <w:t>据数字水泥网数据</w:t>
      </w:r>
      <w:proofErr w:type="gramEnd"/>
      <w:r w:rsidR="00DB3F25" w:rsidRPr="00DB3F25">
        <w:rPr>
          <w:rFonts w:ascii="楷体_GB2312" w:hint="eastAsia"/>
        </w:rPr>
        <w:t>统计，2015年全国熟料产能利用率仅约为67%，同比2014年下降5%，熟料产能过剩进一步加剧，供需矛盾更加恶化。</w:t>
      </w:r>
    </w:p>
    <w:p w:rsidR="001B4031" w:rsidRPr="001E07DA" w:rsidRDefault="001B4031" w:rsidP="00C774E2">
      <w:pPr>
        <w:spacing w:line="360" w:lineRule="auto"/>
        <w:ind w:rightChars="1000" w:right="2100" w:firstLineChars="200" w:firstLine="422"/>
        <w:rPr>
          <w:rFonts w:ascii="楷体" w:eastAsia="楷体" w:hAnsi="楷体"/>
          <w:szCs w:val="21"/>
        </w:rPr>
      </w:pPr>
      <w:r w:rsidRPr="00C774E2">
        <w:rPr>
          <w:rFonts w:ascii="楷体" w:eastAsia="楷体" w:hAnsi="楷体" w:hint="eastAsia"/>
          <w:b/>
          <w:szCs w:val="21"/>
        </w:rPr>
        <w:t>5、</w:t>
      </w:r>
      <w:r w:rsidR="00C774E2" w:rsidRPr="00C774E2">
        <w:rPr>
          <w:rFonts w:ascii="楷体" w:eastAsia="楷体" w:hAnsi="楷体" w:hint="eastAsia"/>
          <w:b/>
          <w:szCs w:val="21"/>
        </w:rPr>
        <w:t>电解铝</w:t>
      </w:r>
      <w:r w:rsidR="00C774E2">
        <w:rPr>
          <w:rFonts w:ascii="楷体" w:eastAsia="楷体" w:hAnsi="楷体" w:hint="eastAsia"/>
          <w:szCs w:val="21"/>
        </w:rPr>
        <w:t>：</w:t>
      </w:r>
      <w:r w:rsidR="005143F4" w:rsidRPr="005143F4">
        <w:rPr>
          <w:rFonts w:ascii="楷体" w:eastAsia="楷体" w:hAnsi="楷体" w:hint="eastAsia"/>
          <w:szCs w:val="21"/>
        </w:rPr>
        <w:t>在产能出清的过程中，龙头企业将受益于产品价格提升和市场份额扩大，例如中国铝业、神火股份、中孚实业、云铝股份、焦作万方、新疆众和，其中业绩弹性最大的标的为云铝股份。此外，电解铝价格上升将提升存货价值，有利于减轻高存货企业的压力，例如中国铝业</w:t>
      </w:r>
      <w:r w:rsidR="005143F4">
        <w:rPr>
          <w:rFonts w:ascii="楷体" w:eastAsia="楷体" w:hAnsi="楷体" w:hint="eastAsia"/>
          <w:szCs w:val="21"/>
        </w:rPr>
        <w:t>。</w:t>
      </w:r>
    </w:p>
    <w:p w:rsidR="007B5169" w:rsidRPr="007B5169" w:rsidRDefault="007B5169" w:rsidP="007B5169">
      <w:pPr>
        <w:spacing w:line="360" w:lineRule="auto"/>
        <w:ind w:rightChars="1000" w:right="2100" w:firstLineChars="200" w:firstLine="420"/>
        <w:rPr>
          <w:rFonts w:ascii="楷体" w:eastAsia="楷体" w:hAnsi="楷体"/>
          <w:szCs w:val="21"/>
        </w:rPr>
      </w:pPr>
    </w:p>
    <w:p w:rsidR="00621EA3" w:rsidRPr="00824BF3" w:rsidRDefault="00621EA3" w:rsidP="00B67BE7">
      <w:pPr>
        <w:spacing w:line="360" w:lineRule="auto"/>
        <w:ind w:rightChars="1000" w:right="2100"/>
        <w:rPr>
          <w:rFonts w:ascii="楷体" w:eastAsia="楷体" w:hAnsi="楷体"/>
          <w:szCs w:val="21"/>
        </w:rPr>
      </w:pPr>
    </w:p>
    <w:p w:rsidR="002667D1" w:rsidRDefault="00494722" w:rsidP="0096157D">
      <w:pPr>
        <w:spacing w:line="360" w:lineRule="auto"/>
        <w:ind w:rightChars="1000" w:right="2100"/>
        <w:rPr>
          <w:rFonts w:ascii="楷体" w:eastAsia="楷体" w:hAnsi="楷体"/>
          <w:b/>
          <w:color w:val="0070C0"/>
          <w:sz w:val="24"/>
          <w:szCs w:val="21"/>
        </w:rPr>
      </w:pPr>
      <w:r>
        <w:rPr>
          <w:rFonts w:ascii="楷体" w:eastAsia="楷体" w:hAnsi="楷体" w:hint="eastAsia"/>
          <w:b/>
          <w:color w:val="0070C0"/>
          <w:sz w:val="24"/>
          <w:szCs w:val="21"/>
        </w:rPr>
        <w:t>【正文】</w:t>
      </w:r>
    </w:p>
    <w:p w:rsidR="00162D20" w:rsidRPr="00494722" w:rsidRDefault="00B67BE7" w:rsidP="00B67BE7">
      <w:pPr>
        <w:spacing w:line="360" w:lineRule="auto"/>
        <w:ind w:rightChars="1000" w:right="2100"/>
        <w:rPr>
          <w:rFonts w:ascii="楷体" w:eastAsia="楷体" w:hAnsi="楷体"/>
          <w:b/>
          <w:color w:val="0070C0"/>
          <w:sz w:val="24"/>
          <w:szCs w:val="21"/>
        </w:rPr>
      </w:pPr>
      <w:r w:rsidRPr="00B67BE7">
        <w:rPr>
          <w:rFonts w:ascii="楷体" w:eastAsia="楷体" w:hAnsi="楷体" w:hint="eastAsia"/>
          <w:b/>
          <w:color w:val="0070C0"/>
          <w:sz w:val="24"/>
          <w:szCs w:val="21"/>
        </w:rPr>
        <w:t>一、去产能的宿命：2016年中国经济第一要务</w:t>
      </w:r>
    </w:p>
    <w:p w:rsidR="00B67BE7" w:rsidRPr="00B67BE7" w:rsidRDefault="00B67BE7" w:rsidP="00F12868">
      <w:pPr>
        <w:spacing w:line="360" w:lineRule="auto"/>
        <w:ind w:rightChars="1000" w:right="2100" w:firstLine="420"/>
        <w:rPr>
          <w:rFonts w:ascii="楷体" w:eastAsia="楷体" w:hAnsi="楷体"/>
          <w:szCs w:val="21"/>
        </w:rPr>
      </w:pPr>
      <w:r w:rsidRPr="00B67BE7">
        <w:rPr>
          <w:rFonts w:ascii="楷体" w:eastAsia="楷体" w:hAnsi="楷体" w:hint="eastAsia"/>
          <w:szCs w:val="21"/>
        </w:rPr>
        <w:t>2016年是真正意义的去产能元年。堆下的库存早晚要卖，欠下的债务早晚要还，过剩的产能也早晚要去，这是任何一个经济体逃不掉的宿命。而从逻辑上讲，去产能是去库存和去杠杆的基础，只有完成了去产能，一个经济体才可能真正走出危机，中国也不例外。</w:t>
      </w:r>
    </w:p>
    <w:p w:rsidR="00B67BE7" w:rsidRPr="00B67BE7" w:rsidRDefault="00B67BE7" w:rsidP="00B67BE7">
      <w:pPr>
        <w:spacing w:line="360" w:lineRule="auto"/>
        <w:ind w:rightChars="1000" w:right="2100"/>
        <w:rPr>
          <w:rFonts w:ascii="楷体" w:eastAsia="楷体" w:hAnsi="楷体"/>
          <w:szCs w:val="21"/>
        </w:rPr>
      </w:pPr>
    </w:p>
    <w:p w:rsidR="00B67BE7" w:rsidRPr="00B67BE7" w:rsidRDefault="00B67BE7" w:rsidP="00F12868">
      <w:pPr>
        <w:spacing w:line="360" w:lineRule="auto"/>
        <w:ind w:rightChars="1000" w:right="2100" w:firstLine="420"/>
        <w:rPr>
          <w:rFonts w:ascii="楷体" w:eastAsia="楷体" w:hAnsi="楷体"/>
          <w:szCs w:val="21"/>
        </w:rPr>
      </w:pPr>
      <w:r w:rsidRPr="00B67BE7">
        <w:rPr>
          <w:rFonts w:ascii="楷体" w:eastAsia="楷体" w:hAnsi="楷体" w:hint="eastAsia"/>
          <w:szCs w:val="21"/>
        </w:rPr>
        <w:t>2008年百年一遇的金融危机之后，我们一直没有履行这个宿命。2009年4</w:t>
      </w:r>
      <w:proofErr w:type="gramStart"/>
      <w:r w:rsidRPr="00B67BE7">
        <w:rPr>
          <w:rFonts w:ascii="楷体" w:eastAsia="楷体" w:hAnsi="楷体" w:hint="eastAsia"/>
          <w:szCs w:val="21"/>
        </w:rPr>
        <w:t>万亿</w:t>
      </w:r>
      <w:proofErr w:type="gramEnd"/>
      <w:r w:rsidRPr="00B67BE7">
        <w:rPr>
          <w:rFonts w:ascii="楷体" w:eastAsia="楷体" w:hAnsi="楷体" w:hint="eastAsia"/>
          <w:szCs w:val="21"/>
        </w:rPr>
        <w:t>大刺激，2010年昙花一现，2011年内外交困，2012年重启中级刺激，2013年陷入类滞胀，2014年陷入衰退式宽松，2015年货币加码刺激。危机后的七年里，我们在需求端想尽了办法，经济却依然拾级而下。2016年，中央真正开始改变思路，从需求</w:t>
      </w:r>
      <w:proofErr w:type="gramStart"/>
      <w:r w:rsidRPr="00B67BE7">
        <w:rPr>
          <w:rFonts w:ascii="楷体" w:eastAsia="楷体" w:hAnsi="楷体" w:hint="eastAsia"/>
          <w:szCs w:val="21"/>
        </w:rPr>
        <w:t>侧走向</w:t>
      </w:r>
      <w:proofErr w:type="gramEnd"/>
      <w:r w:rsidRPr="00B67BE7">
        <w:rPr>
          <w:rFonts w:ascii="楷体" w:eastAsia="楷体" w:hAnsi="楷体" w:hint="eastAsia"/>
          <w:szCs w:val="21"/>
        </w:rPr>
        <w:t>供给侧，</w:t>
      </w:r>
      <w:proofErr w:type="gramStart"/>
      <w:r w:rsidRPr="00B67BE7">
        <w:rPr>
          <w:rFonts w:ascii="楷体" w:eastAsia="楷体" w:hAnsi="楷体" w:hint="eastAsia"/>
          <w:szCs w:val="21"/>
        </w:rPr>
        <w:t>从扩需求</w:t>
      </w:r>
      <w:proofErr w:type="gramEnd"/>
      <w:r w:rsidRPr="00B67BE7">
        <w:rPr>
          <w:rFonts w:ascii="楷体" w:eastAsia="楷体" w:hAnsi="楷体" w:hint="eastAsia"/>
          <w:szCs w:val="21"/>
        </w:rPr>
        <w:t>到去产能。</w:t>
      </w:r>
    </w:p>
    <w:p w:rsidR="00B67BE7" w:rsidRPr="00B67BE7" w:rsidRDefault="00B67BE7" w:rsidP="00B67BE7">
      <w:pPr>
        <w:spacing w:line="360" w:lineRule="auto"/>
        <w:ind w:rightChars="1000" w:right="2100"/>
        <w:rPr>
          <w:rFonts w:ascii="楷体" w:eastAsia="楷体" w:hAnsi="楷体"/>
          <w:szCs w:val="21"/>
        </w:rPr>
      </w:pPr>
    </w:p>
    <w:p w:rsidR="00B67BE7" w:rsidRPr="00B67BE7" w:rsidRDefault="00B67BE7" w:rsidP="00F12868">
      <w:pPr>
        <w:spacing w:line="360" w:lineRule="auto"/>
        <w:ind w:rightChars="1000" w:right="2100" w:firstLine="420"/>
        <w:rPr>
          <w:rFonts w:ascii="楷体" w:eastAsia="楷体" w:hAnsi="楷体"/>
          <w:szCs w:val="21"/>
        </w:rPr>
      </w:pPr>
      <w:r w:rsidRPr="00B67BE7">
        <w:rPr>
          <w:rFonts w:ascii="楷体" w:eastAsia="楷体" w:hAnsi="楷体" w:hint="eastAsia"/>
          <w:szCs w:val="21"/>
        </w:rPr>
        <w:t>去产能有两种方式，一种是把需求拉起来，另一种是把供给压下去。90年代去产能是双管齐下，先是朱镕基总理铁腕压供给，然后是全球化红利（2001年入世）和房地产红利（2003年将房地产定位支柱产业）拉需求，随后才有了中国奇迹。但现在呢？</w:t>
      </w:r>
      <w:proofErr w:type="gramStart"/>
      <w:r w:rsidRPr="00B67BE7">
        <w:rPr>
          <w:rFonts w:ascii="楷体" w:eastAsia="楷体" w:hAnsi="楷体" w:hint="eastAsia"/>
          <w:szCs w:val="21"/>
        </w:rPr>
        <w:t>拉需求</w:t>
      </w:r>
      <w:proofErr w:type="gramEnd"/>
      <w:r w:rsidRPr="00B67BE7">
        <w:rPr>
          <w:rFonts w:ascii="楷体" w:eastAsia="楷体" w:hAnsi="楷体" w:hint="eastAsia"/>
          <w:szCs w:val="21"/>
        </w:rPr>
        <w:t>的方法显然已经行不通了。</w:t>
      </w:r>
    </w:p>
    <w:p w:rsidR="00B67BE7" w:rsidRPr="00B67BE7" w:rsidRDefault="00B67BE7" w:rsidP="00B67BE7">
      <w:pPr>
        <w:spacing w:line="360" w:lineRule="auto"/>
        <w:ind w:rightChars="1000" w:right="2100"/>
        <w:rPr>
          <w:rFonts w:ascii="楷体" w:eastAsia="楷体" w:hAnsi="楷体"/>
          <w:szCs w:val="21"/>
        </w:rPr>
      </w:pPr>
    </w:p>
    <w:p w:rsidR="00B67BE7" w:rsidRPr="00B67BE7" w:rsidRDefault="00B67BE7" w:rsidP="00F12868">
      <w:pPr>
        <w:spacing w:line="360" w:lineRule="auto"/>
        <w:ind w:rightChars="1000" w:right="2100" w:firstLine="420"/>
        <w:rPr>
          <w:rFonts w:ascii="楷体" w:eastAsia="楷体" w:hAnsi="楷体"/>
          <w:szCs w:val="21"/>
        </w:rPr>
      </w:pPr>
      <w:r w:rsidRPr="00B67BE7">
        <w:rPr>
          <w:rFonts w:ascii="楷体" w:eastAsia="楷体" w:hAnsi="楷体" w:hint="eastAsia"/>
          <w:szCs w:val="21"/>
        </w:rPr>
        <w:lastRenderedPageBreak/>
        <w:t>（1）全球化红利变成了全球再平衡的压力，不光没有加入WTO这样的飞跃，还充斥着TPP和TTIP的压力，再加上劳动力比较优势的丧失，出口已经不可能解决过剩产能；</w:t>
      </w:r>
    </w:p>
    <w:p w:rsidR="00B67BE7" w:rsidRPr="00B67BE7" w:rsidRDefault="00B67BE7" w:rsidP="00F12868">
      <w:pPr>
        <w:spacing w:line="360" w:lineRule="auto"/>
        <w:ind w:rightChars="1000" w:right="2100" w:firstLine="420"/>
        <w:rPr>
          <w:rFonts w:ascii="楷体" w:eastAsia="楷体" w:hAnsi="楷体"/>
          <w:szCs w:val="21"/>
        </w:rPr>
      </w:pPr>
      <w:r w:rsidRPr="00B67BE7">
        <w:rPr>
          <w:rFonts w:ascii="楷体" w:eastAsia="楷体" w:hAnsi="楷体" w:hint="eastAsia"/>
          <w:szCs w:val="21"/>
        </w:rPr>
        <w:t>（2）房地产红利变成了痛苦的去库存，过去十多年全国累计新开工174亿平米，而销售只有117亿平米，其中还有相当一部分是二手房（保守估算有30%左右），供给与销售之间的差额达到惊人的90亿平米。更可怕的是，2014的新开工面积（14亿平米）依然大于销售面积（13亿平米），假设明年新开工继续下滑10%，销售持平，那从2016才可能正式开始去库存，而如果新开工和销售按此增速持续下去，那么库存也需要5-10年来消化。</w:t>
      </w:r>
    </w:p>
    <w:p w:rsidR="00B67BE7" w:rsidRDefault="00B67BE7" w:rsidP="00F12868">
      <w:pPr>
        <w:spacing w:line="360" w:lineRule="auto"/>
        <w:ind w:rightChars="1000" w:right="2100" w:firstLine="420"/>
        <w:rPr>
          <w:rFonts w:ascii="楷体" w:eastAsia="楷体" w:hAnsi="楷体"/>
          <w:szCs w:val="21"/>
        </w:rPr>
      </w:pPr>
      <w:r w:rsidRPr="00B67BE7">
        <w:rPr>
          <w:rFonts w:ascii="楷体" w:eastAsia="楷体" w:hAnsi="楷体" w:hint="eastAsia"/>
          <w:szCs w:val="21"/>
        </w:rPr>
        <w:t>（3）创新转型能激发新需求，但对</w:t>
      </w:r>
      <w:proofErr w:type="gramStart"/>
      <w:r w:rsidRPr="00B67BE7">
        <w:rPr>
          <w:rFonts w:ascii="楷体" w:eastAsia="楷体" w:hAnsi="楷体" w:hint="eastAsia"/>
          <w:szCs w:val="21"/>
        </w:rPr>
        <w:t>旧需求</w:t>
      </w:r>
      <w:proofErr w:type="gramEnd"/>
      <w:r w:rsidRPr="00B67BE7">
        <w:rPr>
          <w:rFonts w:ascii="楷体" w:eastAsia="楷体" w:hAnsi="楷体" w:hint="eastAsia"/>
          <w:szCs w:val="21"/>
        </w:rPr>
        <w:t>作用甚微。创新转型指向的是新兴服务业和高端制造业，虽然有利于扩大总需求，但并不会带来太多的重化工业、建筑业等传统需求。比如，100块钱的建筑业GDP可能产生50块钱的钢铁需求，而100块服务业GDP可能只产生1块钱的钢铁需求。</w:t>
      </w:r>
    </w:p>
    <w:p w:rsidR="00B67BE7" w:rsidRPr="00B67BE7" w:rsidRDefault="00B67BE7" w:rsidP="00B67BE7">
      <w:pPr>
        <w:spacing w:line="360" w:lineRule="auto"/>
        <w:ind w:rightChars="1000" w:right="2100"/>
        <w:rPr>
          <w:rFonts w:ascii="楷体" w:eastAsia="楷体" w:hAnsi="楷体"/>
          <w:szCs w:val="21"/>
        </w:rPr>
      </w:pPr>
    </w:p>
    <w:p w:rsidR="00B67BE7" w:rsidRDefault="00B67BE7" w:rsidP="00F12868">
      <w:pPr>
        <w:spacing w:line="360" w:lineRule="auto"/>
        <w:ind w:rightChars="1000" w:right="2100" w:firstLine="420"/>
        <w:rPr>
          <w:rFonts w:ascii="楷体" w:eastAsia="楷体" w:hAnsi="楷体"/>
          <w:szCs w:val="21"/>
        </w:rPr>
      </w:pPr>
      <w:r w:rsidRPr="00B67BE7">
        <w:rPr>
          <w:rFonts w:ascii="楷体" w:eastAsia="楷体" w:hAnsi="楷体" w:hint="eastAsia"/>
          <w:b/>
          <w:szCs w:val="21"/>
        </w:rPr>
        <w:t>由此可以得出一个结论：未来化解产能过剩只有从供给端压缩产能这一条路。</w:t>
      </w:r>
      <w:r w:rsidRPr="00B67BE7">
        <w:rPr>
          <w:rFonts w:ascii="楷体" w:eastAsia="楷体" w:hAnsi="楷体" w:hint="eastAsia"/>
          <w:szCs w:val="21"/>
        </w:rPr>
        <w:t>如果早下决心，还能掌握主动权，留一点干预和回旋的空间。如果拖延太久，又没有需求侧的奇迹发生，那么就会越来越被动，不可控的因素也会越来越多。举个例子，现在外汇储备还有3.3</w:t>
      </w:r>
      <w:proofErr w:type="gramStart"/>
      <w:r w:rsidRPr="00B67BE7">
        <w:rPr>
          <w:rFonts w:ascii="楷体" w:eastAsia="楷体" w:hAnsi="楷体" w:hint="eastAsia"/>
          <w:szCs w:val="21"/>
        </w:rPr>
        <w:t>万亿</w:t>
      </w:r>
      <w:proofErr w:type="gramEnd"/>
      <w:r w:rsidRPr="00B67BE7">
        <w:rPr>
          <w:rFonts w:ascii="楷体" w:eastAsia="楷体" w:hAnsi="楷体" w:hint="eastAsia"/>
          <w:szCs w:val="21"/>
        </w:rPr>
        <w:t>，中美还有正利差，所以央行还能大胆的尝试汇率改革，但如果等外汇储备消耗到0，中美利差倒挂，很多事情就不是央行能控制的了，届时再改革就会失去主动权。在产能这个问题上，逻辑也是一样，越早“破”越有主动权。</w:t>
      </w:r>
      <w:r w:rsidRPr="00E51995">
        <w:rPr>
          <w:rFonts w:ascii="楷体" w:eastAsia="楷体" w:hAnsi="楷体" w:hint="eastAsia"/>
          <w:b/>
          <w:szCs w:val="21"/>
        </w:rPr>
        <w:t>正是在这种背景下，中央从2015年底开始调整战略，将工作重心转向供给侧结构性改革，2016年将成为去产能集中发力的开局之年，这不仅是增量的投资放缓，而且是存量的产能去化。</w:t>
      </w:r>
      <w:r>
        <w:rPr>
          <w:rFonts w:ascii="楷体" w:eastAsia="楷体" w:hAnsi="楷体"/>
          <w:szCs w:val="21"/>
        </w:rPr>
        <w:tab/>
      </w:r>
    </w:p>
    <w:p w:rsidR="0084212B" w:rsidRPr="0084212B" w:rsidRDefault="0084212B" w:rsidP="0084212B">
      <w:pPr>
        <w:pStyle w:val="52"/>
        <w:spacing w:before="50" w:after="50"/>
        <w:rPr>
          <w:rFonts w:ascii="华文楷体" w:eastAsia="华文楷体" w:hAnsi="华文楷体"/>
        </w:rPr>
      </w:pPr>
      <w:r w:rsidRPr="0084212B">
        <w:rPr>
          <w:rFonts w:ascii="华文楷体" w:eastAsia="华文楷体" w:hAnsi="华文楷体" w:hint="eastAsia"/>
        </w:rPr>
        <w:t>表1：2015年底以来中央会议多次重点讨论供给侧改革</w:t>
      </w:r>
      <w:r w:rsidRPr="0084212B">
        <w:rPr>
          <w:rFonts w:ascii="华文楷体" w:eastAsia="华文楷体" w:hAnsi="华文楷体"/>
        </w:rPr>
        <w:t xml:space="preserve"> </w:t>
      </w:r>
    </w:p>
    <w:tbl>
      <w:tblPr>
        <w:tblStyle w:val="-131"/>
        <w:tblW w:w="9464" w:type="dxa"/>
        <w:tblLook w:val="04A0"/>
      </w:tblPr>
      <w:tblGrid>
        <w:gridCol w:w="1526"/>
        <w:gridCol w:w="1116"/>
        <w:gridCol w:w="2711"/>
        <w:gridCol w:w="4111"/>
      </w:tblGrid>
      <w:tr w:rsidR="0084212B" w:rsidRPr="0084212B" w:rsidTr="000054D6">
        <w:trPr>
          <w:cnfStyle w:val="100000000000"/>
          <w:trHeight w:val="274"/>
        </w:trPr>
        <w:tc>
          <w:tcPr>
            <w:cnfStyle w:val="001000000000"/>
            <w:tcW w:w="1526" w:type="dxa"/>
            <w:noWrap/>
            <w:hideMark/>
          </w:tcPr>
          <w:p w:rsidR="0084212B" w:rsidRPr="0084212B" w:rsidRDefault="0084212B" w:rsidP="0084212B">
            <w:pPr>
              <w:widowControl/>
              <w:spacing w:before="50" w:after="50" w:line="200" w:lineRule="atLeast"/>
              <w:jc w:val="left"/>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会议</w:t>
            </w:r>
          </w:p>
        </w:tc>
        <w:tc>
          <w:tcPr>
            <w:tcW w:w="1116" w:type="dxa"/>
            <w:noWrap/>
            <w:hideMark/>
          </w:tcPr>
          <w:p w:rsidR="0084212B" w:rsidRPr="0084212B" w:rsidRDefault="0084212B" w:rsidP="0084212B">
            <w:pPr>
              <w:widowControl/>
              <w:spacing w:before="50" w:after="50" w:line="200" w:lineRule="atLeast"/>
              <w:jc w:val="left"/>
              <w:cnfStyle w:val="1000000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时间</w:t>
            </w:r>
          </w:p>
        </w:tc>
        <w:tc>
          <w:tcPr>
            <w:tcW w:w="2711" w:type="dxa"/>
            <w:noWrap/>
            <w:hideMark/>
          </w:tcPr>
          <w:p w:rsidR="0084212B" w:rsidRPr="0084212B" w:rsidRDefault="0084212B" w:rsidP="0084212B">
            <w:pPr>
              <w:widowControl/>
              <w:spacing w:before="50" w:after="50" w:line="200" w:lineRule="atLeast"/>
              <w:jc w:val="left"/>
              <w:cnfStyle w:val="1000000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相关内容</w:t>
            </w:r>
          </w:p>
        </w:tc>
        <w:tc>
          <w:tcPr>
            <w:tcW w:w="4111" w:type="dxa"/>
            <w:noWrap/>
            <w:hideMark/>
          </w:tcPr>
          <w:p w:rsidR="0084212B" w:rsidRPr="0084212B" w:rsidRDefault="0084212B" w:rsidP="0084212B">
            <w:pPr>
              <w:widowControl/>
              <w:spacing w:before="50" w:after="50" w:line="200" w:lineRule="atLeast"/>
              <w:jc w:val="left"/>
              <w:cnfStyle w:val="1000000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措施</w:t>
            </w:r>
          </w:p>
        </w:tc>
      </w:tr>
      <w:tr w:rsidR="00B474CB" w:rsidRPr="0084212B" w:rsidTr="0084212B">
        <w:trPr>
          <w:cnfStyle w:val="000000100000"/>
          <w:trHeight w:val="274"/>
        </w:trPr>
        <w:tc>
          <w:tcPr>
            <w:cnfStyle w:val="001000000000"/>
            <w:tcW w:w="1526" w:type="dxa"/>
            <w:noWrap/>
          </w:tcPr>
          <w:p w:rsidR="0084212B" w:rsidRPr="0084212B" w:rsidRDefault="0084212B" w:rsidP="0084212B">
            <w:pPr>
              <w:widowControl/>
              <w:spacing w:before="50" w:after="50" w:line="200" w:lineRule="atLeast"/>
              <w:jc w:val="left"/>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中央财经领导小组会议</w:t>
            </w:r>
          </w:p>
        </w:tc>
        <w:tc>
          <w:tcPr>
            <w:tcW w:w="1116"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2015.11.10</w:t>
            </w:r>
          </w:p>
        </w:tc>
        <w:tc>
          <w:tcPr>
            <w:tcW w:w="2711"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color w:val="1F497D"/>
                <w:kern w:val="0"/>
                <w:sz w:val="16"/>
                <w:szCs w:val="16"/>
              </w:rPr>
            </w:pPr>
            <w:r w:rsidRPr="0084212B">
              <w:rPr>
                <w:rFonts w:ascii="华文楷体" w:eastAsia="华文楷体" w:hAnsi="华文楷体" w:cs="宋体" w:hint="eastAsia"/>
                <w:b/>
                <w:color w:val="1F497D"/>
                <w:kern w:val="0"/>
                <w:sz w:val="16"/>
                <w:szCs w:val="16"/>
              </w:rPr>
              <w:t>在适度扩大总需求的同时，着力加强供给侧结构性改革，</w:t>
            </w:r>
            <w:r w:rsidRPr="0084212B">
              <w:rPr>
                <w:rFonts w:ascii="华文楷体" w:eastAsia="华文楷体" w:hAnsi="华文楷体" w:cs="宋体" w:hint="eastAsia"/>
                <w:color w:val="1F497D"/>
                <w:kern w:val="0"/>
                <w:sz w:val="16"/>
                <w:szCs w:val="16"/>
              </w:rPr>
              <w:t>着力提高供给体系的质量和效率。</w:t>
            </w:r>
          </w:p>
        </w:tc>
        <w:tc>
          <w:tcPr>
            <w:tcW w:w="4111"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针对突出问题、抓住关键点。要促进过剩产能有效化解、降低成本、化解房地产库存、防范化解金融风险。</w:t>
            </w:r>
          </w:p>
        </w:tc>
      </w:tr>
      <w:tr w:rsidR="0084212B" w:rsidRPr="0084212B" w:rsidTr="000054D6">
        <w:trPr>
          <w:trHeight w:val="274"/>
        </w:trPr>
        <w:tc>
          <w:tcPr>
            <w:cnfStyle w:val="001000000000"/>
            <w:tcW w:w="1526" w:type="dxa"/>
            <w:noWrap/>
          </w:tcPr>
          <w:p w:rsidR="0084212B" w:rsidRPr="0084212B" w:rsidRDefault="0084212B" w:rsidP="0084212B">
            <w:pPr>
              <w:widowControl/>
              <w:spacing w:before="50" w:after="50" w:line="200" w:lineRule="atLeast"/>
              <w:jc w:val="left"/>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中央政治局会议</w:t>
            </w:r>
          </w:p>
        </w:tc>
        <w:tc>
          <w:tcPr>
            <w:tcW w:w="1116" w:type="dxa"/>
            <w:noWrap/>
          </w:tcPr>
          <w:p w:rsidR="0084212B" w:rsidRPr="0084212B" w:rsidRDefault="0084212B" w:rsidP="0084212B">
            <w:pPr>
              <w:widowControl/>
              <w:spacing w:before="50" w:after="50" w:line="200" w:lineRule="atLeast"/>
              <w:jc w:val="left"/>
              <w:cnfStyle w:val="0000000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2015.12.15</w:t>
            </w:r>
          </w:p>
        </w:tc>
        <w:tc>
          <w:tcPr>
            <w:tcW w:w="2711" w:type="dxa"/>
            <w:noWrap/>
          </w:tcPr>
          <w:p w:rsidR="0084212B" w:rsidRPr="0084212B" w:rsidRDefault="0084212B" w:rsidP="0084212B">
            <w:pPr>
              <w:widowControl/>
              <w:spacing w:before="50" w:after="50" w:line="200" w:lineRule="atLeast"/>
              <w:jc w:val="left"/>
              <w:cnfStyle w:val="000000000000"/>
              <w:rPr>
                <w:rFonts w:ascii="华文楷体" w:eastAsia="华文楷体" w:hAnsi="华文楷体" w:cs="宋体"/>
                <w:color w:val="1F497D"/>
                <w:kern w:val="0"/>
                <w:sz w:val="16"/>
                <w:szCs w:val="16"/>
              </w:rPr>
            </w:pPr>
            <w:r w:rsidRPr="0084212B">
              <w:rPr>
                <w:rFonts w:ascii="华文楷体" w:eastAsia="华文楷体" w:hAnsi="华文楷体" w:cs="宋体" w:hint="eastAsia"/>
                <w:b/>
                <w:color w:val="1F497D"/>
                <w:kern w:val="0"/>
                <w:sz w:val="16"/>
                <w:szCs w:val="16"/>
              </w:rPr>
              <w:t>着力加强结构性改革，在适度扩大总需求</w:t>
            </w:r>
            <w:r w:rsidRPr="0084212B">
              <w:rPr>
                <w:rFonts w:ascii="华文楷体" w:eastAsia="华文楷体" w:hAnsi="华文楷体" w:cs="宋体" w:hint="eastAsia"/>
                <w:color w:val="1F497D"/>
                <w:kern w:val="0"/>
                <w:sz w:val="16"/>
                <w:szCs w:val="16"/>
              </w:rPr>
              <w:t>的同时，提高供给体系的质量和效率，提高投资有效性，加快培育新的发展动能。</w:t>
            </w:r>
          </w:p>
        </w:tc>
        <w:tc>
          <w:tcPr>
            <w:tcW w:w="4111" w:type="dxa"/>
            <w:noWrap/>
          </w:tcPr>
          <w:p w:rsidR="0084212B" w:rsidRPr="0084212B" w:rsidRDefault="0084212B" w:rsidP="0084212B">
            <w:pPr>
              <w:widowControl/>
              <w:spacing w:before="50" w:after="50" w:line="200" w:lineRule="atLeast"/>
              <w:jc w:val="left"/>
              <w:cnfStyle w:val="0000000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深入实施创新驱动战略，积极稳妥推进企业优胜劣汰，帮助企业降低成本，化解房地产库存，扩大有效供给，防范化解金融风险，深化改革开放，切实保障人民群众基本生活，抓好“一带一路”建设，改善国内投资环境。</w:t>
            </w:r>
          </w:p>
        </w:tc>
      </w:tr>
      <w:tr w:rsidR="00B474CB" w:rsidRPr="0084212B" w:rsidTr="0084212B">
        <w:trPr>
          <w:cnfStyle w:val="000000100000"/>
          <w:trHeight w:val="274"/>
        </w:trPr>
        <w:tc>
          <w:tcPr>
            <w:cnfStyle w:val="001000000000"/>
            <w:tcW w:w="1526" w:type="dxa"/>
            <w:noWrap/>
          </w:tcPr>
          <w:p w:rsidR="0084212B" w:rsidRPr="0084212B" w:rsidRDefault="0084212B" w:rsidP="0084212B">
            <w:pPr>
              <w:widowControl/>
              <w:spacing w:before="50" w:after="50" w:line="200" w:lineRule="atLeast"/>
              <w:jc w:val="left"/>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中央经济工作会议</w:t>
            </w:r>
          </w:p>
        </w:tc>
        <w:tc>
          <w:tcPr>
            <w:tcW w:w="1116"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2015.12.18-21</w:t>
            </w:r>
          </w:p>
        </w:tc>
        <w:tc>
          <w:tcPr>
            <w:tcW w:w="2711"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color w:val="1F497D"/>
                <w:kern w:val="0"/>
                <w:sz w:val="16"/>
                <w:szCs w:val="16"/>
              </w:rPr>
            </w:pPr>
            <w:r w:rsidRPr="0084212B">
              <w:rPr>
                <w:rFonts w:ascii="华文楷体" w:eastAsia="华文楷体" w:hAnsi="华文楷体" w:cs="宋体" w:hint="eastAsia"/>
                <w:b/>
                <w:color w:val="1F497D"/>
                <w:kern w:val="0"/>
                <w:sz w:val="16"/>
                <w:szCs w:val="16"/>
              </w:rPr>
              <w:t>要在适度扩大总需求的同时，着力加强供给侧结构性改革。</w:t>
            </w:r>
            <w:r w:rsidRPr="0084212B">
              <w:rPr>
                <w:rFonts w:ascii="华文楷体" w:eastAsia="华文楷体" w:hAnsi="华文楷体" w:cs="宋体" w:hint="eastAsia"/>
                <w:color w:val="1F497D"/>
                <w:kern w:val="0"/>
                <w:sz w:val="16"/>
                <w:szCs w:val="16"/>
              </w:rPr>
              <w:t>去产能、去库存、去杠杆、降成本、补短板，提高供给体系质量和效率，提高投资有效性。</w:t>
            </w:r>
          </w:p>
        </w:tc>
        <w:tc>
          <w:tcPr>
            <w:tcW w:w="4111"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积极稳妥化解产能过剩，帮助企业降低成本，化房地产库存，扩大有效供给，防范化解金融风险。</w:t>
            </w:r>
            <w:r w:rsidRPr="0084212B">
              <w:rPr>
                <w:rFonts w:ascii="华文楷体" w:eastAsia="华文楷体" w:hAnsi="华文楷体" w:cs="宋体" w:hint="eastAsia"/>
                <w:b/>
                <w:color w:val="1F497D"/>
                <w:kern w:val="0"/>
                <w:sz w:val="16"/>
                <w:szCs w:val="16"/>
              </w:rPr>
              <w:t>推进结构性改革，必须依靠全面深化改革，</w:t>
            </w:r>
            <w:r w:rsidRPr="0084212B">
              <w:rPr>
                <w:rFonts w:ascii="华文楷体" w:eastAsia="华文楷体" w:hAnsi="华文楷体" w:cs="宋体" w:hint="eastAsia"/>
                <w:color w:val="1F497D"/>
                <w:kern w:val="0"/>
                <w:sz w:val="16"/>
                <w:szCs w:val="16"/>
              </w:rPr>
              <w:t>要加大重要领域和关键环节改革力度，大力推进国有企业改革，加快养老保险制度改革，加快医疗卫生体制改革。</w:t>
            </w:r>
          </w:p>
        </w:tc>
      </w:tr>
      <w:tr w:rsidR="0084212B" w:rsidRPr="0084212B" w:rsidTr="000054D6">
        <w:trPr>
          <w:trHeight w:val="274"/>
        </w:trPr>
        <w:tc>
          <w:tcPr>
            <w:cnfStyle w:val="001000000000"/>
            <w:tcW w:w="1526" w:type="dxa"/>
            <w:noWrap/>
          </w:tcPr>
          <w:p w:rsidR="0084212B" w:rsidRPr="0084212B" w:rsidRDefault="0084212B" w:rsidP="0084212B">
            <w:pPr>
              <w:widowControl/>
              <w:spacing w:before="50" w:after="50" w:line="200" w:lineRule="atLeast"/>
              <w:jc w:val="left"/>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中央农村工作会议</w:t>
            </w:r>
          </w:p>
        </w:tc>
        <w:tc>
          <w:tcPr>
            <w:tcW w:w="1116" w:type="dxa"/>
            <w:noWrap/>
          </w:tcPr>
          <w:p w:rsidR="0084212B" w:rsidRPr="0084212B" w:rsidRDefault="0084212B" w:rsidP="0084212B">
            <w:pPr>
              <w:widowControl/>
              <w:spacing w:before="50" w:after="50" w:line="200" w:lineRule="atLeast"/>
              <w:jc w:val="left"/>
              <w:cnfStyle w:val="000000000000"/>
              <w:rPr>
                <w:rFonts w:ascii="华文楷体" w:eastAsia="华文楷体" w:hAnsi="华文楷体" w:cs="宋体"/>
                <w:color w:val="1F497D"/>
                <w:kern w:val="0"/>
                <w:sz w:val="16"/>
                <w:szCs w:val="16"/>
              </w:rPr>
            </w:pPr>
            <w:r w:rsidRPr="0084212B">
              <w:rPr>
                <w:rFonts w:ascii="华文楷体" w:eastAsia="华文楷体" w:hAnsi="华文楷体" w:cs="宋体"/>
                <w:color w:val="1F497D"/>
                <w:kern w:val="0"/>
                <w:sz w:val="16"/>
                <w:szCs w:val="16"/>
              </w:rPr>
              <w:t>2015.12.</w:t>
            </w:r>
            <w:r w:rsidRPr="0084212B">
              <w:rPr>
                <w:rFonts w:ascii="华文楷体" w:eastAsia="华文楷体" w:hAnsi="华文楷体" w:cs="宋体" w:hint="eastAsia"/>
                <w:color w:val="1F497D"/>
                <w:kern w:val="0"/>
                <w:sz w:val="16"/>
                <w:szCs w:val="16"/>
              </w:rPr>
              <w:t>24</w:t>
            </w:r>
            <w:r w:rsidRPr="0084212B">
              <w:rPr>
                <w:rFonts w:ascii="华文楷体" w:eastAsia="华文楷体" w:hAnsi="华文楷体" w:cs="宋体"/>
                <w:color w:val="1F497D"/>
                <w:kern w:val="0"/>
                <w:sz w:val="16"/>
                <w:szCs w:val="16"/>
              </w:rPr>
              <w:t>-2</w:t>
            </w:r>
            <w:r w:rsidRPr="0084212B">
              <w:rPr>
                <w:rFonts w:ascii="华文楷体" w:eastAsia="华文楷体" w:hAnsi="华文楷体" w:cs="宋体" w:hint="eastAsia"/>
                <w:color w:val="1F497D"/>
                <w:kern w:val="0"/>
                <w:sz w:val="16"/>
                <w:szCs w:val="16"/>
              </w:rPr>
              <w:t>5</w:t>
            </w:r>
          </w:p>
        </w:tc>
        <w:tc>
          <w:tcPr>
            <w:tcW w:w="2711" w:type="dxa"/>
            <w:noWrap/>
          </w:tcPr>
          <w:p w:rsidR="0084212B" w:rsidRPr="0084212B" w:rsidRDefault="0084212B" w:rsidP="0084212B">
            <w:pPr>
              <w:widowControl/>
              <w:spacing w:before="50" w:after="50" w:line="200" w:lineRule="atLeast"/>
              <w:jc w:val="left"/>
              <w:cnfStyle w:val="000000000000"/>
              <w:rPr>
                <w:rFonts w:ascii="华文楷体" w:eastAsia="华文楷体" w:hAnsi="华文楷体" w:cs="宋体"/>
                <w:color w:val="1F497D"/>
                <w:kern w:val="0"/>
                <w:sz w:val="16"/>
                <w:szCs w:val="16"/>
              </w:rPr>
            </w:pPr>
            <w:r w:rsidRPr="0084212B">
              <w:rPr>
                <w:rFonts w:ascii="华文楷体" w:eastAsia="华文楷体" w:hAnsi="华文楷体" w:cs="宋体" w:hint="eastAsia"/>
                <w:b/>
                <w:color w:val="1F497D"/>
                <w:kern w:val="0"/>
                <w:sz w:val="16"/>
                <w:szCs w:val="16"/>
              </w:rPr>
              <w:t>着力加强农业供给侧结构性改革，</w:t>
            </w:r>
            <w:r w:rsidRPr="0084212B">
              <w:rPr>
                <w:rFonts w:ascii="华文楷体" w:eastAsia="华文楷体" w:hAnsi="华文楷体" w:cs="宋体" w:hint="eastAsia"/>
                <w:color w:val="1F497D"/>
                <w:kern w:val="0"/>
                <w:sz w:val="16"/>
                <w:szCs w:val="16"/>
              </w:rPr>
              <w:t>提高农业供给体系质量和效率，使农产品供给数量充足、品种和质量契合消费者需要，真正形成结构合理、保障有力的农产品有效供给。</w:t>
            </w:r>
          </w:p>
        </w:tc>
        <w:tc>
          <w:tcPr>
            <w:tcW w:w="4111" w:type="dxa"/>
            <w:noWrap/>
          </w:tcPr>
          <w:p w:rsidR="0084212B" w:rsidRPr="0084212B" w:rsidRDefault="0084212B" w:rsidP="0084212B">
            <w:pPr>
              <w:widowControl/>
              <w:spacing w:before="50" w:after="50" w:line="200" w:lineRule="atLeast"/>
              <w:jc w:val="left"/>
              <w:cnfStyle w:val="0000000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加快消化过大的农产品库存量，降低成本，增加市场紧缺农产品的生产。要保稻谷、小麦等口粮，保耕地、保产能。发挥多种形式农业适度规模经营在结构性改革中的引领作用，完善粮食等重要农产品价格形成机制和收储政策。</w:t>
            </w:r>
          </w:p>
        </w:tc>
      </w:tr>
      <w:tr w:rsidR="0084212B" w:rsidRPr="0084212B" w:rsidTr="0084212B">
        <w:trPr>
          <w:cnfStyle w:val="000000100000"/>
          <w:trHeight w:val="274"/>
        </w:trPr>
        <w:tc>
          <w:tcPr>
            <w:cnfStyle w:val="001000000000"/>
            <w:tcW w:w="1526" w:type="dxa"/>
            <w:noWrap/>
          </w:tcPr>
          <w:p w:rsidR="0084212B" w:rsidRPr="0084212B" w:rsidRDefault="0084212B" w:rsidP="0084212B">
            <w:pPr>
              <w:widowControl/>
              <w:spacing w:before="50" w:after="50" w:line="200" w:lineRule="atLeast"/>
              <w:jc w:val="left"/>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lastRenderedPageBreak/>
              <w:t>人民日报</w:t>
            </w:r>
          </w:p>
        </w:tc>
        <w:tc>
          <w:tcPr>
            <w:tcW w:w="1116"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2016.01.04</w:t>
            </w:r>
          </w:p>
        </w:tc>
        <w:tc>
          <w:tcPr>
            <w:tcW w:w="2711"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b/>
                <w:color w:val="1F497D"/>
                <w:kern w:val="0"/>
                <w:sz w:val="16"/>
                <w:szCs w:val="16"/>
              </w:rPr>
            </w:pPr>
            <w:r w:rsidRPr="0084212B">
              <w:rPr>
                <w:rFonts w:ascii="华文楷体" w:eastAsia="华文楷体" w:hAnsi="华文楷体" w:cs="宋体" w:hint="eastAsia"/>
                <w:b/>
                <w:color w:val="1F497D"/>
                <w:kern w:val="0"/>
                <w:sz w:val="16"/>
                <w:szCs w:val="16"/>
              </w:rPr>
              <w:t>周期性问题和结构性问题都存在，但主要是结构性问题</w:t>
            </w:r>
          </w:p>
        </w:tc>
        <w:tc>
          <w:tcPr>
            <w:tcW w:w="4111" w:type="dxa"/>
            <w:noWrap/>
          </w:tcPr>
          <w:p w:rsidR="0084212B" w:rsidRPr="0084212B" w:rsidRDefault="0084212B" w:rsidP="0084212B">
            <w:pPr>
              <w:widowControl/>
              <w:spacing w:before="50" w:after="50" w:line="200" w:lineRule="atLeast"/>
              <w:jc w:val="left"/>
              <w:cnfStyle w:val="000000100000"/>
              <w:rPr>
                <w:rFonts w:ascii="华文楷体" w:eastAsia="华文楷体" w:hAnsi="华文楷体" w:cs="宋体"/>
                <w:color w:val="1F497D"/>
                <w:kern w:val="0"/>
                <w:sz w:val="16"/>
                <w:szCs w:val="16"/>
              </w:rPr>
            </w:pPr>
            <w:r w:rsidRPr="0084212B">
              <w:rPr>
                <w:rFonts w:ascii="华文楷体" w:eastAsia="华文楷体" w:hAnsi="华文楷体" w:cs="宋体" w:hint="eastAsia"/>
                <w:color w:val="1F497D"/>
                <w:kern w:val="0"/>
                <w:sz w:val="16"/>
                <w:szCs w:val="16"/>
              </w:rPr>
              <w:t>当务之急是斩钉截铁处置僵尸企业，坚定不移减少过剩产能，让僵尸入土为安；僵尸企业本来已死在那里，就不要再维持了。旧的不去，新的不来</w:t>
            </w:r>
          </w:p>
        </w:tc>
      </w:tr>
    </w:tbl>
    <w:p w:rsidR="0084212B" w:rsidRPr="0084212B" w:rsidRDefault="0084212B" w:rsidP="005143F4">
      <w:pPr>
        <w:spacing w:beforeLines="50" w:afterLines="50" w:line="360" w:lineRule="exact"/>
        <w:ind w:rightChars="1000" w:right="2100"/>
        <w:rPr>
          <w:rFonts w:ascii="华文楷体" w:eastAsia="华文楷体" w:hAnsi="华文楷体" w:cstheme="minorBidi"/>
          <w:sz w:val="16"/>
          <w:szCs w:val="16"/>
        </w:rPr>
      </w:pPr>
      <w:r w:rsidRPr="0084212B">
        <w:rPr>
          <w:rFonts w:ascii="华文楷体" w:eastAsia="华文楷体" w:hAnsi="华文楷体" w:cstheme="minorBidi" w:hint="eastAsia"/>
          <w:sz w:val="16"/>
          <w:szCs w:val="16"/>
        </w:rPr>
        <w:t>数据来源：民生证券研究院</w:t>
      </w:r>
    </w:p>
    <w:p w:rsidR="00B67BE7" w:rsidRDefault="00B67BE7" w:rsidP="0096157D">
      <w:pPr>
        <w:spacing w:line="360" w:lineRule="auto"/>
        <w:ind w:rightChars="1000" w:right="2100"/>
        <w:rPr>
          <w:rFonts w:ascii="楷体" w:eastAsia="楷体" w:hAnsi="楷体"/>
          <w:szCs w:val="21"/>
        </w:rPr>
      </w:pPr>
    </w:p>
    <w:p w:rsidR="0084212B" w:rsidRDefault="0084212B" w:rsidP="0096157D">
      <w:pPr>
        <w:spacing w:line="360" w:lineRule="auto"/>
        <w:ind w:rightChars="1000" w:right="2100"/>
        <w:rPr>
          <w:rFonts w:ascii="楷体" w:eastAsia="楷体" w:hAnsi="楷体"/>
          <w:b/>
          <w:color w:val="0070C0"/>
          <w:sz w:val="24"/>
          <w:szCs w:val="21"/>
        </w:rPr>
      </w:pPr>
      <w:r w:rsidRPr="0084212B">
        <w:rPr>
          <w:rFonts w:ascii="楷体" w:eastAsia="楷体" w:hAnsi="楷体" w:hint="eastAsia"/>
          <w:b/>
          <w:color w:val="0070C0"/>
          <w:sz w:val="24"/>
          <w:szCs w:val="21"/>
        </w:rPr>
        <w:t>二、去产能的路径：</w:t>
      </w:r>
      <w:r w:rsidR="00240E67">
        <w:rPr>
          <w:rFonts w:ascii="楷体" w:eastAsia="楷体" w:hAnsi="楷体" w:hint="eastAsia"/>
          <w:b/>
          <w:color w:val="0070C0"/>
          <w:sz w:val="24"/>
          <w:szCs w:val="21"/>
        </w:rPr>
        <w:t>如何让僵尸企业入土为安？</w:t>
      </w:r>
    </w:p>
    <w:p w:rsidR="00F05A89" w:rsidRPr="00240E67" w:rsidRDefault="00F05A89" w:rsidP="00F05A89">
      <w:pPr>
        <w:spacing w:line="360" w:lineRule="auto"/>
        <w:ind w:rightChars="1000" w:right="2100"/>
        <w:rPr>
          <w:rFonts w:ascii="楷体" w:eastAsia="楷体" w:hAnsi="楷体"/>
          <w:szCs w:val="21"/>
        </w:rPr>
      </w:pPr>
    </w:p>
    <w:p w:rsidR="00F05A89" w:rsidRPr="00F05A89" w:rsidRDefault="00F05A89" w:rsidP="00F33F14">
      <w:pPr>
        <w:spacing w:line="360" w:lineRule="auto"/>
        <w:ind w:rightChars="1000" w:right="2100" w:firstLine="420"/>
        <w:rPr>
          <w:rFonts w:ascii="楷体" w:eastAsia="楷体" w:hAnsi="楷体"/>
          <w:szCs w:val="21"/>
        </w:rPr>
      </w:pPr>
      <w:r w:rsidRPr="00F05A89">
        <w:rPr>
          <w:rFonts w:ascii="楷体" w:eastAsia="楷体" w:hAnsi="楷体" w:hint="eastAsia"/>
          <w:szCs w:val="21"/>
        </w:rPr>
        <w:t>去产能绝不只是“让僵尸企业入土为安”这样的狠话，而是有切实的措施做底气。从国内外的经验来看，以下十种措施值得期待。</w:t>
      </w:r>
    </w:p>
    <w:p w:rsidR="00F05A89" w:rsidRPr="00F05A89" w:rsidRDefault="00F05A89" w:rsidP="00F05A89">
      <w:pPr>
        <w:spacing w:line="360" w:lineRule="auto"/>
        <w:ind w:rightChars="1000" w:right="2100"/>
        <w:rPr>
          <w:rFonts w:ascii="楷体" w:eastAsia="楷体" w:hAnsi="楷体"/>
          <w:szCs w:val="21"/>
        </w:rPr>
      </w:pPr>
    </w:p>
    <w:p w:rsidR="00F05A89" w:rsidRPr="00E90D4F" w:rsidRDefault="00F05A89" w:rsidP="00F05A89">
      <w:pPr>
        <w:spacing w:line="360" w:lineRule="auto"/>
        <w:ind w:rightChars="1000" w:right="2100"/>
        <w:rPr>
          <w:rFonts w:ascii="楷体" w:eastAsia="楷体" w:hAnsi="楷体"/>
          <w:b/>
          <w:szCs w:val="21"/>
        </w:rPr>
      </w:pPr>
      <w:r w:rsidRPr="00E90D4F">
        <w:rPr>
          <w:rFonts w:ascii="楷体" w:eastAsia="楷体" w:hAnsi="楷体" w:hint="eastAsia"/>
          <w:b/>
          <w:szCs w:val="21"/>
        </w:rPr>
        <w:t>1.</w:t>
      </w:r>
      <w:r w:rsidRPr="00E90D4F">
        <w:rPr>
          <w:rFonts w:ascii="楷体" w:eastAsia="楷体" w:hAnsi="楷体" w:hint="eastAsia"/>
          <w:b/>
          <w:szCs w:val="21"/>
        </w:rPr>
        <w:tab/>
        <w:t>政府提供直接或间接补偿，鼓励企业</w:t>
      </w:r>
      <w:proofErr w:type="gramStart"/>
      <w:r w:rsidRPr="00E90D4F">
        <w:rPr>
          <w:rFonts w:ascii="楷体" w:eastAsia="楷体" w:hAnsi="楷体" w:hint="eastAsia"/>
          <w:b/>
          <w:szCs w:val="21"/>
        </w:rPr>
        <w:t>的去产能行</w:t>
      </w:r>
      <w:proofErr w:type="gramEnd"/>
      <w:r w:rsidRPr="00E90D4F">
        <w:rPr>
          <w:rFonts w:ascii="楷体" w:eastAsia="楷体" w:hAnsi="楷体" w:hint="eastAsia"/>
          <w:b/>
          <w:szCs w:val="21"/>
        </w:rPr>
        <w:t>为。</w:t>
      </w:r>
    </w:p>
    <w:p w:rsidR="00F05A89" w:rsidRPr="00F05A89" w:rsidRDefault="00F05A89" w:rsidP="00F33F14">
      <w:pPr>
        <w:spacing w:line="360" w:lineRule="auto"/>
        <w:ind w:rightChars="1000" w:right="2100" w:firstLine="420"/>
        <w:rPr>
          <w:rFonts w:ascii="楷体" w:eastAsia="楷体" w:hAnsi="楷体"/>
          <w:szCs w:val="21"/>
        </w:rPr>
      </w:pPr>
      <w:r w:rsidRPr="00F05A89">
        <w:rPr>
          <w:rFonts w:ascii="楷体" w:eastAsia="楷体" w:hAnsi="楷体" w:hint="eastAsia"/>
          <w:szCs w:val="21"/>
        </w:rPr>
        <w:t>为鼓励僵尸企业缩减产能，政府可通过融资支持、财政补助、税收优惠等方式向去产能企业提供补偿。目前，政府通过成立专项基金、财政转移支付等方式，可能是一个有效方法。</w:t>
      </w:r>
    </w:p>
    <w:p w:rsidR="00F05A89" w:rsidRPr="00F05A89" w:rsidRDefault="00F05A89" w:rsidP="00F33F14">
      <w:pPr>
        <w:spacing w:line="360" w:lineRule="auto"/>
        <w:ind w:rightChars="1000" w:right="2100" w:firstLine="420"/>
        <w:rPr>
          <w:rFonts w:ascii="楷体" w:eastAsia="楷体" w:hAnsi="楷体"/>
          <w:szCs w:val="21"/>
        </w:rPr>
      </w:pPr>
      <w:r w:rsidRPr="00F05A89">
        <w:rPr>
          <w:rFonts w:ascii="楷体" w:eastAsia="楷体" w:hAnsi="楷体" w:hint="eastAsia"/>
          <w:szCs w:val="21"/>
        </w:rPr>
        <w:t>第一，直接收购落后产能并报废。政企合作预测未来需求，产能过剩部分由政府出资收购并报废。此方法通常适用于农牧渔业以及造船业。</w:t>
      </w:r>
    </w:p>
    <w:p w:rsidR="00F05A89" w:rsidRPr="00F05A89" w:rsidRDefault="00F05A89" w:rsidP="00F33F14">
      <w:pPr>
        <w:spacing w:line="360" w:lineRule="auto"/>
        <w:ind w:rightChars="1000" w:right="2100" w:firstLine="420"/>
        <w:rPr>
          <w:rFonts w:ascii="楷体" w:eastAsia="楷体" w:hAnsi="楷体"/>
          <w:szCs w:val="21"/>
        </w:rPr>
      </w:pPr>
      <w:r w:rsidRPr="00F05A89">
        <w:rPr>
          <w:rFonts w:ascii="楷体" w:eastAsia="楷体" w:hAnsi="楷体" w:hint="eastAsia"/>
          <w:szCs w:val="21"/>
        </w:rPr>
        <w:t>第二，政府提供间接的去产能补偿。日本早年相关法案涉及到的补偿支持措施有：（1）财政补贴，如曾发放高额补偿、工业再配置补助金、萧条产业信用基金。（2）融资支持，政府向主动退出的中小企业提供中转融资。（3）税收优惠。对主动处理过剩设备的企业进行税收优惠及采用特别折旧制度。</w:t>
      </w:r>
    </w:p>
    <w:p w:rsidR="00F05A89" w:rsidRPr="00F05A89" w:rsidRDefault="00F05A89" w:rsidP="00F05A89">
      <w:pPr>
        <w:spacing w:line="360" w:lineRule="auto"/>
        <w:ind w:rightChars="1000" w:right="2100"/>
        <w:rPr>
          <w:rFonts w:ascii="楷体" w:eastAsia="楷体" w:hAnsi="楷体"/>
          <w:szCs w:val="21"/>
        </w:rPr>
      </w:pPr>
    </w:p>
    <w:p w:rsidR="00F05A89" w:rsidRPr="007D649F" w:rsidRDefault="00F05A89" w:rsidP="00F05A89">
      <w:pPr>
        <w:spacing w:line="360" w:lineRule="auto"/>
        <w:ind w:rightChars="1000" w:right="2100"/>
        <w:rPr>
          <w:rFonts w:ascii="楷体" w:eastAsia="楷体" w:hAnsi="楷体"/>
          <w:b/>
          <w:szCs w:val="21"/>
        </w:rPr>
      </w:pPr>
      <w:r w:rsidRPr="007D649F">
        <w:rPr>
          <w:rFonts w:ascii="楷体" w:eastAsia="楷体" w:hAnsi="楷体" w:hint="eastAsia"/>
          <w:b/>
          <w:szCs w:val="21"/>
        </w:rPr>
        <w:t>2.</w:t>
      </w:r>
      <w:r w:rsidRPr="007D649F">
        <w:rPr>
          <w:rFonts w:ascii="楷体" w:eastAsia="楷体" w:hAnsi="楷体" w:hint="eastAsia"/>
          <w:b/>
          <w:szCs w:val="21"/>
        </w:rPr>
        <w:tab/>
        <w:t>妥善处置银行不良资产，减少金融风险的掣肘</w:t>
      </w:r>
    </w:p>
    <w:p w:rsidR="00F05A89" w:rsidRPr="00F05A89" w:rsidRDefault="00F05A89" w:rsidP="00F33F14">
      <w:pPr>
        <w:spacing w:line="360" w:lineRule="auto"/>
        <w:ind w:rightChars="1000" w:right="2100" w:firstLine="420"/>
        <w:rPr>
          <w:rFonts w:ascii="楷体" w:eastAsia="楷体" w:hAnsi="楷体"/>
          <w:szCs w:val="21"/>
        </w:rPr>
      </w:pPr>
      <w:r w:rsidRPr="00F05A89">
        <w:rPr>
          <w:rFonts w:ascii="楷体" w:eastAsia="楷体" w:hAnsi="楷体" w:hint="eastAsia"/>
          <w:szCs w:val="21"/>
        </w:rPr>
        <w:t>除失业风险之外，消灭僵尸企业带来的最大风险是金融风险，尤其在中国。过剩企业与银行相互依赖过高。</w:t>
      </w:r>
    </w:p>
    <w:p w:rsidR="00F05A89" w:rsidRPr="00F05A89" w:rsidRDefault="00F05A89" w:rsidP="00F33F14">
      <w:pPr>
        <w:spacing w:line="360" w:lineRule="auto"/>
        <w:ind w:rightChars="1000" w:right="2100" w:firstLine="420"/>
        <w:rPr>
          <w:rFonts w:ascii="楷体" w:eastAsia="楷体" w:hAnsi="楷体"/>
          <w:szCs w:val="21"/>
        </w:rPr>
      </w:pPr>
      <w:r w:rsidRPr="00F05A89">
        <w:rPr>
          <w:rFonts w:ascii="楷体" w:eastAsia="楷体" w:hAnsi="楷体" w:hint="eastAsia"/>
          <w:szCs w:val="21"/>
        </w:rPr>
        <w:t>美国完善的不良资产消化体系包括：（1）政府推动的外部处置。成立了重组信托公司（RTC）与联邦保险公司（FDIC）。（2）银行自主的内部处置，将母银行的不良资产剥离到单独成立的子公司。</w:t>
      </w:r>
    </w:p>
    <w:p w:rsidR="0084212B" w:rsidRDefault="00F05A89" w:rsidP="00F33F14">
      <w:pPr>
        <w:spacing w:line="360" w:lineRule="auto"/>
        <w:ind w:rightChars="1000" w:right="2100" w:firstLine="420"/>
        <w:rPr>
          <w:rFonts w:ascii="楷体" w:eastAsia="楷体" w:hAnsi="楷体"/>
          <w:szCs w:val="21"/>
        </w:rPr>
      </w:pPr>
      <w:r w:rsidRPr="00F05A89">
        <w:rPr>
          <w:rFonts w:ascii="楷体" w:eastAsia="楷体" w:hAnsi="楷体" w:hint="eastAsia"/>
          <w:szCs w:val="21"/>
        </w:rPr>
        <w:t>中国在90年代去产能的经验有：（1）加大冲销坏账的力度和速度。（2）组建资产管理公司，剥离有毒资产。（3）通过多种手段补充银行资本金。如图：</w:t>
      </w:r>
    </w:p>
    <w:tbl>
      <w:tblPr>
        <w:tblW w:w="8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32"/>
        <w:gridCol w:w="1167"/>
      </w:tblGrid>
      <w:tr w:rsidR="009F3E97" w:rsidRPr="009F3E97" w:rsidTr="000054D6">
        <w:trPr>
          <w:trHeight w:hRule="exact" w:val="393"/>
        </w:trPr>
        <w:tc>
          <w:tcPr>
            <w:tcW w:w="7132" w:type="dxa"/>
            <w:tcBorders>
              <w:top w:val="nil"/>
              <w:left w:val="nil"/>
              <w:bottom w:val="single" w:sz="8" w:space="0" w:color="005096"/>
              <w:right w:val="nil"/>
            </w:tcBorders>
            <w:vAlign w:val="bottom"/>
            <w:hideMark/>
          </w:tcPr>
          <w:p w:rsidR="009F3E97" w:rsidRPr="009F3E97" w:rsidRDefault="009F3E97" w:rsidP="000A0C22">
            <w:pPr>
              <w:pStyle w:val="52"/>
              <w:rPr>
                <w:rFonts w:ascii="华文楷体" w:eastAsia="华文楷体" w:hAnsi="华文楷体"/>
              </w:rPr>
            </w:pPr>
            <w:r w:rsidRPr="009F3E97">
              <w:rPr>
                <w:rFonts w:ascii="华文楷体" w:eastAsia="华文楷体" w:hAnsi="华文楷体" w:hint="eastAsia"/>
              </w:rPr>
              <w:t>图</w:t>
            </w:r>
            <w:r w:rsidR="000A0C22">
              <w:rPr>
                <w:rFonts w:ascii="华文楷体" w:eastAsia="华文楷体" w:hAnsi="华文楷体"/>
              </w:rPr>
              <w:t>1</w:t>
            </w:r>
            <w:r w:rsidRPr="009F3E97">
              <w:rPr>
                <w:rFonts w:ascii="华文楷体" w:eastAsia="华文楷体" w:hAnsi="华文楷体" w:hint="eastAsia"/>
              </w:rPr>
              <w:t>：特别国债注资商业银行流程</w:t>
            </w:r>
          </w:p>
        </w:tc>
        <w:tc>
          <w:tcPr>
            <w:tcW w:w="1167" w:type="dxa"/>
            <w:tcBorders>
              <w:top w:val="nil"/>
              <w:left w:val="nil"/>
              <w:bottom w:val="nil"/>
              <w:right w:val="nil"/>
            </w:tcBorders>
            <w:vAlign w:val="bottom"/>
          </w:tcPr>
          <w:p w:rsidR="009F3E97" w:rsidRPr="009F3E97" w:rsidRDefault="009F3E97" w:rsidP="009F3E97">
            <w:pPr>
              <w:spacing w:line="360" w:lineRule="auto"/>
              <w:rPr>
                <w:rFonts w:ascii="华文楷体" w:eastAsia="华文楷体" w:hAnsi="华文楷体"/>
                <w:sz w:val="22"/>
                <w:szCs w:val="22"/>
              </w:rPr>
            </w:pPr>
          </w:p>
        </w:tc>
      </w:tr>
      <w:tr w:rsidR="009F3E97" w:rsidRPr="009F3E97" w:rsidTr="000054D6">
        <w:trPr>
          <w:trHeight w:val="3965"/>
        </w:trPr>
        <w:tc>
          <w:tcPr>
            <w:tcW w:w="8299" w:type="dxa"/>
            <w:gridSpan w:val="2"/>
            <w:tcBorders>
              <w:top w:val="single" w:sz="8" w:space="0" w:color="005096"/>
              <w:left w:val="nil"/>
              <w:bottom w:val="single" w:sz="8" w:space="0" w:color="005096"/>
              <w:right w:val="nil"/>
            </w:tcBorders>
            <w:hideMark/>
          </w:tcPr>
          <w:p w:rsidR="009F3E97" w:rsidRPr="009F3E97" w:rsidRDefault="009F3E97" w:rsidP="009F3E97">
            <w:pPr>
              <w:spacing w:line="360" w:lineRule="auto"/>
              <w:rPr>
                <w:rFonts w:ascii="华文楷体" w:eastAsia="华文楷体" w:hAnsi="华文楷体"/>
                <w:b/>
                <w:sz w:val="22"/>
                <w:szCs w:val="22"/>
              </w:rPr>
            </w:pPr>
            <w:r w:rsidRPr="009F3E97">
              <w:rPr>
                <w:rFonts w:ascii="华文楷体" w:eastAsia="华文楷体" w:hAnsi="华文楷体"/>
                <w:noProof/>
                <w:sz w:val="22"/>
                <w:szCs w:val="22"/>
              </w:rPr>
              <w:lastRenderedPageBreak/>
              <w:drawing>
                <wp:inline distT="0" distB="0" distL="0" distR="0">
                  <wp:extent cx="5218981" cy="305407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40655" cy="3066754"/>
                          </a:xfrm>
                          <a:prstGeom prst="rect">
                            <a:avLst/>
                          </a:prstGeom>
                        </pic:spPr>
                      </pic:pic>
                    </a:graphicData>
                  </a:graphic>
                </wp:inline>
              </w:drawing>
            </w:r>
          </w:p>
        </w:tc>
      </w:tr>
    </w:tbl>
    <w:p w:rsidR="009F3E97" w:rsidRPr="009F3E97" w:rsidRDefault="009F3E97" w:rsidP="009F3E97">
      <w:pPr>
        <w:spacing w:line="360" w:lineRule="auto"/>
        <w:ind w:rightChars="1000" w:right="2100"/>
        <w:rPr>
          <w:rFonts w:ascii="华文楷体" w:eastAsia="华文楷体" w:hAnsi="华文楷体"/>
          <w:sz w:val="16"/>
          <w:szCs w:val="16"/>
        </w:rPr>
      </w:pPr>
      <w:r w:rsidRPr="009F3E97">
        <w:rPr>
          <w:rFonts w:ascii="华文楷体" w:eastAsia="华文楷体" w:hAnsi="华文楷体" w:hint="eastAsia"/>
          <w:sz w:val="16"/>
          <w:szCs w:val="16"/>
        </w:rPr>
        <w:t>资料来源：民生证券研究院</w:t>
      </w:r>
    </w:p>
    <w:p w:rsidR="0005003B" w:rsidRPr="0005003B" w:rsidRDefault="0005003B" w:rsidP="00DF1AC2">
      <w:pPr>
        <w:spacing w:line="360" w:lineRule="auto"/>
        <w:ind w:rightChars="1000" w:right="2100" w:firstLine="420"/>
        <w:rPr>
          <w:rFonts w:ascii="楷体" w:eastAsia="楷体" w:hAnsi="楷体"/>
          <w:szCs w:val="21"/>
        </w:rPr>
      </w:pPr>
      <w:r w:rsidRPr="0005003B">
        <w:rPr>
          <w:rFonts w:ascii="楷体" w:eastAsia="楷体" w:hAnsi="楷体" w:hint="eastAsia"/>
          <w:szCs w:val="21"/>
        </w:rPr>
        <w:t>区域性银行的不良资产更适合由熟悉地方情况的地方AMC来做。扩大试点，逐步铺开，推动地方AMC，扩大资金来源。</w:t>
      </w:r>
    </w:p>
    <w:p w:rsidR="0005003B" w:rsidRPr="0005003B" w:rsidRDefault="0005003B" w:rsidP="0005003B">
      <w:pPr>
        <w:spacing w:line="360" w:lineRule="auto"/>
        <w:ind w:rightChars="1000" w:right="2100"/>
        <w:rPr>
          <w:rFonts w:ascii="楷体" w:eastAsia="楷体" w:hAnsi="楷体"/>
          <w:szCs w:val="21"/>
        </w:rPr>
      </w:pPr>
    </w:p>
    <w:p w:rsidR="0005003B" w:rsidRPr="0005003B" w:rsidRDefault="0005003B" w:rsidP="0005003B">
      <w:pPr>
        <w:spacing w:line="360" w:lineRule="auto"/>
        <w:ind w:rightChars="1000" w:right="2100"/>
        <w:rPr>
          <w:rFonts w:ascii="楷体" w:eastAsia="楷体" w:hAnsi="楷体"/>
          <w:b/>
          <w:szCs w:val="21"/>
        </w:rPr>
      </w:pPr>
      <w:r>
        <w:rPr>
          <w:rFonts w:ascii="楷体" w:eastAsia="楷体" w:hAnsi="楷体" w:hint="eastAsia"/>
          <w:b/>
          <w:szCs w:val="21"/>
        </w:rPr>
        <w:t xml:space="preserve">3. </w:t>
      </w:r>
      <w:r w:rsidRPr="0005003B">
        <w:rPr>
          <w:rFonts w:ascii="楷体" w:eastAsia="楷体" w:hAnsi="楷体" w:hint="eastAsia"/>
          <w:b/>
          <w:szCs w:val="21"/>
        </w:rPr>
        <w:t>妥善处理就业问题，减少失业风险的掣肘</w:t>
      </w:r>
    </w:p>
    <w:p w:rsidR="0005003B" w:rsidRPr="0005003B" w:rsidRDefault="0005003B" w:rsidP="00DF1AC2">
      <w:pPr>
        <w:spacing w:line="360" w:lineRule="auto"/>
        <w:ind w:rightChars="1000" w:right="2100" w:firstLine="420"/>
        <w:rPr>
          <w:rFonts w:ascii="楷体" w:eastAsia="楷体" w:hAnsi="楷体"/>
          <w:szCs w:val="21"/>
        </w:rPr>
      </w:pPr>
      <w:r w:rsidRPr="0005003B">
        <w:rPr>
          <w:rFonts w:ascii="楷体" w:eastAsia="楷体" w:hAnsi="楷体" w:hint="eastAsia"/>
          <w:szCs w:val="21"/>
        </w:rPr>
        <w:t>消化僵尸企业一定会带来失业，但处理得当，可实现再就业。国际上，从提供资金救助、加强职业培训来解决就业问题。</w:t>
      </w:r>
    </w:p>
    <w:p w:rsidR="0005003B" w:rsidRPr="0005003B" w:rsidRDefault="0005003B" w:rsidP="00DF1AC2">
      <w:pPr>
        <w:spacing w:line="360" w:lineRule="auto"/>
        <w:ind w:rightChars="1000" w:right="2100" w:firstLine="420"/>
        <w:rPr>
          <w:rFonts w:ascii="楷体" w:eastAsia="楷体" w:hAnsi="楷体"/>
          <w:szCs w:val="21"/>
        </w:rPr>
      </w:pPr>
      <w:r w:rsidRPr="0005003B">
        <w:rPr>
          <w:rFonts w:ascii="楷体" w:eastAsia="楷体" w:hAnsi="楷体" w:hint="eastAsia"/>
          <w:szCs w:val="21"/>
        </w:rPr>
        <w:t>（1）日本在淘汰落后产能时制定法案涉及提供就业信息服务，就业指导和职业培训，提供补贴，为原企业提供劳动者停业补助和训练费用延长失业保险金支付时间，安排失业人员参加公共事业。</w:t>
      </w:r>
    </w:p>
    <w:p w:rsidR="0005003B" w:rsidRPr="0005003B" w:rsidRDefault="0005003B" w:rsidP="00DF1AC2">
      <w:pPr>
        <w:spacing w:line="360" w:lineRule="auto"/>
        <w:ind w:rightChars="1000" w:right="2100" w:firstLine="420"/>
        <w:rPr>
          <w:rFonts w:ascii="楷体" w:eastAsia="楷体" w:hAnsi="楷体"/>
          <w:szCs w:val="21"/>
        </w:rPr>
      </w:pPr>
      <w:r w:rsidRPr="0005003B">
        <w:rPr>
          <w:rFonts w:ascii="楷体" w:eastAsia="楷体" w:hAnsi="楷体" w:hint="eastAsia"/>
          <w:szCs w:val="21"/>
        </w:rPr>
        <w:t>（2）美国在处理历次去产能造成的失业过程中，逐步建立起现代的福利制度和再就业培训体系。美国失业保险制度一方面保障了失业者的基本生活，另一方面增强了失业预防和促进再就业的功能。</w:t>
      </w:r>
    </w:p>
    <w:p w:rsidR="0005003B" w:rsidRPr="0005003B" w:rsidRDefault="0005003B" w:rsidP="00DF1AC2">
      <w:pPr>
        <w:spacing w:line="360" w:lineRule="auto"/>
        <w:ind w:rightChars="1000" w:right="2100" w:firstLine="420"/>
        <w:rPr>
          <w:rFonts w:ascii="楷体" w:eastAsia="楷体" w:hAnsi="楷体"/>
          <w:szCs w:val="21"/>
        </w:rPr>
      </w:pPr>
      <w:r w:rsidRPr="0005003B">
        <w:rPr>
          <w:rFonts w:ascii="楷体" w:eastAsia="楷体" w:hAnsi="楷体" w:hint="eastAsia"/>
          <w:szCs w:val="21"/>
        </w:rPr>
        <w:t>（3）韩国在亚洲金融危机之前建立了就业保险制度，主要包括失业保险制度、稳定就业计划和职业技能发展计划三个方面。</w:t>
      </w:r>
    </w:p>
    <w:p w:rsidR="007A5836" w:rsidRPr="00943799" w:rsidRDefault="007A5836" w:rsidP="007A5836">
      <w:pPr>
        <w:spacing w:before="50" w:after="50" w:line="360" w:lineRule="exact"/>
        <w:rPr>
          <w:rFonts w:ascii="华文楷体" w:eastAsia="华文楷体" w:hAnsi="华文楷体"/>
          <w:b/>
          <w:color w:val="005096"/>
          <w:sz w:val="18"/>
          <w:szCs w:val="20"/>
        </w:rPr>
      </w:pPr>
      <w:r w:rsidRPr="00943799">
        <w:rPr>
          <w:rFonts w:ascii="华文楷体" w:eastAsia="华文楷体" w:hAnsi="华文楷体" w:hint="eastAsia"/>
          <w:b/>
          <w:color w:val="005096"/>
          <w:sz w:val="18"/>
          <w:szCs w:val="20"/>
        </w:rPr>
        <w:t>表</w:t>
      </w:r>
      <w:r w:rsidR="000A0C22">
        <w:rPr>
          <w:rFonts w:ascii="华文楷体" w:eastAsia="华文楷体" w:hAnsi="华文楷体"/>
          <w:b/>
          <w:color w:val="005096"/>
          <w:sz w:val="18"/>
          <w:szCs w:val="20"/>
        </w:rPr>
        <w:t>2</w:t>
      </w:r>
      <w:r w:rsidRPr="00943799">
        <w:rPr>
          <w:rFonts w:ascii="华文楷体" w:eastAsia="华文楷体" w:hAnsi="华文楷体" w:hint="eastAsia"/>
          <w:b/>
          <w:color w:val="005096"/>
          <w:sz w:val="18"/>
          <w:szCs w:val="20"/>
        </w:rPr>
        <w:t>：韩国为应对亚洲金融危机提高就业保险制度缴费率</w:t>
      </w:r>
    </w:p>
    <w:tbl>
      <w:tblPr>
        <w:tblStyle w:val="-1111"/>
        <w:tblW w:w="0" w:type="auto"/>
        <w:tblLook w:val="04A0"/>
      </w:tblPr>
      <w:tblGrid>
        <w:gridCol w:w="2840"/>
        <w:gridCol w:w="2841"/>
        <w:gridCol w:w="2841"/>
      </w:tblGrid>
      <w:tr w:rsidR="007A5836" w:rsidRPr="00943799" w:rsidTr="000054D6">
        <w:trPr>
          <w:cnfStyle w:val="100000000000"/>
        </w:trPr>
        <w:tc>
          <w:tcPr>
            <w:cnfStyle w:val="001000000000"/>
            <w:tcW w:w="2840" w:type="dxa"/>
          </w:tcPr>
          <w:p w:rsidR="007A5836" w:rsidRPr="00943799" w:rsidRDefault="007A5836" w:rsidP="000054D6">
            <w:pPr>
              <w:widowControl/>
              <w:spacing w:before="50" w:after="50" w:line="200" w:lineRule="atLeast"/>
              <w:jc w:val="left"/>
              <w:rPr>
                <w:rFonts w:ascii="华文楷体" w:eastAsia="华文楷体" w:hAnsi="华文楷体" w:cs="宋体"/>
                <w:color w:val="1F497D"/>
                <w:sz w:val="16"/>
                <w:szCs w:val="16"/>
              </w:rPr>
            </w:pPr>
          </w:p>
        </w:tc>
        <w:tc>
          <w:tcPr>
            <w:tcW w:w="2841" w:type="dxa"/>
          </w:tcPr>
          <w:p w:rsidR="007A5836" w:rsidRPr="00943799" w:rsidRDefault="007A5836" w:rsidP="000054D6">
            <w:pPr>
              <w:widowControl/>
              <w:spacing w:before="50" w:after="50" w:line="200" w:lineRule="atLeast"/>
              <w:jc w:val="left"/>
              <w:cnfStyle w:val="100000000000"/>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1995-</w:t>
            </w:r>
            <w:r w:rsidRPr="00943799">
              <w:rPr>
                <w:rFonts w:ascii="华文楷体" w:eastAsia="华文楷体" w:hAnsi="华文楷体" w:cs="宋体"/>
                <w:color w:val="1F497D"/>
                <w:sz w:val="16"/>
                <w:szCs w:val="16"/>
              </w:rPr>
              <w:t>1998</w:t>
            </w:r>
          </w:p>
        </w:tc>
        <w:tc>
          <w:tcPr>
            <w:tcW w:w="2841" w:type="dxa"/>
          </w:tcPr>
          <w:p w:rsidR="007A5836" w:rsidRPr="00943799" w:rsidRDefault="007A5836" w:rsidP="000054D6">
            <w:pPr>
              <w:widowControl/>
              <w:spacing w:before="50" w:after="50" w:line="200" w:lineRule="atLeast"/>
              <w:jc w:val="left"/>
              <w:cnfStyle w:val="100000000000"/>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1999-2002</w:t>
            </w:r>
          </w:p>
        </w:tc>
      </w:tr>
      <w:tr w:rsidR="007A5836" w:rsidRPr="00943799" w:rsidTr="000054D6">
        <w:trPr>
          <w:cnfStyle w:val="000000100000"/>
        </w:trPr>
        <w:tc>
          <w:tcPr>
            <w:cnfStyle w:val="001000000000"/>
            <w:tcW w:w="2840" w:type="dxa"/>
          </w:tcPr>
          <w:p w:rsidR="007A5836" w:rsidRPr="00943799" w:rsidRDefault="007A5836" w:rsidP="000054D6">
            <w:pPr>
              <w:widowControl/>
              <w:spacing w:before="50" w:after="50" w:line="200" w:lineRule="atLeast"/>
              <w:jc w:val="left"/>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失业保险制度（雇佣双方均摊）</w:t>
            </w:r>
          </w:p>
        </w:tc>
        <w:tc>
          <w:tcPr>
            <w:tcW w:w="2841" w:type="dxa"/>
          </w:tcPr>
          <w:p w:rsidR="007A5836" w:rsidRPr="00943799" w:rsidRDefault="007A5836" w:rsidP="000054D6">
            <w:pPr>
              <w:widowControl/>
              <w:spacing w:before="50" w:after="50" w:line="200" w:lineRule="atLeast"/>
              <w:jc w:val="left"/>
              <w:cnfStyle w:val="000000100000"/>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0.3/0.3</w:t>
            </w:r>
          </w:p>
        </w:tc>
        <w:tc>
          <w:tcPr>
            <w:tcW w:w="2841" w:type="dxa"/>
          </w:tcPr>
          <w:p w:rsidR="007A5836" w:rsidRPr="00943799" w:rsidRDefault="007A5836" w:rsidP="000054D6">
            <w:pPr>
              <w:widowControl/>
              <w:spacing w:before="50" w:after="50" w:line="200" w:lineRule="atLeast"/>
              <w:jc w:val="left"/>
              <w:cnfStyle w:val="000000100000"/>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0.5/0.5</w:t>
            </w:r>
          </w:p>
        </w:tc>
      </w:tr>
      <w:tr w:rsidR="007A5836" w:rsidRPr="00943799" w:rsidTr="000054D6">
        <w:tc>
          <w:tcPr>
            <w:cnfStyle w:val="001000000000"/>
            <w:tcW w:w="2840" w:type="dxa"/>
          </w:tcPr>
          <w:p w:rsidR="007A5836" w:rsidRPr="00943799" w:rsidRDefault="007A5836" w:rsidP="000054D6">
            <w:pPr>
              <w:widowControl/>
              <w:spacing w:before="50" w:after="50" w:line="200" w:lineRule="atLeast"/>
              <w:jc w:val="left"/>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稳定就业计划（企业）</w:t>
            </w:r>
          </w:p>
        </w:tc>
        <w:tc>
          <w:tcPr>
            <w:tcW w:w="2841" w:type="dxa"/>
          </w:tcPr>
          <w:p w:rsidR="007A5836" w:rsidRPr="00943799" w:rsidRDefault="007A5836" w:rsidP="000054D6">
            <w:pPr>
              <w:widowControl/>
              <w:spacing w:before="50" w:after="50" w:line="200" w:lineRule="atLeast"/>
              <w:jc w:val="left"/>
              <w:cnfStyle w:val="000000000000"/>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0.2</w:t>
            </w:r>
          </w:p>
        </w:tc>
        <w:tc>
          <w:tcPr>
            <w:tcW w:w="2841" w:type="dxa"/>
          </w:tcPr>
          <w:p w:rsidR="007A5836" w:rsidRPr="00943799" w:rsidRDefault="007A5836" w:rsidP="000054D6">
            <w:pPr>
              <w:widowControl/>
              <w:spacing w:before="50" w:after="50" w:line="200" w:lineRule="atLeast"/>
              <w:jc w:val="left"/>
              <w:cnfStyle w:val="000000000000"/>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0.3</w:t>
            </w:r>
          </w:p>
        </w:tc>
      </w:tr>
      <w:tr w:rsidR="007A5836" w:rsidRPr="00943799" w:rsidTr="000054D6">
        <w:trPr>
          <w:cnfStyle w:val="000000100000"/>
        </w:trPr>
        <w:tc>
          <w:tcPr>
            <w:cnfStyle w:val="001000000000"/>
            <w:tcW w:w="2840" w:type="dxa"/>
          </w:tcPr>
          <w:p w:rsidR="007A5836" w:rsidRPr="00943799" w:rsidRDefault="007A5836" w:rsidP="000054D6">
            <w:pPr>
              <w:widowControl/>
              <w:spacing w:before="50" w:after="50" w:line="200" w:lineRule="atLeast"/>
              <w:jc w:val="left"/>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职业技能发展计划（企业，依规模）</w:t>
            </w:r>
          </w:p>
        </w:tc>
        <w:tc>
          <w:tcPr>
            <w:tcW w:w="2841" w:type="dxa"/>
          </w:tcPr>
          <w:p w:rsidR="007A5836" w:rsidRPr="00943799" w:rsidRDefault="007A5836" w:rsidP="000054D6">
            <w:pPr>
              <w:widowControl/>
              <w:spacing w:before="50" w:after="50" w:line="200" w:lineRule="atLeast"/>
              <w:jc w:val="left"/>
              <w:cnfStyle w:val="000000100000"/>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0.1/0.3/0.5</w:t>
            </w:r>
          </w:p>
        </w:tc>
        <w:tc>
          <w:tcPr>
            <w:tcW w:w="2841" w:type="dxa"/>
          </w:tcPr>
          <w:p w:rsidR="007A5836" w:rsidRPr="00943799" w:rsidRDefault="007A5836" w:rsidP="000054D6">
            <w:pPr>
              <w:widowControl/>
              <w:spacing w:before="50" w:after="50" w:line="200" w:lineRule="atLeast"/>
              <w:jc w:val="left"/>
              <w:cnfStyle w:val="000000100000"/>
              <w:rPr>
                <w:rFonts w:ascii="华文楷体" w:eastAsia="华文楷体" w:hAnsi="华文楷体" w:cs="宋体"/>
                <w:color w:val="1F497D"/>
                <w:sz w:val="16"/>
                <w:szCs w:val="16"/>
              </w:rPr>
            </w:pPr>
            <w:r w:rsidRPr="00943799">
              <w:rPr>
                <w:rFonts w:ascii="华文楷体" w:eastAsia="华文楷体" w:hAnsi="华文楷体" w:cs="宋体" w:hint="eastAsia"/>
                <w:color w:val="1F497D"/>
                <w:sz w:val="16"/>
                <w:szCs w:val="16"/>
              </w:rPr>
              <w:t>0.1/0.3/0.5/0.</w:t>
            </w:r>
            <w:r w:rsidRPr="00943799">
              <w:rPr>
                <w:rFonts w:ascii="华文楷体" w:eastAsia="华文楷体" w:hAnsi="华文楷体" w:cs="宋体"/>
                <w:color w:val="1F497D"/>
                <w:sz w:val="16"/>
                <w:szCs w:val="16"/>
              </w:rPr>
              <w:t>7</w:t>
            </w:r>
          </w:p>
        </w:tc>
      </w:tr>
    </w:tbl>
    <w:p w:rsidR="007A5836" w:rsidRPr="00943799" w:rsidRDefault="007A5836" w:rsidP="007A5836">
      <w:pPr>
        <w:rPr>
          <w:rFonts w:ascii="Calibri" w:eastAsia="宋体" w:hAnsi="Calibri"/>
          <w:szCs w:val="22"/>
        </w:rPr>
      </w:pPr>
      <w:r w:rsidRPr="00943799">
        <w:rPr>
          <w:rFonts w:ascii="华文楷体" w:eastAsia="华文楷体" w:hAnsi="华文楷体" w:hint="eastAsia"/>
          <w:sz w:val="16"/>
          <w:szCs w:val="16"/>
        </w:rPr>
        <w:t>资</w:t>
      </w:r>
      <w:r w:rsidRPr="00943799">
        <w:rPr>
          <w:rFonts w:ascii="华文楷体" w:eastAsia="华文楷体" w:hAnsi="华文楷体"/>
          <w:sz w:val="16"/>
          <w:szCs w:val="16"/>
        </w:rPr>
        <w:t>料来源：</w:t>
      </w:r>
      <w:r w:rsidRPr="00943799">
        <w:rPr>
          <w:rFonts w:ascii="华文楷体" w:eastAsia="华文楷体" w:hAnsi="华文楷体" w:hint="eastAsia"/>
          <w:sz w:val="16"/>
          <w:szCs w:val="16"/>
        </w:rPr>
        <w:t xml:space="preserve">《Study on the EIS Premium </w:t>
      </w:r>
      <w:r w:rsidRPr="00943799">
        <w:rPr>
          <w:rFonts w:ascii="华文楷体" w:eastAsia="华文楷体" w:hAnsi="华文楷体"/>
          <w:sz w:val="16"/>
          <w:szCs w:val="16"/>
        </w:rPr>
        <w:t>Rate Adjustment Mechanism</w:t>
      </w:r>
      <w:r w:rsidRPr="00943799">
        <w:rPr>
          <w:rFonts w:ascii="华文楷体" w:eastAsia="华文楷体" w:hAnsi="华文楷体" w:hint="eastAsia"/>
          <w:sz w:val="16"/>
          <w:szCs w:val="16"/>
        </w:rPr>
        <w:t>》，民生证券研究院</w:t>
      </w:r>
    </w:p>
    <w:p w:rsidR="007A5836" w:rsidRPr="00943799" w:rsidRDefault="007A5836" w:rsidP="007A5836">
      <w:pPr>
        <w:spacing w:line="360" w:lineRule="auto"/>
        <w:rPr>
          <w:rFonts w:ascii="华文楷体" w:eastAsia="华文楷体" w:hAnsi="华文楷体"/>
          <w:color w:val="FF0000"/>
          <w:sz w:val="22"/>
          <w:szCs w:val="22"/>
        </w:rPr>
      </w:pPr>
    </w:p>
    <w:tbl>
      <w:tblPr>
        <w:tblW w:w="9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09"/>
      </w:tblGrid>
      <w:tr w:rsidR="007A5836" w:rsidRPr="00943799" w:rsidTr="000054D6">
        <w:trPr>
          <w:trHeight w:hRule="exact" w:val="374"/>
        </w:trPr>
        <w:tc>
          <w:tcPr>
            <w:tcW w:w="9209" w:type="dxa"/>
            <w:tcBorders>
              <w:top w:val="nil"/>
              <w:left w:val="nil"/>
              <w:bottom w:val="single" w:sz="8" w:space="0" w:color="005096"/>
              <w:right w:val="nil"/>
            </w:tcBorders>
            <w:vAlign w:val="bottom"/>
            <w:hideMark/>
          </w:tcPr>
          <w:p w:rsidR="007A5836" w:rsidRPr="00943799" w:rsidRDefault="007A5836" w:rsidP="000A0C22">
            <w:r w:rsidRPr="00943799">
              <w:rPr>
                <w:rFonts w:ascii="华文楷体" w:eastAsia="华文楷体" w:hAnsi="华文楷体" w:hint="eastAsia"/>
                <w:b/>
                <w:color w:val="005096"/>
                <w:sz w:val="18"/>
                <w:szCs w:val="20"/>
              </w:rPr>
              <w:lastRenderedPageBreak/>
              <w:t>图</w:t>
            </w:r>
            <w:r w:rsidR="000A0C22">
              <w:rPr>
                <w:rFonts w:ascii="华文楷体" w:eastAsia="华文楷体" w:hAnsi="华文楷体"/>
                <w:b/>
                <w:color w:val="005096"/>
                <w:sz w:val="18"/>
                <w:szCs w:val="20"/>
              </w:rPr>
              <w:t>2</w:t>
            </w:r>
            <w:r w:rsidRPr="00943799">
              <w:rPr>
                <w:rFonts w:ascii="华文楷体" w:eastAsia="华文楷体" w:hAnsi="华文楷体" w:hint="eastAsia"/>
                <w:b/>
                <w:color w:val="005096"/>
                <w:sz w:val="18"/>
                <w:szCs w:val="20"/>
              </w:rPr>
              <w:t>：美国20世纪80年代以来四次去产能对失业率的冲击</w:t>
            </w:r>
          </w:p>
        </w:tc>
      </w:tr>
      <w:tr w:rsidR="007A5836" w:rsidRPr="00943799" w:rsidTr="000054D6">
        <w:trPr>
          <w:trHeight w:val="3776"/>
        </w:trPr>
        <w:tc>
          <w:tcPr>
            <w:tcW w:w="9209" w:type="dxa"/>
            <w:tcBorders>
              <w:top w:val="single" w:sz="8" w:space="0" w:color="005096"/>
              <w:left w:val="nil"/>
              <w:bottom w:val="single" w:sz="8" w:space="0" w:color="005096"/>
              <w:right w:val="nil"/>
            </w:tcBorders>
            <w:hideMark/>
          </w:tcPr>
          <w:p w:rsidR="007A5836" w:rsidRPr="00943799" w:rsidRDefault="007A5836" w:rsidP="000054D6">
            <w:pPr>
              <w:rPr>
                <w:rFonts w:ascii="华文楷体" w:eastAsia="华文楷体" w:hAnsi="华文楷体"/>
                <w:b/>
              </w:rPr>
            </w:pPr>
            <w:r w:rsidRPr="00943799">
              <w:rPr>
                <w:rFonts w:ascii="华文楷体" w:eastAsia="华文楷体" w:hAnsi="华文楷体"/>
                <w:b/>
                <w:noProof/>
              </w:rPr>
              <w:drawing>
                <wp:inline distT="0" distB="0" distL="0" distR="0">
                  <wp:extent cx="5702300" cy="27711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7693" cy="2773761"/>
                          </a:xfrm>
                          <a:prstGeom prst="rect">
                            <a:avLst/>
                          </a:prstGeom>
                          <a:noFill/>
                          <a:ln>
                            <a:noFill/>
                          </a:ln>
                        </pic:spPr>
                      </pic:pic>
                    </a:graphicData>
                  </a:graphic>
                </wp:inline>
              </w:drawing>
            </w:r>
          </w:p>
        </w:tc>
      </w:tr>
    </w:tbl>
    <w:p w:rsidR="007A5836" w:rsidRPr="00943799" w:rsidRDefault="007A5836" w:rsidP="007A5836">
      <w:pPr>
        <w:spacing w:line="360" w:lineRule="auto"/>
        <w:ind w:rightChars="1000" w:right="2100"/>
        <w:rPr>
          <w:rFonts w:ascii="华文楷体" w:eastAsia="华文楷体" w:hAnsi="华文楷体"/>
          <w:sz w:val="16"/>
          <w:szCs w:val="16"/>
        </w:rPr>
      </w:pPr>
      <w:r w:rsidRPr="00943799">
        <w:rPr>
          <w:rFonts w:ascii="华文楷体" w:eastAsia="华文楷体" w:hAnsi="华文楷体" w:hint="eastAsia"/>
          <w:sz w:val="16"/>
          <w:szCs w:val="16"/>
        </w:rPr>
        <w:t>资料来源：WIND，民生证券研究院</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14"/>
      </w:tblGrid>
      <w:tr w:rsidR="007A5836" w:rsidRPr="00943799" w:rsidTr="000054D6">
        <w:trPr>
          <w:trHeight w:hRule="exact" w:val="420"/>
        </w:trPr>
        <w:tc>
          <w:tcPr>
            <w:tcW w:w="9214" w:type="dxa"/>
            <w:tcBorders>
              <w:top w:val="nil"/>
              <w:left w:val="nil"/>
              <w:bottom w:val="single" w:sz="8" w:space="0" w:color="005096"/>
              <w:right w:val="nil"/>
            </w:tcBorders>
            <w:vAlign w:val="bottom"/>
            <w:hideMark/>
          </w:tcPr>
          <w:p w:rsidR="007A5836" w:rsidRPr="00943799" w:rsidRDefault="007A5836" w:rsidP="000A0C22">
            <w:r w:rsidRPr="00943799">
              <w:rPr>
                <w:rFonts w:ascii="华文楷体" w:eastAsia="华文楷体" w:hAnsi="华文楷体" w:hint="eastAsia"/>
                <w:b/>
                <w:color w:val="005096"/>
                <w:sz w:val="18"/>
                <w:szCs w:val="20"/>
              </w:rPr>
              <w:t>图</w:t>
            </w:r>
            <w:r w:rsidR="000A0C22">
              <w:rPr>
                <w:rFonts w:ascii="华文楷体" w:eastAsia="华文楷体" w:hAnsi="华文楷体"/>
                <w:b/>
                <w:color w:val="005096"/>
                <w:sz w:val="18"/>
                <w:szCs w:val="20"/>
              </w:rPr>
              <w:t>3</w:t>
            </w:r>
            <w:r w:rsidRPr="00943799">
              <w:rPr>
                <w:rFonts w:ascii="华文楷体" w:eastAsia="华文楷体" w:hAnsi="华文楷体" w:hint="eastAsia"/>
                <w:b/>
                <w:color w:val="005096"/>
                <w:sz w:val="18"/>
                <w:szCs w:val="20"/>
              </w:rPr>
              <w:t>：日本去产能对失业率的冲击</w:t>
            </w:r>
          </w:p>
        </w:tc>
      </w:tr>
      <w:tr w:rsidR="007A5836" w:rsidRPr="00943799" w:rsidTr="000054D6">
        <w:trPr>
          <w:trHeight w:val="5297"/>
        </w:trPr>
        <w:tc>
          <w:tcPr>
            <w:tcW w:w="9214" w:type="dxa"/>
            <w:tcBorders>
              <w:top w:val="single" w:sz="8" w:space="0" w:color="005096"/>
              <w:left w:val="nil"/>
              <w:bottom w:val="single" w:sz="8" w:space="0" w:color="005096"/>
              <w:right w:val="nil"/>
            </w:tcBorders>
            <w:hideMark/>
          </w:tcPr>
          <w:p w:rsidR="007A5836" w:rsidRPr="00943799" w:rsidRDefault="007A5836" w:rsidP="000054D6">
            <w:pPr>
              <w:rPr>
                <w:rFonts w:ascii="华文楷体" w:eastAsia="华文楷体" w:hAnsi="华文楷体"/>
                <w:b/>
              </w:rPr>
            </w:pPr>
            <w:r w:rsidRPr="00943799">
              <w:rPr>
                <w:rFonts w:ascii="华文楷体" w:eastAsia="华文楷体" w:hAnsi="华文楷体"/>
                <w:b/>
                <w:noProof/>
              </w:rPr>
              <w:drawing>
                <wp:inline distT="0" distB="0" distL="0" distR="0">
                  <wp:extent cx="5664200" cy="32480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5492" cy="3248766"/>
                          </a:xfrm>
                          <a:prstGeom prst="rect">
                            <a:avLst/>
                          </a:prstGeom>
                          <a:noFill/>
                          <a:ln>
                            <a:noFill/>
                          </a:ln>
                        </pic:spPr>
                      </pic:pic>
                    </a:graphicData>
                  </a:graphic>
                </wp:inline>
              </w:drawing>
            </w:r>
          </w:p>
        </w:tc>
      </w:tr>
    </w:tbl>
    <w:p w:rsidR="007A5836" w:rsidRPr="00943799" w:rsidRDefault="007A5836" w:rsidP="007A5836">
      <w:pPr>
        <w:spacing w:line="360" w:lineRule="auto"/>
        <w:ind w:rightChars="1000" w:right="2100"/>
        <w:rPr>
          <w:rFonts w:ascii="华文楷体" w:eastAsia="华文楷体" w:hAnsi="华文楷体"/>
          <w:sz w:val="16"/>
          <w:szCs w:val="16"/>
        </w:rPr>
      </w:pPr>
      <w:r w:rsidRPr="00943799">
        <w:rPr>
          <w:rFonts w:ascii="华文楷体" w:eastAsia="华文楷体" w:hAnsi="华文楷体" w:hint="eastAsia"/>
          <w:sz w:val="16"/>
          <w:szCs w:val="16"/>
        </w:rPr>
        <w:t>资料来源：WIND，民生证券研究院</w:t>
      </w:r>
    </w:p>
    <w:p w:rsidR="00675402" w:rsidRPr="00675402" w:rsidRDefault="00675402" w:rsidP="00675402">
      <w:pPr>
        <w:spacing w:line="360" w:lineRule="auto"/>
        <w:ind w:rightChars="1000" w:right="2100"/>
        <w:rPr>
          <w:rFonts w:ascii="楷体" w:eastAsia="楷体" w:hAnsi="楷体"/>
          <w:szCs w:val="21"/>
        </w:rPr>
      </w:pPr>
    </w:p>
    <w:p w:rsidR="00675402" w:rsidRPr="00675402" w:rsidRDefault="00675402" w:rsidP="00675402">
      <w:pPr>
        <w:spacing w:line="360" w:lineRule="auto"/>
        <w:ind w:rightChars="1000" w:right="2100"/>
        <w:rPr>
          <w:rFonts w:ascii="楷体" w:eastAsia="楷体" w:hAnsi="楷体"/>
          <w:b/>
          <w:szCs w:val="21"/>
        </w:rPr>
      </w:pPr>
      <w:r w:rsidRPr="00675402">
        <w:rPr>
          <w:rFonts w:ascii="楷体" w:eastAsia="楷体" w:hAnsi="楷体" w:hint="eastAsia"/>
          <w:b/>
          <w:szCs w:val="21"/>
        </w:rPr>
        <w:t>4.</w:t>
      </w:r>
      <w:r w:rsidRPr="00675402">
        <w:rPr>
          <w:rFonts w:ascii="楷体" w:eastAsia="楷体" w:hAnsi="楷体" w:hint="eastAsia"/>
          <w:b/>
          <w:szCs w:val="21"/>
        </w:rPr>
        <w:tab/>
        <w:t>鼓励企业兼并重组，提高行业集中度。</w:t>
      </w:r>
    </w:p>
    <w:p w:rsidR="00675402" w:rsidRPr="00675402" w:rsidRDefault="00675402" w:rsidP="00DF1AC2">
      <w:pPr>
        <w:spacing w:line="360" w:lineRule="auto"/>
        <w:ind w:rightChars="1000" w:right="2100" w:firstLine="420"/>
        <w:rPr>
          <w:rFonts w:ascii="楷体" w:eastAsia="楷体" w:hAnsi="楷体"/>
          <w:szCs w:val="21"/>
        </w:rPr>
      </w:pPr>
      <w:r w:rsidRPr="00675402">
        <w:rPr>
          <w:rFonts w:ascii="楷体" w:eastAsia="楷体" w:hAnsi="楷体" w:hint="eastAsia"/>
          <w:szCs w:val="21"/>
        </w:rPr>
        <w:t>中央经济工作会议提出“多兼并重组，少破产清算”。破产清算社会成本较高的情况下，兼并重组能发挥三大作用：一是减少产能存量和调整结构；二是控制增量；三是加强政府的调控能力。兼并重组应以市场为导向。</w:t>
      </w:r>
    </w:p>
    <w:p w:rsidR="00675402" w:rsidRPr="00675402" w:rsidRDefault="00675402" w:rsidP="00DF1AC2">
      <w:pPr>
        <w:spacing w:line="360" w:lineRule="auto"/>
        <w:ind w:rightChars="1000" w:right="2100" w:firstLine="420"/>
        <w:rPr>
          <w:rFonts w:ascii="楷体" w:eastAsia="楷体" w:hAnsi="楷体"/>
          <w:szCs w:val="21"/>
        </w:rPr>
      </w:pPr>
      <w:r w:rsidRPr="00675402">
        <w:rPr>
          <w:rFonts w:ascii="楷体" w:eastAsia="楷体" w:hAnsi="楷体" w:hint="eastAsia"/>
          <w:szCs w:val="21"/>
        </w:rPr>
        <w:t>美国钢铁业历史上经历过两次重大兼并重组。第一次是在20世纪初钢铁行业出现产</w:t>
      </w:r>
      <w:r w:rsidRPr="00675402">
        <w:rPr>
          <w:rFonts w:ascii="楷体" w:eastAsia="楷体" w:hAnsi="楷体" w:hint="eastAsia"/>
          <w:szCs w:val="21"/>
        </w:rPr>
        <w:lastRenderedPageBreak/>
        <w:t>能过剩，在金融资本的支持下掀起兼并重组浪潮。日韩等国都经历过相似过程。另外，美国在应对21世纪初由于互联网泡沫造成的过度投资和产能过剩时，也主要是通过让企业破产和并购重组等方式缓解这轮高新技术产业产能过剩。</w:t>
      </w:r>
    </w:p>
    <w:p w:rsidR="00F05A89" w:rsidRPr="007A5836" w:rsidRDefault="00675402" w:rsidP="00DF1AC2">
      <w:pPr>
        <w:spacing w:line="360" w:lineRule="auto"/>
        <w:ind w:rightChars="1000" w:right="2100" w:firstLine="420"/>
        <w:rPr>
          <w:rFonts w:ascii="楷体" w:eastAsia="楷体" w:hAnsi="楷体"/>
          <w:szCs w:val="21"/>
        </w:rPr>
      </w:pPr>
      <w:r w:rsidRPr="00675402">
        <w:rPr>
          <w:rFonts w:ascii="楷体" w:eastAsia="楷体" w:hAnsi="楷体" w:hint="eastAsia"/>
          <w:szCs w:val="21"/>
        </w:rPr>
        <w:t>日本在应对20世纪70年代和80年代后期两次造船行业大萧条时期，大力推动行业兼并重组来削减过剩产能。</w:t>
      </w:r>
    </w:p>
    <w:p w:rsidR="00BF1827" w:rsidRPr="00F27E5D" w:rsidRDefault="00BF1827" w:rsidP="00BF1827">
      <w:pPr>
        <w:spacing w:before="50" w:after="50" w:line="360" w:lineRule="exact"/>
        <w:rPr>
          <w:rFonts w:ascii="华文楷体" w:eastAsia="华文楷体" w:hAnsi="华文楷体"/>
          <w:b/>
          <w:color w:val="005096"/>
          <w:sz w:val="18"/>
          <w:szCs w:val="20"/>
        </w:rPr>
      </w:pPr>
      <w:r w:rsidRPr="00F27E5D">
        <w:rPr>
          <w:rFonts w:ascii="华文楷体" w:eastAsia="华文楷体" w:hAnsi="华文楷体" w:hint="eastAsia"/>
          <w:b/>
          <w:color w:val="005096"/>
          <w:sz w:val="18"/>
          <w:szCs w:val="20"/>
        </w:rPr>
        <w:t>表</w:t>
      </w:r>
      <w:r w:rsidR="000A0C22">
        <w:rPr>
          <w:rFonts w:ascii="华文楷体" w:eastAsia="华文楷体" w:hAnsi="华文楷体" w:hint="eastAsia"/>
          <w:b/>
          <w:color w:val="005096"/>
          <w:sz w:val="18"/>
          <w:szCs w:val="20"/>
        </w:rPr>
        <w:t>3</w:t>
      </w:r>
      <w:r w:rsidRPr="00F27E5D">
        <w:rPr>
          <w:rFonts w:ascii="华文楷体" w:eastAsia="华文楷体" w:hAnsi="华文楷体" w:hint="eastAsia"/>
          <w:b/>
          <w:color w:val="005096"/>
          <w:sz w:val="18"/>
          <w:szCs w:val="20"/>
        </w:rPr>
        <w:t>：2014年全球六大产钢国的钢铁行业集中度对比</w:t>
      </w:r>
    </w:p>
    <w:tbl>
      <w:tblPr>
        <w:tblStyle w:val="-11111"/>
        <w:tblW w:w="8505" w:type="dxa"/>
        <w:tblLook w:val="04A0"/>
      </w:tblPr>
      <w:tblGrid>
        <w:gridCol w:w="1852"/>
        <w:gridCol w:w="1102"/>
        <w:gridCol w:w="1138"/>
        <w:gridCol w:w="1138"/>
        <w:gridCol w:w="1138"/>
        <w:gridCol w:w="997"/>
        <w:gridCol w:w="1140"/>
      </w:tblGrid>
      <w:tr w:rsidR="00BF1827" w:rsidRPr="00F27E5D" w:rsidTr="000054D6">
        <w:trPr>
          <w:cnfStyle w:val="100000000000"/>
          <w:trHeight w:val="280"/>
        </w:trPr>
        <w:tc>
          <w:tcPr>
            <w:cnfStyle w:val="001000000000"/>
            <w:tcW w:w="1089" w:type="pct"/>
            <w:noWrap/>
            <w:hideMark/>
          </w:tcPr>
          <w:p w:rsidR="00BF1827" w:rsidRPr="00F27E5D" w:rsidRDefault="00BF1827" w:rsidP="000054D6">
            <w:pPr>
              <w:widowControl/>
              <w:spacing w:before="50" w:after="50" w:line="200" w:lineRule="atLeast"/>
              <w:jc w:val="left"/>
              <w:rPr>
                <w:rFonts w:ascii="微软雅黑" w:eastAsia="微软雅黑" w:hAnsi="微软雅黑" w:cs="宋体"/>
                <w:color w:val="1F497D"/>
                <w:sz w:val="18"/>
                <w:szCs w:val="16"/>
              </w:rPr>
            </w:pPr>
          </w:p>
        </w:tc>
        <w:tc>
          <w:tcPr>
            <w:tcW w:w="648" w:type="pct"/>
            <w:noWrap/>
            <w:hideMark/>
          </w:tcPr>
          <w:p w:rsidR="00BF1827" w:rsidRPr="00F27E5D" w:rsidRDefault="00BF1827" w:rsidP="000054D6">
            <w:pPr>
              <w:widowControl/>
              <w:spacing w:before="50" w:after="50" w:line="200" w:lineRule="atLeast"/>
              <w:jc w:val="left"/>
              <w:cnfStyle w:val="1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中国</w:t>
            </w:r>
          </w:p>
        </w:tc>
        <w:tc>
          <w:tcPr>
            <w:tcW w:w="669" w:type="pct"/>
            <w:noWrap/>
            <w:hideMark/>
          </w:tcPr>
          <w:p w:rsidR="00BF1827" w:rsidRPr="00F27E5D" w:rsidRDefault="00BF1827" w:rsidP="000054D6">
            <w:pPr>
              <w:widowControl/>
              <w:spacing w:before="50" w:after="50" w:line="200" w:lineRule="atLeast"/>
              <w:jc w:val="left"/>
              <w:cnfStyle w:val="1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日本</w:t>
            </w:r>
          </w:p>
        </w:tc>
        <w:tc>
          <w:tcPr>
            <w:tcW w:w="669" w:type="pct"/>
            <w:noWrap/>
            <w:hideMark/>
          </w:tcPr>
          <w:p w:rsidR="00BF1827" w:rsidRPr="00F27E5D" w:rsidRDefault="00BF1827" w:rsidP="000054D6">
            <w:pPr>
              <w:widowControl/>
              <w:spacing w:before="50" w:after="50" w:line="200" w:lineRule="atLeast"/>
              <w:jc w:val="left"/>
              <w:cnfStyle w:val="1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美国</w:t>
            </w:r>
          </w:p>
        </w:tc>
        <w:tc>
          <w:tcPr>
            <w:tcW w:w="669" w:type="pct"/>
            <w:noWrap/>
            <w:hideMark/>
          </w:tcPr>
          <w:p w:rsidR="00BF1827" w:rsidRPr="00F27E5D" w:rsidRDefault="00BF1827" w:rsidP="000054D6">
            <w:pPr>
              <w:widowControl/>
              <w:spacing w:before="50" w:after="50" w:line="200" w:lineRule="atLeast"/>
              <w:jc w:val="left"/>
              <w:cnfStyle w:val="1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印度</w:t>
            </w:r>
          </w:p>
        </w:tc>
        <w:tc>
          <w:tcPr>
            <w:tcW w:w="586" w:type="pct"/>
            <w:noWrap/>
            <w:hideMark/>
          </w:tcPr>
          <w:p w:rsidR="00BF1827" w:rsidRPr="00F27E5D" w:rsidRDefault="00BF1827" w:rsidP="000054D6">
            <w:pPr>
              <w:widowControl/>
              <w:spacing w:before="50" w:after="50" w:line="200" w:lineRule="atLeast"/>
              <w:jc w:val="left"/>
              <w:cnfStyle w:val="1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韩国</w:t>
            </w:r>
          </w:p>
        </w:tc>
        <w:tc>
          <w:tcPr>
            <w:tcW w:w="670" w:type="pct"/>
            <w:noWrap/>
            <w:hideMark/>
          </w:tcPr>
          <w:p w:rsidR="00BF1827" w:rsidRPr="00F27E5D" w:rsidRDefault="00BF1827" w:rsidP="000054D6">
            <w:pPr>
              <w:widowControl/>
              <w:spacing w:before="50" w:after="50" w:line="200" w:lineRule="atLeast"/>
              <w:jc w:val="left"/>
              <w:cnfStyle w:val="1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俄罗斯</w:t>
            </w:r>
          </w:p>
        </w:tc>
      </w:tr>
      <w:tr w:rsidR="00BF1827" w:rsidRPr="00F27E5D" w:rsidTr="000054D6">
        <w:trPr>
          <w:cnfStyle w:val="000000100000"/>
          <w:trHeight w:val="280"/>
        </w:trPr>
        <w:tc>
          <w:tcPr>
            <w:cnfStyle w:val="001000000000"/>
            <w:tcW w:w="1089" w:type="pct"/>
            <w:noWrap/>
            <w:hideMark/>
          </w:tcPr>
          <w:p w:rsidR="00BF1827" w:rsidRPr="00F27E5D" w:rsidRDefault="00BF1827" w:rsidP="000054D6">
            <w:pPr>
              <w:widowControl/>
              <w:spacing w:before="50" w:after="50" w:line="200" w:lineRule="atLeast"/>
              <w:jc w:val="left"/>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粗钢产量(百万吨)</w:t>
            </w:r>
          </w:p>
        </w:tc>
        <w:tc>
          <w:tcPr>
            <w:tcW w:w="648"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822.7</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110.7</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88.2</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86.5</w:t>
            </w:r>
          </w:p>
        </w:tc>
        <w:tc>
          <w:tcPr>
            <w:tcW w:w="586"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71.5</w:t>
            </w:r>
          </w:p>
        </w:tc>
        <w:tc>
          <w:tcPr>
            <w:tcW w:w="670"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71.5</w:t>
            </w:r>
          </w:p>
        </w:tc>
      </w:tr>
      <w:tr w:rsidR="00BF1827" w:rsidRPr="00F27E5D" w:rsidTr="000054D6">
        <w:trPr>
          <w:trHeight w:val="280"/>
        </w:trPr>
        <w:tc>
          <w:tcPr>
            <w:cnfStyle w:val="001000000000"/>
            <w:tcW w:w="1089" w:type="pct"/>
            <w:noWrap/>
            <w:hideMark/>
          </w:tcPr>
          <w:p w:rsidR="00BF1827" w:rsidRPr="00F27E5D" w:rsidRDefault="00BF1827" w:rsidP="000054D6">
            <w:pPr>
              <w:widowControl/>
              <w:spacing w:before="50" w:after="50" w:line="200" w:lineRule="atLeast"/>
              <w:jc w:val="left"/>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占世界粗钢产量比重</w:t>
            </w:r>
          </w:p>
        </w:tc>
        <w:tc>
          <w:tcPr>
            <w:tcW w:w="648"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49.4%</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6.7%</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5.3%</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5.2%</w:t>
            </w:r>
          </w:p>
        </w:tc>
        <w:tc>
          <w:tcPr>
            <w:tcW w:w="586"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4.3%</w:t>
            </w:r>
          </w:p>
        </w:tc>
        <w:tc>
          <w:tcPr>
            <w:tcW w:w="670"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4.3%</w:t>
            </w:r>
          </w:p>
        </w:tc>
      </w:tr>
      <w:tr w:rsidR="00BF1827" w:rsidRPr="00F27E5D" w:rsidTr="000054D6">
        <w:trPr>
          <w:cnfStyle w:val="000000100000"/>
          <w:trHeight w:val="280"/>
        </w:trPr>
        <w:tc>
          <w:tcPr>
            <w:cnfStyle w:val="001000000000"/>
            <w:tcW w:w="1089" w:type="pct"/>
            <w:noWrap/>
            <w:hideMark/>
          </w:tcPr>
          <w:p w:rsidR="00BF1827" w:rsidRPr="00F27E5D" w:rsidRDefault="00BF1827" w:rsidP="000054D6">
            <w:pPr>
              <w:widowControl/>
              <w:spacing w:before="50" w:after="50" w:line="200" w:lineRule="atLeast"/>
              <w:jc w:val="left"/>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CR1</w:t>
            </w:r>
          </w:p>
        </w:tc>
        <w:tc>
          <w:tcPr>
            <w:tcW w:w="648"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5.7%</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42.9%</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24.3%</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30.5%</w:t>
            </w:r>
          </w:p>
        </w:tc>
        <w:tc>
          <w:tcPr>
            <w:tcW w:w="586"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52.7%</w:t>
            </w:r>
          </w:p>
        </w:tc>
        <w:tc>
          <w:tcPr>
            <w:tcW w:w="670"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22.5%</w:t>
            </w:r>
          </w:p>
        </w:tc>
      </w:tr>
      <w:tr w:rsidR="00BF1827" w:rsidRPr="00F27E5D" w:rsidTr="000054D6">
        <w:trPr>
          <w:trHeight w:val="280"/>
        </w:trPr>
        <w:tc>
          <w:tcPr>
            <w:cnfStyle w:val="001000000000"/>
            <w:tcW w:w="1089" w:type="pct"/>
            <w:noWrap/>
            <w:hideMark/>
          </w:tcPr>
          <w:p w:rsidR="00BF1827" w:rsidRPr="00F27E5D" w:rsidRDefault="00BF1827" w:rsidP="000054D6">
            <w:pPr>
              <w:widowControl/>
              <w:spacing w:before="50" w:after="50" w:line="200" w:lineRule="atLeast"/>
              <w:jc w:val="left"/>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CR2</w:t>
            </w:r>
          </w:p>
        </w:tc>
        <w:tc>
          <w:tcPr>
            <w:tcW w:w="648"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11.0%</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73.9%</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46.6%</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46.2%</w:t>
            </w:r>
          </w:p>
        </w:tc>
        <w:tc>
          <w:tcPr>
            <w:tcW w:w="586"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81.4%</w:t>
            </w:r>
          </w:p>
        </w:tc>
        <w:tc>
          <w:tcPr>
            <w:tcW w:w="670"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44.2%</w:t>
            </w:r>
          </w:p>
        </w:tc>
      </w:tr>
      <w:tr w:rsidR="00BF1827" w:rsidRPr="00F27E5D" w:rsidTr="000054D6">
        <w:trPr>
          <w:cnfStyle w:val="000000100000"/>
          <w:trHeight w:val="280"/>
        </w:trPr>
        <w:tc>
          <w:tcPr>
            <w:cnfStyle w:val="001000000000"/>
            <w:tcW w:w="1089" w:type="pct"/>
            <w:noWrap/>
            <w:hideMark/>
          </w:tcPr>
          <w:p w:rsidR="00BF1827" w:rsidRPr="00F27E5D" w:rsidRDefault="00BF1827" w:rsidP="000054D6">
            <w:pPr>
              <w:widowControl/>
              <w:spacing w:before="50" w:after="50" w:line="200" w:lineRule="atLeast"/>
              <w:jc w:val="left"/>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CR3</w:t>
            </w:r>
          </w:p>
        </w:tc>
        <w:tc>
          <w:tcPr>
            <w:tcW w:w="648"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15.3%</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80.9%</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N/A</w:t>
            </w:r>
          </w:p>
        </w:tc>
        <w:tc>
          <w:tcPr>
            <w:tcW w:w="669"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61.0%</w:t>
            </w:r>
          </w:p>
        </w:tc>
        <w:tc>
          <w:tcPr>
            <w:tcW w:w="586"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85.7%</w:t>
            </w:r>
          </w:p>
        </w:tc>
        <w:tc>
          <w:tcPr>
            <w:tcW w:w="670" w:type="pct"/>
            <w:noWrap/>
            <w:hideMark/>
          </w:tcPr>
          <w:p w:rsidR="00BF1827" w:rsidRPr="00F27E5D" w:rsidRDefault="00BF1827" w:rsidP="000054D6">
            <w:pPr>
              <w:widowControl/>
              <w:spacing w:before="50" w:after="50" w:line="200" w:lineRule="atLeast"/>
              <w:jc w:val="left"/>
              <w:cnfStyle w:val="0000001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64.1%</w:t>
            </w:r>
          </w:p>
        </w:tc>
      </w:tr>
      <w:tr w:rsidR="00BF1827" w:rsidRPr="00F27E5D" w:rsidTr="000054D6">
        <w:trPr>
          <w:trHeight w:val="280"/>
        </w:trPr>
        <w:tc>
          <w:tcPr>
            <w:cnfStyle w:val="001000000000"/>
            <w:tcW w:w="1089" w:type="pct"/>
            <w:noWrap/>
            <w:hideMark/>
          </w:tcPr>
          <w:p w:rsidR="00BF1827" w:rsidRPr="00F27E5D" w:rsidRDefault="00BF1827" w:rsidP="000054D6">
            <w:pPr>
              <w:widowControl/>
              <w:spacing w:before="50" w:after="50" w:line="200" w:lineRule="atLeast"/>
              <w:jc w:val="left"/>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CR4</w:t>
            </w:r>
          </w:p>
        </w:tc>
        <w:tc>
          <w:tcPr>
            <w:tcW w:w="648"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19.5%</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84.5%</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60.5%</w:t>
            </w:r>
          </w:p>
        </w:tc>
        <w:tc>
          <w:tcPr>
            <w:tcW w:w="669"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67.0%</w:t>
            </w:r>
          </w:p>
        </w:tc>
        <w:tc>
          <w:tcPr>
            <w:tcW w:w="586"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N/A</w:t>
            </w:r>
          </w:p>
        </w:tc>
        <w:tc>
          <w:tcPr>
            <w:tcW w:w="670" w:type="pct"/>
            <w:noWrap/>
            <w:hideMark/>
          </w:tcPr>
          <w:p w:rsidR="00BF1827" w:rsidRPr="00F27E5D" w:rsidRDefault="00BF1827" w:rsidP="000054D6">
            <w:pPr>
              <w:widowControl/>
              <w:spacing w:before="50" w:after="50" w:line="200" w:lineRule="atLeast"/>
              <w:jc w:val="left"/>
              <w:cnfStyle w:val="000000000000"/>
              <w:rPr>
                <w:rFonts w:ascii="微软雅黑" w:eastAsia="微软雅黑" w:hAnsi="微软雅黑" w:cs="宋体"/>
                <w:color w:val="1F497D"/>
                <w:sz w:val="18"/>
                <w:szCs w:val="16"/>
              </w:rPr>
            </w:pPr>
            <w:r w:rsidRPr="00F27E5D">
              <w:rPr>
                <w:rFonts w:ascii="微软雅黑" w:eastAsia="微软雅黑" w:hAnsi="微软雅黑" w:cs="宋体" w:hint="eastAsia"/>
                <w:color w:val="1F497D"/>
                <w:sz w:val="18"/>
                <w:szCs w:val="16"/>
              </w:rPr>
              <w:t>82.2%</w:t>
            </w:r>
          </w:p>
        </w:tc>
      </w:tr>
    </w:tbl>
    <w:p w:rsidR="00BF1827" w:rsidRPr="00F27E5D" w:rsidRDefault="00BF1827" w:rsidP="00BF1827">
      <w:pPr>
        <w:spacing w:line="360" w:lineRule="auto"/>
        <w:ind w:rightChars="1000" w:right="2100"/>
        <w:rPr>
          <w:rFonts w:ascii="华文楷体" w:eastAsia="华文楷体" w:hAnsi="华文楷体"/>
          <w:sz w:val="16"/>
          <w:szCs w:val="16"/>
        </w:rPr>
      </w:pPr>
      <w:r w:rsidRPr="00F27E5D">
        <w:rPr>
          <w:rFonts w:ascii="华文楷体" w:eastAsia="华文楷体" w:hAnsi="华文楷体" w:hint="eastAsia"/>
          <w:sz w:val="16"/>
          <w:szCs w:val="16"/>
        </w:rPr>
        <w:t>资</w:t>
      </w:r>
      <w:r w:rsidRPr="00F27E5D">
        <w:rPr>
          <w:rFonts w:ascii="华文楷体" w:eastAsia="华文楷体" w:hAnsi="华文楷体"/>
          <w:sz w:val="16"/>
          <w:szCs w:val="16"/>
        </w:rPr>
        <w:t>料来源：</w:t>
      </w:r>
      <w:r w:rsidRPr="00F27E5D">
        <w:rPr>
          <w:rFonts w:ascii="华文楷体" w:eastAsia="华文楷体" w:hAnsi="华文楷体" w:hint="eastAsia"/>
          <w:sz w:val="16"/>
          <w:szCs w:val="16"/>
        </w:rPr>
        <w:t>国际钢铁协会（WSA）《2014年世界主要钢铁企业粗钢产量排名》,《</w:t>
      </w:r>
      <w:r w:rsidRPr="00F27E5D">
        <w:rPr>
          <w:rFonts w:ascii="华文楷体" w:eastAsia="华文楷体" w:hAnsi="华文楷体"/>
          <w:sz w:val="16"/>
          <w:szCs w:val="16"/>
        </w:rPr>
        <w:t>WORLD STEEL IN FIGURES 2015</w:t>
      </w:r>
      <w:r w:rsidRPr="00F27E5D">
        <w:rPr>
          <w:rFonts w:ascii="华文楷体" w:eastAsia="华文楷体" w:hAnsi="华文楷体" w:hint="eastAsia"/>
          <w:sz w:val="16"/>
          <w:szCs w:val="16"/>
        </w:rPr>
        <w:t>》，网络新闻，民生证券研究院整理</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54"/>
        <w:gridCol w:w="1310"/>
      </w:tblGrid>
      <w:tr w:rsidR="00BF1827" w:rsidRPr="00F20D66" w:rsidTr="000054D6">
        <w:trPr>
          <w:trHeight w:hRule="exact" w:val="347"/>
        </w:trPr>
        <w:tc>
          <w:tcPr>
            <w:tcW w:w="7054" w:type="dxa"/>
            <w:tcBorders>
              <w:top w:val="nil"/>
              <w:left w:val="nil"/>
              <w:bottom w:val="single" w:sz="8" w:space="0" w:color="005096"/>
              <w:right w:val="nil"/>
            </w:tcBorders>
            <w:vAlign w:val="bottom"/>
            <w:hideMark/>
          </w:tcPr>
          <w:p w:rsidR="00BF1827" w:rsidRPr="00F20D66" w:rsidRDefault="00BF1827" w:rsidP="000054D6">
            <w:pPr>
              <w:spacing w:line="360" w:lineRule="exact"/>
              <w:rPr>
                <w:b/>
                <w:color w:val="005096"/>
                <w:sz w:val="18"/>
                <w:szCs w:val="20"/>
              </w:rPr>
            </w:pPr>
            <w:r w:rsidRPr="00F20D66">
              <w:rPr>
                <w:rFonts w:ascii="华文楷体" w:eastAsia="华文楷体" w:hAnsi="华文楷体" w:hint="eastAsia"/>
                <w:b/>
                <w:color w:val="005096"/>
                <w:sz w:val="18"/>
                <w:szCs w:val="20"/>
              </w:rPr>
              <w:t>图</w:t>
            </w:r>
            <w:r>
              <w:rPr>
                <w:rFonts w:ascii="华文楷体" w:eastAsia="华文楷体" w:hAnsi="华文楷体"/>
                <w:b/>
                <w:color w:val="005096"/>
                <w:sz w:val="18"/>
                <w:szCs w:val="20"/>
              </w:rPr>
              <w:t>4</w:t>
            </w:r>
            <w:r w:rsidRPr="00F20D66">
              <w:rPr>
                <w:rFonts w:ascii="华文楷体" w:eastAsia="华文楷体" w:hAnsi="华文楷体" w:hint="eastAsia"/>
                <w:b/>
                <w:color w:val="005096"/>
                <w:sz w:val="18"/>
                <w:szCs w:val="20"/>
              </w:rPr>
              <w:t>：美国钢铁行业CR4从21世纪初大幅提高</w:t>
            </w:r>
          </w:p>
        </w:tc>
        <w:tc>
          <w:tcPr>
            <w:tcW w:w="1310" w:type="dxa"/>
            <w:tcBorders>
              <w:top w:val="nil"/>
              <w:left w:val="nil"/>
              <w:bottom w:val="nil"/>
              <w:right w:val="nil"/>
            </w:tcBorders>
            <w:vAlign w:val="bottom"/>
          </w:tcPr>
          <w:p w:rsidR="00BF1827" w:rsidRPr="00F20D66" w:rsidRDefault="00BF1827" w:rsidP="000054D6"/>
        </w:tc>
      </w:tr>
      <w:tr w:rsidR="00BF1827" w:rsidRPr="00F20D66" w:rsidTr="000054D6">
        <w:trPr>
          <w:trHeight w:val="3505"/>
        </w:trPr>
        <w:tc>
          <w:tcPr>
            <w:tcW w:w="8364" w:type="dxa"/>
            <w:gridSpan w:val="2"/>
            <w:tcBorders>
              <w:top w:val="single" w:sz="8" w:space="0" w:color="005096"/>
              <w:left w:val="nil"/>
              <w:bottom w:val="single" w:sz="8" w:space="0" w:color="005096"/>
              <w:right w:val="nil"/>
            </w:tcBorders>
            <w:hideMark/>
          </w:tcPr>
          <w:p w:rsidR="00BF1827" w:rsidRPr="00F20D66" w:rsidRDefault="00BF1827" w:rsidP="000054D6">
            <w:pPr>
              <w:rPr>
                <w:rFonts w:ascii="华文楷体" w:eastAsia="华文楷体" w:hAnsi="华文楷体"/>
                <w:b/>
                <w:sz w:val="24"/>
              </w:rPr>
            </w:pPr>
            <w:r w:rsidRPr="00F20D66">
              <w:rPr>
                <w:rFonts w:ascii="华文楷体" w:eastAsia="华文楷体" w:hAnsi="华文楷体"/>
                <w:b/>
                <w:noProof/>
                <w:sz w:val="24"/>
              </w:rPr>
              <w:drawing>
                <wp:inline distT="0" distB="0" distL="0" distR="0">
                  <wp:extent cx="5213350" cy="22764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6331" cy="2282143"/>
                          </a:xfrm>
                          <a:prstGeom prst="rect">
                            <a:avLst/>
                          </a:prstGeom>
                          <a:noFill/>
                          <a:ln>
                            <a:noFill/>
                          </a:ln>
                        </pic:spPr>
                      </pic:pic>
                    </a:graphicData>
                  </a:graphic>
                </wp:inline>
              </w:drawing>
            </w:r>
          </w:p>
        </w:tc>
      </w:tr>
    </w:tbl>
    <w:p w:rsidR="00BF1827" w:rsidRPr="00F20D66" w:rsidRDefault="00BF1827" w:rsidP="00BF1827">
      <w:pPr>
        <w:spacing w:line="360" w:lineRule="auto"/>
        <w:ind w:rightChars="1000" w:right="2100"/>
        <w:rPr>
          <w:rFonts w:ascii="华文楷体" w:eastAsia="华文楷体" w:hAnsi="华文楷体"/>
          <w:sz w:val="16"/>
          <w:szCs w:val="16"/>
        </w:rPr>
      </w:pPr>
      <w:r w:rsidRPr="00F20D66">
        <w:rPr>
          <w:rFonts w:ascii="华文楷体" w:eastAsia="华文楷体" w:hAnsi="华文楷体" w:hint="eastAsia"/>
          <w:sz w:val="16"/>
          <w:szCs w:val="16"/>
        </w:rPr>
        <w:t>资料来源：Bloomberg，民生证券研究院</w:t>
      </w:r>
    </w:p>
    <w:p w:rsidR="00F05A89" w:rsidRDefault="00F05A89" w:rsidP="00F05A89">
      <w:pPr>
        <w:spacing w:line="360" w:lineRule="auto"/>
        <w:ind w:rightChars="1000" w:right="2100"/>
        <w:rPr>
          <w:rFonts w:ascii="楷体" w:eastAsia="楷体" w:hAnsi="楷体"/>
          <w:szCs w:val="21"/>
        </w:rPr>
      </w:pPr>
    </w:p>
    <w:p w:rsidR="00BF1827" w:rsidRPr="00BF1827" w:rsidRDefault="00BF1827" w:rsidP="00BF1827">
      <w:pPr>
        <w:spacing w:line="360" w:lineRule="auto"/>
        <w:ind w:rightChars="1000" w:right="2100"/>
        <w:rPr>
          <w:rFonts w:ascii="楷体" w:eastAsia="楷体" w:hAnsi="楷体"/>
          <w:b/>
          <w:szCs w:val="21"/>
        </w:rPr>
      </w:pPr>
      <w:r w:rsidRPr="00BF1827">
        <w:rPr>
          <w:rFonts w:ascii="楷体" w:eastAsia="楷体" w:hAnsi="楷体" w:hint="eastAsia"/>
          <w:b/>
          <w:szCs w:val="21"/>
        </w:rPr>
        <w:t>5.</w:t>
      </w:r>
      <w:r w:rsidRPr="00BF1827">
        <w:rPr>
          <w:rFonts w:ascii="楷体" w:eastAsia="楷体" w:hAnsi="楷体" w:hint="eastAsia"/>
          <w:b/>
          <w:szCs w:val="21"/>
        </w:rPr>
        <w:tab/>
        <w:t>完善设备注册制度，建立产能监测体系。</w:t>
      </w:r>
    </w:p>
    <w:p w:rsidR="00BF1827" w:rsidRPr="00BF1827" w:rsidRDefault="00BF1827" w:rsidP="00BA59D4">
      <w:pPr>
        <w:spacing w:line="360" w:lineRule="auto"/>
        <w:ind w:rightChars="1000" w:right="2100" w:firstLine="420"/>
        <w:rPr>
          <w:rFonts w:ascii="楷体" w:eastAsia="楷体" w:hAnsi="楷体"/>
          <w:szCs w:val="21"/>
        </w:rPr>
      </w:pPr>
      <w:r w:rsidRPr="00BF1827">
        <w:rPr>
          <w:rFonts w:ascii="楷体" w:eastAsia="楷体" w:hAnsi="楷体" w:hint="eastAsia"/>
          <w:szCs w:val="21"/>
        </w:rPr>
        <w:t>去僵尸企业首先要明确哪些产能过剩最严重，这必须以完善的设备注册制度和产能监测体系为基础。</w:t>
      </w:r>
    </w:p>
    <w:p w:rsidR="00BF1827" w:rsidRPr="00BF1827" w:rsidRDefault="00BF1827" w:rsidP="00BA59D4">
      <w:pPr>
        <w:spacing w:line="360" w:lineRule="auto"/>
        <w:ind w:rightChars="1000" w:right="2100" w:firstLine="420"/>
        <w:rPr>
          <w:rFonts w:ascii="楷体" w:eastAsia="楷体" w:hAnsi="楷体"/>
          <w:szCs w:val="21"/>
        </w:rPr>
      </w:pPr>
      <w:r w:rsidRPr="00BF1827">
        <w:rPr>
          <w:rFonts w:ascii="楷体" w:eastAsia="楷体" w:hAnsi="楷体" w:hint="eastAsia"/>
          <w:szCs w:val="21"/>
        </w:rPr>
        <w:t>（1）美国在二战之后就建立了成熟的工业产能及利用率调查制度，形成了包括生产能力调查、测算、发布在内的工业产出和产能利用监测体系。</w:t>
      </w:r>
    </w:p>
    <w:p w:rsidR="00BF1827" w:rsidRPr="00BF1827" w:rsidRDefault="00BF1827" w:rsidP="00BA59D4">
      <w:pPr>
        <w:spacing w:line="360" w:lineRule="auto"/>
        <w:ind w:rightChars="1000" w:right="2100" w:firstLine="420"/>
        <w:rPr>
          <w:rFonts w:ascii="楷体" w:eastAsia="楷体" w:hAnsi="楷体"/>
          <w:szCs w:val="21"/>
        </w:rPr>
      </w:pPr>
      <w:r w:rsidRPr="00BF1827">
        <w:rPr>
          <w:rFonts w:ascii="楷体" w:eastAsia="楷体" w:hAnsi="楷体" w:hint="eastAsia"/>
          <w:szCs w:val="21"/>
        </w:rPr>
        <w:t>（2）日本在1978年制定《稳定特定萧条产业临时措施法》（特安法），其中就规定在纤维行业，采用设备注册制度。</w:t>
      </w:r>
    </w:p>
    <w:p w:rsidR="00BF1827" w:rsidRPr="00BF1827" w:rsidRDefault="00BF1827" w:rsidP="00BA59D4">
      <w:pPr>
        <w:spacing w:line="360" w:lineRule="auto"/>
        <w:ind w:rightChars="1000" w:right="2100" w:firstLine="420"/>
        <w:rPr>
          <w:rFonts w:ascii="楷体" w:eastAsia="楷体" w:hAnsi="楷体"/>
          <w:szCs w:val="21"/>
        </w:rPr>
      </w:pPr>
      <w:r w:rsidRPr="00BF1827">
        <w:rPr>
          <w:rFonts w:ascii="楷体" w:eastAsia="楷体" w:hAnsi="楷体" w:hint="eastAsia"/>
          <w:szCs w:val="21"/>
        </w:rPr>
        <w:lastRenderedPageBreak/>
        <w:t>（3）我国在2013年4月发布《国务院关于化解产能严重过剩矛盾的指导意见》中，提出“通过5年努力，基本建立过剩行业产能预警体系和监督机制”。但目前并没有完善的设备注册和产能监测体系，而且大部分是各部委各自为战，导致去僵尸企业缺少权威的衡量标准。</w:t>
      </w:r>
    </w:p>
    <w:p w:rsidR="00BF1827" w:rsidRPr="00BF1827" w:rsidRDefault="00BF1827" w:rsidP="00BF1827">
      <w:pPr>
        <w:spacing w:line="360" w:lineRule="auto"/>
        <w:ind w:rightChars="1000" w:right="2100"/>
        <w:rPr>
          <w:rFonts w:ascii="楷体" w:eastAsia="楷体" w:hAnsi="楷体"/>
          <w:szCs w:val="21"/>
        </w:rPr>
      </w:pPr>
    </w:p>
    <w:p w:rsidR="00BF1827" w:rsidRPr="002E7734" w:rsidRDefault="00BF1827" w:rsidP="00BF1827">
      <w:pPr>
        <w:spacing w:line="360" w:lineRule="auto"/>
        <w:ind w:rightChars="1000" w:right="2100"/>
        <w:rPr>
          <w:rFonts w:ascii="楷体" w:eastAsia="楷体" w:hAnsi="楷体"/>
          <w:b/>
          <w:szCs w:val="21"/>
        </w:rPr>
      </w:pPr>
      <w:r w:rsidRPr="00BF1827">
        <w:rPr>
          <w:rFonts w:ascii="楷体" w:eastAsia="楷体" w:hAnsi="楷体" w:hint="eastAsia"/>
          <w:b/>
          <w:szCs w:val="21"/>
        </w:rPr>
        <w:t>6.</w:t>
      </w:r>
      <w:r w:rsidRPr="00BF1827">
        <w:rPr>
          <w:rFonts w:ascii="楷体" w:eastAsia="楷体" w:hAnsi="楷体" w:hint="eastAsia"/>
          <w:b/>
          <w:szCs w:val="21"/>
        </w:rPr>
        <w:tab/>
        <w:t>提高技术、环保、能耗等行业标准，坚决关停不达标企业。</w:t>
      </w:r>
    </w:p>
    <w:p w:rsidR="00BF1827" w:rsidRPr="00BF1827" w:rsidRDefault="00BF1827" w:rsidP="00BA59D4">
      <w:pPr>
        <w:spacing w:line="360" w:lineRule="auto"/>
        <w:ind w:rightChars="1000" w:right="2100" w:firstLine="420"/>
        <w:rPr>
          <w:rFonts w:ascii="楷体" w:eastAsia="楷体" w:hAnsi="楷体"/>
          <w:szCs w:val="21"/>
        </w:rPr>
      </w:pPr>
      <w:r w:rsidRPr="00BF1827">
        <w:rPr>
          <w:rFonts w:ascii="楷体" w:eastAsia="楷体" w:hAnsi="楷体" w:hint="eastAsia"/>
          <w:szCs w:val="21"/>
        </w:rPr>
        <w:t>关停僵尸企业必须要设定明确而严格的标准。既可以阻止生产规模较小、效率较低的小企业继续进入，又对不达标的企业进行关停，引导企业预期。</w:t>
      </w:r>
    </w:p>
    <w:p w:rsidR="00BF1827" w:rsidRPr="00BF1827" w:rsidRDefault="00BF1827" w:rsidP="00BA59D4">
      <w:pPr>
        <w:spacing w:line="360" w:lineRule="auto"/>
        <w:ind w:rightChars="1000" w:right="2100" w:firstLine="420"/>
        <w:rPr>
          <w:rFonts w:ascii="楷体" w:eastAsia="楷体" w:hAnsi="楷体"/>
          <w:szCs w:val="21"/>
        </w:rPr>
      </w:pPr>
      <w:r w:rsidRPr="00BF1827">
        <w:rPr>
          <w:rFonts w:ascii="楷体" w:eastAsia="楷体" w:hAnsi="楷体" w:hint="eastAsia"/>
          <w:szCs w:val="21"/>
        </w:rPr>
        <w:t>（1）日本在1965年制定《新建石油化工中心企业的标准》，规范了新进入使用化工行业的最低标准，获取了规模效益和降低了产品价格。</w:t>
      </w:r>
    </w:p>
    <w:p w:rsidR="00BF1827" w:rsidRPr="00BF1827" w:rsidRDefault="00BF1827" w:rsidP="00BA59D4">
      <w:pPr>
        <w:spacing w:line="360" w:lineRule="auto"/>
        <w:ind w:rightChars="1000" w:right="2100" w:firstLine="420"/>
        <w:rPr>
          <w:rFonts w:ascii="楷体" w:eastAsia="楷体" w:hAnsi="楷体"/>
          <w:szCs w:val="21"/>
        </w:rPr>
      </w:pPr>
      <w:r w:rsidRPr="00BF1827">
        <w:rPr>
          <w:rFonts w:ascii="楷体" w:eastAsia="楷体" w:hAnsi="楷体" w:hint="eastAsia"/>
          <w:szCs w:val="21"/>
        </w:rPr>
        <w:t>（2）美国在应对钢铁产能过剩时，通过1970年的《净化空气法案》和1976年的《资源保护与回收法案》，逐步淘汰技术落后企业。</w:t>
      </w:r>
    </w:p>
    <w:p w:rsidR="00BF1827" w:rsidRPr="00BF1827" w:rsidRDefault="00BF1827" w:rsidP="00BA59D4">
      <w:pPr>
        <w:spacing w:line="360" w:lineRule="auto"/>
        <w:ind w:rightChars="1000" w:right="2100" w:firstLine="420"/>
        <w:rPr>
          <w:rFonts w:ascii="楷体" w:eastAsia="楷体" w:hAnsi="楷体"/>
          <w:szCs w:val="21"/>
        </w:rPr>
      </w:pPr>
      <w:r w:rsidRPr="00BF1827">
        <w:rPr>
          <w:rFonts w:ascii="楷体" w:eastAsia="楷体" w:hAnsi="楷体" w:hint="eastAsia"/>
          <w:szCs w:val="21"/>
        </w:rPr>
        <w:t>（3）中国在2013年7月发布《铝行业规范条件》:在布局与规模、产品质量、能源消耗、环境保护等方面提高了准入标准。十三五提出绿色发展理念，借此提高环保标准，把污染严重的僵尸企业列入黑名单。</w:t>
      </w:r>
    </w:p>
    <w:p w:rsidR="00BF1827" w:rsidRPr="00BF1827" w:rsidRDefault="00BF1827" w:rsidP="00BF1827">
      <w:pPr>
        <w:spacing w:line="360" w:lineRule="auto"/>
        <w:ind w:rightChars="1000" w:right="2100"/>
        <w:rPr>
          <w:rFonts w:ascii="楷体" w:eastAsia="楷体" w:hAnsi="楷体"/>
          <w:szCs w:val="21"/>
        </w:rPr>
      </w:pPr>
    </w:p>
    <w:p w:rsidR="00BF1827" w:rsidRPr="002E7734" w:rsidRDefault="00BF1827" w:rsidP="00BF1827">
      <w:pPr>
        <w:spacing w:line="360" w:lineRule="auto"/>
        <w:ind w:rightChars="1000" w:right="2100"/>
        <w:rPr>
          <w:rFonts w:ascii="楷体" w:eastAsia="楷体" w:hAnsi="楷体"/>
          <w:b/>
          <w:szCs w:val="21"/>
        </w:rPr>
      </w:pPr>
      <w:r w:rsidRPr="00BF1827">
        <w:rPr>
          <w:rFonts w:ascii="楷体" w:eastAsia="楷体" w:hAnsi="楷体" w:hint="eastAsia"/>
          <w:b/>
          <w:szCs w:val="21"/>
        </w:rPr>
        <w:t>7.</w:t>
      </w:r>
      <w:r w:rsidRPr="00BF1827">
        <w:rPr>
          <w:rFonts w:ascii="楷体" w:eastAsia="楷体" w:hAnsi="楷体" w:hint="eastAsia"/>
          <w:b/>
          <w:szCs w:val="21"/>
        </w:rPr>
        <w:tab/>
        <w:t>把淘汰落后产能与增加新产能捆绑。</w:t>
      </w:r>
    </w:p>
    <w:p w:rsidR="00BF1827" w:rsidRPr="00BF1827" w:rsidRDefault="00BF1827" w:rsidP="00CD4ACF">
      <w:pPr>
        <w:spacing w:line="360" w:lineRule="auto"/>
        <w:ind w:rightChars="1000" w:right="2100" w:firstLine="420"/>
        <w:rPr>
          <w:rFonts w:ascii="楷体" w:eastAsia="楷体" w:hAnsi="楷体"/>
          <w:szCs w:val="21"/>
        </w:rPr>
      </w:pPr>
      <w:r w:rsidRPr="00BF1827">
        <w:rPr>
          <w:rFonts w:ascii="楷体" w:eastAsia="楷体" w:hAnsi="楷体" w:hint="eastAsia"/>
          <w:szCs w:val="21"/>
        </w:rPr>
        <w:t>一方面，企业具有对产能进行更新换代、提高生产率的动机。理应方面，对于企业而言，过快过多地淘汰落后产能，会对企业生产能力造成较大冲击。将淘汰落后和增加先进新产能结合，既能避免对企业造成过于剧烈的冲击又能实现产能存量的升级。</w:t>
      </w:r>
    </w:p>
    <w:p w:rsidR="00BF1827" w:rsidRPr="00BF1827" w:rsidRDefault="00BF1827" w:rsidP="00CD4ACF">
      <w:pPr>
        <w:spacing w:line="360" w:lineRule="auto"/>
        <w:ind w:rightChars="1000" w:right="2100" w:firstLine="420"/>
        <w:rPr>
          <w:rFonts w:ascii="楷体" w:eastAsia="楷体" w:hAnsi="楷体"/>
          <w:szCs w:val="21"/>
        </w:rPr>
      </w:pPr>
      <w:r w:rsidRPr="00BF1827">
        <w:rPr>
          <w:rFonts w:ascii="楷体" w:eastAsia="楷体" w:hAnsi="楷体" w:hint="eastAsia"/>
          <w:szCs w:val="21"/>
        </w:rPr>
        <w:t>（1）日本1964年的《纤维工业设备等临时措施法》就采用了废弃两台旧设备才允许添置一台新设备的原则，1967年的《特定纤维构造改善临时措施法》将废弃过剩设备、促进设备现代化和企业规模适当化作为三大基本内容。</w:t>
      </w:r>
    </w:p>
    <w:p w:rsidR="00BF1827" w:rsidRPr="00BF1827" w:rsidRDefault="00BF1827" w:rsidP="00CD4ACF">
      <w:pPr>
        <w:spacing w:line="360" w:lineRule="auto"/>
        <w:ind w:rightChars="1000" w:right="2100" w:firstLine="420"/>
        <w:rPr>
          <w:rFonts w:ascii="楷体" w:eastAsia="楷体" w:hAnsi="楷体"/>
          <w:szCs w:val="21"/>
        </w:rPr>
      </w:pPr>
      <w:r w:rsidRPr="00BF1827">
        <w:rPr>
          <w:rFonts w:ascii="楷体" w:eastAsia="楷体" w:hAnsi="楷体" w:hint="eastAsia"/>
          <w:szCs w:val="21"/>
        </w:rPr>
        <w:t>（2）我国在2014年7月也推出了产能置换方案，对钢铁、电解铝、水泥、平板玻璃等行业实施等量或减量置换。</w:t>
      </w:r>
    </w:p>
    <w:p w:rsidR="00BF1827" w:rsidRPr="00BF1827" w:rsidRDefault="00BF1827" w:rsidP="00BF1827">
      <w:pPr>
        <w:spacing w:line="360" w:lineRule="auto"/>
        <w:ind w:rightChars="1000" w:right="2100"/>
        <w:rPr>
          <w:rFonts w:ascii="楷体" w:eastAsia="楷体" w:hAnsi="楷体"/>
          <w:szCs w:val="21"/>
        </w:rPr>
      </w:pPr>
    </w:p>
    <w:p w:rsidR="00BF1827" w:rsidRPr="002E7734" w:rsidRDefault="00BF1827" w:rsidP="00BF1827">
      <w:pPr>
        <w:spacing w:line="360" w:lineRule="auto"/>
        <w:ind w:rightChars="1000" w:right="2100"/>
        <w:rPr>
          <w:rFonts w:ascii="楷体" w:eastAsia="楷体" w:hAnsi="楷体"/>
          <w:b/>
          <w:szCs w:val="21"/>
        </w:rPr>
      </w:pPr>
      <w:r w:rsidRPr="00BF1827">
        <w:rPr>
          <w:rFonts w:ascii="楷体" w:eastAsia="楷体" w:hAnsi="楷体" w:hint="eastAsia"/>
          <w:b/>
          <w:szCs w:val="21"/>
        </w:rPr>
        <w:t>8.</w:t>
      </w:r>
      <w:r w:rsidRPr="00BF1827">
        <w:rPr>
          <w:rFonts w:ascii="楷体" w:eastAsia="楷体" w:hAnsi="楷体" w:hint="eastAsia"/>
          <w:b/>
          <w:szCs w:val="21"/>
        </w:rPr>
        <w:tab/>
        <w:t>完善破产清算制度，健全市场退出机制</w:t>
      </w:r>
    </w:p>
    <w:p w:rsidR="00BF1827" w:rsidRPr="00BF1827" w:rsidRDefault="00BF1827" w:rsidP="00CD4ACF">
      <w:pPr>
        <w:spacing w:line="360" w:lineRule="auto"/>
        <w:ind w:rightChars="1000" w:right="2100" w:firstLine="420"/>
        <w:rPr>
          <w:rFonts w:ascii="楷体" w:eastAsia="楷体" w:hAnsi="楷体"/>
          <w:szCs w:val="21"/>
        </w:rPr>
      </w:pPr>
      <w:r w:rsidRPr="00BF1827">
        <w:rPr>
          <w:rFonts w:ascii="楷体" w:eastAsia="楷体" w:hAnsi="楷体" w:hint="eastAsia"/>
          <w:szCs w:val="21"/>
        </w:rPr>
        <w:t>通过企业自行注销、进入破产程序以及资本退出机制等市场化退出机制让市场主体自身调整来淘汰或转移过剩产能。</w:t>
      </w:r>
    </w:p>
    <w:p w:rsidR="00BF1827" w:rsidRPr="00BF1827" w:rsidRDefault="00BF1827" w:rsidP="00CD4ACF">
      <w:pPr>
        <w:spacing w:line="360" w:lineRule="auto"/>
        <w:ind w:rightChars="1000" w:right="2100" w:firstLine="420"/>
        <w:rPr>
          <w:rFonts w:ascii="楷体" w:eastAsia="楷体" w:hAnsi="楷体"/>
          <w:szCs w:val="21"/>
        </w:rPr>
      </w:pPr>
      <w:r w:rsidRPr="00BF1827">
        <w:rPr>
          <w:rFonts w:ascii="楷体" w:eastAsia="楷体" w:hAnsi="楷体" w:hint="eastAsia"/>
          <w:szCs w:val="21"/>
        </w:rPr>
        <w:t>（1）日本通过不断完善破产法便于企业退出，2005年实施的新破产法简化了企业破产程序。</w:t>
      </w:r>
    </w:p>
    <w:p w:rsidR="00675402" w:rsidRDefault="00BF1827" w:rsidP="00CD4ACF">
      <w:pPr>
        <w:spacing w:line="360" w:lineRule="auto"/>
        <w:ind w:rightChars="1000" w:right="2100" w:firstLine="420"/>
        <w:rPr>
          <w:rFonts w:ascii="楷体" w:eastAsia="楷体" w:hAnsi="楷体"/>
          <w:szCs w:val="21"/>
        </w:rPr>
      </w:pPr>
      <w:r w:rsidRPr="00BF1827">
        <w:rPr>
          <w:rFonts w:ascii="楷体" w:eastAsia="楷体" w:hAnsi="楷体" w:hint="eastAsia"/>
          <w:szCs w:val="21"/>
        </w:rPr>
        <w:t>（2）美国破产法中的企业破产制度包括破产清算和破产重整两种模式，破产法的重点从清算逐步转向重整，鼓励更多的企业在申请破产时提交重整计划。</w:t>
      </w:r>
    </w:p>
    <w:tbl>
      <w:tblPr>
        <w:tblW w:w="8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54"/>
        <w:gridCol w:w="1154"/>
      </w:tblGrid>
      <w:tr w:rsidR="00720B5C" w:rsidRPr="00710AF6" w:rsidTr="000054D6">
        <w:trPr>
          <w:trHeight w:hRule="exact" w:val="347"/>
        </w:trPr>
        <w:tc>
          <w:tcPr>
            <w:tcW w:w="7054" w:type="dxa"/>
            <w:tcBorders>
              <w:top w:val="nil"/>
              <w:left w:val="nil"/>
              <w:bottom w:val="single" w:sz="8" w:space="0" w:color="005096"/>
              <w:right w:val="nil"/>
            </w:tcBorders>
            <w:vAlign w:val="bottom"/>
            <w:hideMark/>
          </w:tcPr>
          <w:p w:rsidR="00720B5C" w:rsidRPr="00710AF6" w:rsidRDefault="00720B5C" w:rsidP="000054D6">
            <w:pPr>
              <w:spacing w:line="360" w:lineRule="exact"/>
              <w:rPr>
                <w:b/>
                <w:color w:val="005096"/>
                <w:sz w:val="18"/>
                <w:szCs w:val="20"/>
              </w:rPr>
            </w:pPr>
            <w:r w:rsidRPr="00710AF6">
              <w:rPr>
                <w:rFonts w:ascii="华文楷体" w:eastAsia="华文楷体" w:hAnsi="华文楷体" w:hint="eastAsia"/>
                <w:b/>
                <w:color w:val="005096"/>
                <w:sz w:val="18"/>
                <w:szCs w:val="20"/>
              </w:rPr>
              <w:lastRenderedPageBreak/>
              <w:t>图</w:t>
            </w:r>
            <w:r>
              <w:rPr>
                <w:rFonts w:ascii="华文楷体" w:eastAsia="华文楷体" w:hAnsi="华文楷体"/>
                <w:b/>
                <w:color w:val="005096"/>
                <w:sz w:val="18"/>
                <w:szCs w:val="20"/>
              </w:rPr>
              <w:t>5</w:t>
            </w:r>
            <w:r w:rsidRPr="00710AF6">
              <w:rPr>
                <w:rFonts w:ascii="华文楷体" w:eastAsia="华文楷体" w:hAnsi="华文楷体" w:hint="eastAsia"/>
                <w:b/>
                <w:color w:val="005096"/>
                <w:sz w:val="18"/>
                <w:szCs w:val="20"/>
              </w:rPr>
              <w:t>：美国破产企业数在2008-</w:t>
            </w:r>
            <w:r w:rsidRPr="00710AF6">
              <w:rPr>
                <w:rFonts w:ascii="华文楷体" w:eastAsia="华文楷体" w:hAnsi="华文楷体"/>
                <w:b/>
                <w:color w:val="005096"/>
                <w:sz w:val="18"/>
                <w:szCs w:val="20"/>
              </w:rPr>
              <w:t>2010</w:t>
            </w:r>
            <w:r w:rsidRPr="00710AF6">
              <w:rPr>
                <w:rFonts w:ascii="华文楷体" w:eastAsia="华文楷体" w:hAnsi="华文楷体" w:hint="eastAsia"/>
                <w:b/>
                <w:color w:val="005096"/>
                <w:sz w:val="18"/>
                <w:szCs w:val="20"/>
              </w:rPr>
              <w:t>年大幅上升</w:t>
            </w:r>
          </w:p>
        </w:tc>
        <w:tc>
          <w:tcPr>
            <w:tcW w:w="1154" w:type="dxa"/>
            <w:tcBorders>
              <w:top w:val="nil"/>
              <w:left w:val="nil"/>
              <w:bottom w:val="nil"/>
              <w:right w:val="nil"/>
            </w:tcBorders>
            <w:vAlign w:val="bottom"/>
          </w:tcPr>
          <w:p w:rsidR="00720B5C" w:rsidRPr="00710AF6" w:rsidRDefault="00720B5C" w:rsidP="000054D6"/>
        </w:tc>
      </w:tr>
      <w:tr w:rsidR="00720B5C" w:rsidRPr="00710AF6" w:rsidTr="000054D6">
        <w:trPr>
          <w:trHeight w:val="3505"/>
        </w:trPr>
        <w:tc>
          <w:tcPr>
            <w:tcW w:w="8208" w:type="dxa"/>
            <w:gridSpan w:val="2"/>
            <w:tcBorders>
              <w:top w:val="single" w:sz="8" w:space="0" w:color="005096"/>
              <w:left w:val="nil"/>
              <w:bottom w:val="single" w:sz="8" w:space="0" w:color="005096"/>
              <w:right w:val="nil"/>
            </w:tcBorders>
            <w:hideMark/>
          </w:tcPr>
          <w:p w:rsidR="00720B5C" w:rsidRPr="00710AF6" w:rsidRDefault="00720B5C" w:rsidP="000054D6">
            <w:pPr>
              <w:rPr>
                <w:rFonts w:ascii="华文楷体" w:eastAsia="华文楷体" w:hAnsi="华文楷体"/>
                <w:b/>
                <w:sz w:val="24"/>
              </w:rPr>
            </w:pPr>
            <w:r w:rsidRPr="00710AF6">
              <w:rPr>
                <w:rFonts w:ascii="Calibri" w:eastAsia="宋体" w:hAnsi="Calibri"/>
                <w:noProof/>
                <w:szCs w:val="22"/>
              </w:rPr>
              <w:drawing>
                <wp:inline distT="0" distB="0" distL="0" distR="0">
                  <wp:extent cx="5074920" cy="21755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77036" cy="2176417"/>
                          </a:xfrm>
                          <a:prstGeom prst="rect">
                            <a:avLst/>
                          </a:prstGeom>
                        </pic:spPr>
                      </pic:pic>
                    </a:graphicData>
                  </a:graphic>
                </wp:inline>
              </w:drawing>
            </w:r>
          </w:p>
        </w:tc>
      </w:tr>
    </w:tbl>
    <w:p w:rsidR="00720B5C" w:rsidRPr="00710AF6" w:rsidRDefault="00720B5C" w:rsidP="00720B5C">
      <w:pPr>
        <w:spacing w:line="360" w:lineRule="auto"/>
        <w:ind w:rightChars="1000" w:right="2100"/>
        <w:rPr>
          <w:rFonts w:ascii="华文楷体" w:eastAsia="华文楷体" w:hAnsi="华文楷体"/>
          <w:sz w:val="16"/>
          <w:szCs w:val="16"/>
        </w:rPr>
      </w:pPr>
      <w:r w:rsidRPr="00710AF6">
        <w:rPr>
          <w:rFonts w:ascii="华文楷体" w:eastAsia="华文楷体" w:hAnsi="华文楷体" w:hint="eastAsia"/>
          <w:sz w:val="16"/>
          <w:szCs w:val="16"/>
        </w:rPr>
        <w:t>资料来源：www.T</w:t>
      </w:r>
      <w:r w:rsidRPr="00710AF6">
        <w:rPr>
          <w:rFonts w:ascii="华文楷体" w:eastAsia="华文楷体" w:hAnsi="华文楷体"/>
          <w:sz w:val="16"/>
          <w:szCs w:val="16"/>
        </w:rPr>
        <w:t>rading Econmics.com</w:t>
      </w:r>
      <w:r w:rsidRPr="00710AF6">
        <w:rPr>
          <w:rFonts w:ascii="华文楷体" w:eastAsia="华文楷体" w:hAnsi="华文楷体" w:hint="eastAsia"/>
          <w:sz w:val="16"/>
          <w:szCs w:val="16"/>
        </w:rPr>
        <w:t>，民生证券研究院</w:t>
      </w:r>
    </w:p>
    <w:p w:rsidR="00F00D67" w:rsidRPr="00F00D67" w:rsidRDefault="00F00D67" w:rsidP="009D2266">
      <w:pPr>
        <w:spacing w:line="360" w:lineRule="auto"/>
        <w:ind w:rightChars="1000" w:right="2100" w:firstLine="420"/>
        <w:rPr>
          <w:rFonts w:ascii="楷体" w:eastAsia="楷体" w:hAnsi="楷体"/>
          <w:szCs w:val="21"/>
        </w:rPr>
      </w:pPr>
      <w:r w:rsidRPr="00F00D67">
        <w:rPr>
          <w:rFonts w:ascii="楷体" w:eastAsia="楷体" w:hAnsi="楷体" w:hint="eastAsia"/>
          <w:szCs w:val="21"/>
        </w:rPr>
        <w:t>（3）韩国亚洲金融危机后修改了《公司重组法案》和《并购法》等与破产重组相关的法律，2003年的《破产法》整合了过去公司重组、兼并和破产的相关法案，简化了其流程。</w:t>
      </w:r>
    </w:p>
    <w:p w:rsidR="00F00D67" w:rsidRPr="00F00D67" w:rsidRDefault="00F00D67" w:rsidP="009D2266">
      <w:pPr>
        <w:spacing w:line="360" w:lineRule="auto"/>
        <w:ind w:rightChars="1000" w:right="2100" w:firstLine="420"/>
        <w:rPr>
          <w:rFonts w:ascii="楷体" w:eastAsia="楷体" w:hAnsi="楷体"/>
          <w:szCs w:val="21"/>
        </w:rPr>
      </w:pPr>
      <w:r w:rsidRPr="00F00D67">
        <w:rPr>
          <w:rFonts w:ascii="楷体" w:eastAsia="楷体" w:hAnsi="楷体" w:hint="eastAsia"/>
          <w:szCs w:val="21"/>
        </w:rPr>
        <w:t>（4）我国还必须加快完善金融法庭体系，提高办案效率。增加金融法庭数量，提高金融法庭办案效率。</w:t>
      </w:r>
    </w:p>
    <w:p w:rsidR="00F00D67" w:rsidRPr="00F00D67" w:rsidRDefault="00F00D67" w:rsidP="00F00D67">
      <w:pPr>
        <w:spacing w:line="360" w:lineRule="auto"/>
        <w:ind w:rightChars="1000" w:right="2100"/>
        <w:rPr>
          <w:rFonts w:ascii="楷体" w:eastAsia="楷体" w:hAnsi="楷体"/>
          <w:szCs w:val="21"/>
        </w:rPr>
      </w:pPr>
    </w:p>
    <w:p w:rsidR="00F00D67" w:rsidRPr="000D7B4B" w:rsidRDefault="00F00D67" w:rsidP="00F00D67">
      <w:pPr>
        <w:spacing w:line="360" w:lineRule="auto"/>
        <w:ind w:rightChars="1000" w:right="2100"/>
        <w:rPr>
          <w:rFonts w:ascii="楷体" w:eastAsia="楷体" w:hAnsi="楷体"/>
          <w:b/>
          <w:szCs w:val="21"/>
        </w:rPr>
      </w:pPr>
      <w:r w:rsidRPr="000D7B4B">
        <w:rPr>
          <w:rFonts w:ascii="楷体" w:eastAsia="楷体" w:hAnsi="楷体" w:hint="eastAsia"/>
          <w:b/>
          <w:szCs w:val="21"/>
        </w:rPr>
        <w:t>9.</w:t>
      </w:r>
      <w:r w:rsidRPr="000D7B4B">
        <w:rPr>
          <w:rFonts w:ascii="楷体" w:eastAsia="楷体" w:hAnsi="楷体" w:hint="eastAsia"/>
          <w:b/>
          <w:szCs w:val="21"/>
        </w:rPr>
        <w:tab/>
        <w:t>打破刚性兑付，破除“大而不倒”预期</w:t>
      </w:r>
    </w:p>
    <w:p w:rsidR="00F00D67" w:rsidRPr="00F00D67" w:rsidRDefault="00F00D67" w:rsidP="009D2266">
      <w:pPr>
        <w:spacing w:line="360" w:lineRule="auto"/>
        <w:ind w:rightChars="1000" w:right="2100" w:firstLine="420"/>
        <w:rPr>
          <w:rFonts w:ascii="楷体" w:eastAsia="楷体" w:hAnsi="楷体"/>
          <w:szCs w:val="21"/>
        </w:rPr>
      </w:pPr>
      <w:r w:rsidRPr="00F00D67">
        <w:rPr>
          <w:rFonts w:ascii="楷体" w:eastAsia="楷体" w:hAnsi="楷体" w:hint="eastAsia"/>
          <w:szCs w:val="21"/>
        </w:rPr>
        <w:t>打破认为最后政府一定会刚兑兜底这种预期必须抓住典型，发挥杀一儆百、引导市场预期的作用。</w:t>
      </w:r>
    </w:p>
    <w:p w:rsidR="00F00D67" w:rsidRPr="00F00D67" w:rsidRDefault="00F00D67" w:rsidP="009D2266">
      <w:pPr>
        <w:spacing w:line="360" w:lineRule="auto"/>
        <w:ind w:rightChars="1000" w:right="2100" w:firstLine="420"/>
        <w:rPr>
          <w:rFonts w:ascii="楷体" w:eastAsia="楷体" w:hAnsi="楷体"/>
          <w:szCs w:val="21"/>
        </w:rPr>
      </w:pPr>
      <w:r w:rsidRPr="00F00D67">
        <w:rPr>
          <w:rFonts w:ascii="楷体" w:eastAsia="楷体" w:hAnsi="楷体" w:hint="eastAsia"/>
          <w:szCs w:val="21"/>
        </w:rPr>
        <w:t>（1）韩国：90年代韩国去产能时期，金大中总统拿韩国第二大财阀大宇集团开刀，极大的扭转了市场预期。</w:t>
      </w:r>
    </w:p>
    <w:p w:rsidR="00F00D67" w:rsidRPr="00F00D67" w:rsidRDefault="00F00D67" w:rsidP="009D2266">
      <w:pPr>
        <w:spacing w:line="360" w:lineRule="auto"/>
        <w:ind w:rightChars="1000" w:right="2100" w:firstLine="420"/>
        <w:rPr>
          <w:rFonts w:ascii="楷体" w:eastAsia="楷体" w:hAnsi="楷体"/>
          <w:szCs w:val="21"/>
        </w:rPr>
      </w:pPr>
      <w:r w:rsidRPr="00F00D67">
        <w:rPr>
          <w:rFonts w:ascii="楷体" w:eastAsia="楷体" w:hAnsi="楷体" w:hint="eastAsia"/>
          <w:szCs w:val="21"/>
        </w:rPr>
        <w:t>（2）美国：21世纪美国经历了两次产能过剩，每次都有标志性的企业破产。第一次在本世纪初，互联网泡沫破灭。2002年7月，受财务欺骗丑闻影响，世界通信公司向法院正式提出破产申请。第二次是2008年金融危机后，美国大部分产业出现产能过剩，美国第四大投行雷曼兄弟遭受重大损失，2008年9月15日，雷曼兄弟公司向法庭申请破产保护，大而不倒的神话终结。</w:t>
      </w:r>
    </w:p>
    <w:p w:rsidR="00F00D67" w:rsidRPr="00F00D67" w:rsidRDefault="00F00D67" w:rsidP="00F00D67">
      <w:pPr>
        <w:spacing w:line="360" w:lineRule="auto"/>
        <w:ind w:rightChars="1000" w:right="2100"/>
        <w:rPr>
          <w:rFonts w:ascii="楷体" w:eastAsia="楷体" w:hAnsi="楷体"/>
          <w:szCs w:val="21"/>
        </w:rPr>
      </w:pPr>
    </w:p>
    <w:p w:rsidR="00F00D67" w:rsidRPr="000D7B4B" w:rsidRDefault="00F00D67" w:rsidP="00F00D67">
      <w:pPr>
        <w:spacing w:line="360" w:lineRule="auto"/>
        <w:ind w:rightChars="1000" w:right="2100"/>
        <w:rPr>
          <w:rFonts w:ascii="楷体" w:eastAsia="楷体" w:hAnsi="楷体"/>
          <w:b/>
          <w:szCs w:val="21"/>
        </w:rPr>
      </w:pPr>
      <w:r w:rsidRPr="000D7B4B">
        <w:rPr>
          <w:rFonts w:ascii="楷体" w:eastAsia="楷体" w:hAnsi="楷体" w:hint="eastAsia"/>
          <w:b/>
          <w:szCs w:val="21"/>
        </w:rPr>
        <w:t>10.</w:t>
      </w:r>
      <w:r w:rsidRPr="000D7B4B">
        <w:rPr>
          <w:rFonts w:ascii="楷体" w:eastAsia="楷体" w:hAnsi="楷体" w:hint="eastAsia"/>
          <w:b/>
          <w:szCs w:val="21"/>
        </w:rPr>
        <w:tab/>
        <w:t>改革官员考核机制，明确去产能目标，破除地方政府的无效保护。</w:t>
      </w:r>
    </w:p>
    <w:p w:rsidR="00F00D67" w:rsidRPr="00F00D67" w:rsidRDefault="00F00D67" w:rsidP="00DC61A3">
      <w:pPr>
        <w:spacing w:line="360" w:lineRule="auto"/>
        <w:ind w:rightChars="1000" w:right="2100" w:firstLine="420"/>
        <w:rPr>
          <w:rFonts w:ascii="楷体" w:eastAsia="楷体" w:hAnsi="楷体"/>
          <w:szCs w:val="21"/>
        </w:rPr>
      </w:pPr>
      <w:r w:rsidRPr="00F00D67">
        <w:rPr>
          <w:rFonts w:ascii="楷体" w:eastAsia="楷体" w:hAnsi="楷体" w:hint="eastAsia"/>
          <w:szCs w:val="21"/>
        </w:rPr>
        <w:t>地方政府对处置僵尸企业不积极有两个原因：第一，会拖累GDP，影响官员的政绩考核。第二，会冲击就业，影响社会稳定。第三，会减少税收，影响地方财力。这导致地方政府有充分动力去补贴僵尸企业。</w:t>
      </w:r>
    </w:p>
    <w:p w:rsidR="00720B5C" w:rsidRDefault="00F00D67" w:rsidP="00DC61A3">
      <w:pPr>
        <w:spacing w:line="360" w:lineRule="auto"/>
        <w:ind w:rightChars="1000" w:right="2100" w:firstLine="420"/>
        <w:rPr>
          <w:rFonts w:ascii="楷体" w:eastAsia="楷体" w:hAnsi="楷体"/>
          <w:szCs w:val="21"/>
        </w:rPr>
      </w:pPr>
      <w:r w:rsidRPr="00F00D67">
        <w:rPr>
          <w:rFonts w:ascii="楷体" w:eastAsia="楷体" w:hAnsi="楷体" w:hint="eastAsia"/>
          <w:szCs w:val="21"/>
        </w:rPr>
        <w:t>地方政府是消化僵尸企业最终的执行者，所以要想成功必须充分激发地方政府的动力。第一，推动官员考核机制从GDP导向到效率导向，弱化对GDP的考核，把重点行业去产能</w:t>
      </w:r>
      <w:r w:rsidRPr="00F00D67">
        <w:rPr>
          <w:rFonts w:ascii="楷体" w:eastAsia="楷体" w:hAnsi="楷体" w:hint="eastAsia"/>
          <w:szCs w:val="21"/>
        </w:rPr>
        <w:lastRenderedPageBreak/>
        <w:t>的目标明确写入政府工作报告，并要求各地方政府落实量化指标。第二，将过去用来补贴僵尸企业的资金节省出来，用来收购过剩设备报废、补贴下岗职工安置等。第三，加大中央对产能重灾区的财政转移支付，对冲去产能带来的税收下滑。</w:t>
      </w:r>
    </w:p>
    <w:p w:rsidR="00720B5C" w:rsidRDefault="00720B5C" w:rsidP="00F05A89">
      <w:pPr>
        <w:spacing w:line="360" w:lineRule="auto"/>
        <w:ind w:rightChars="1000" w:right="2100"/>
        <w:rPr>
          <w:rFonts w:ascii="楷体" w:eastAsia="楷体" w:hAnsi="楷体"/>
          <w:szCs w:val="21"/>
        </w:rPr>
      </w:pPr>
    </w:p>
    <w:p w:rsidR="00F91C15" w:rsidRPr="00494722" w:rsidRDefault="00F91C15" w:rsidP="00F05A89">
      <w:pPr>
        <w:spacing w:line="360" w:lineRule="auto"/>
        <w:ind w:rightChars="1000" w:right="2100"/>
        <w:rPr>
          <w:rFonts w:ascii="楷体" w:eastAsia="楷体" w:hAnsi="楷体"/>
          <w:b/>
          <w:color w:val="0070C0"/>
          <w:sz w:val="24"/>
          <w:szCs w:val="21"/>
        </w:rPr>
      </w:pPr>
      <w:r w:rsidRPr="00F0771A">
        <w:rPr>
          <w:rFonts w:ascii="楷体" w:eastAsia="楷体" w:hAnsi="楷体" w:hint="eastAsia"/>
          <w:b/>
          <w:color w:val="0070C0"/>
          <w:sz w:val="24"/>
          <w:szCs w:val="21"/>
        </w:rPr>
        <w:t>三、去产能的影响：从90</w:t>
      </w:r>
      <w:r w:rsidR="00494722">
        <w:rPr>
          <w:rFonts w:ascii="楷体" w:eastAsia="楷体" w:hAnsi="楷体" w:hint="eastAsia"/>
          <w:b/>
          <w:color w:val="0070C0"/>
          <w:sz w:val="24"/>
          <w:szCs w:val="21"/>
        </w:rPr>
        <w:t>年代经验看潜在</w:t>
      </w:r>
      <w:r w:rsidRPr="00F0771A">
        <w:rPr>
          <w:rFonts w:ascii="楷体" w:eastAsia="楷体" w:hAnsi="楷体" w:hint="eastAsia"/>
          <w:b/>
          <w:color w:val="0070C0"/>
          <w:sz w:val="24"/>
          <w:szCs w:val="21"/>
        </w:rPr>
        <w:t>市场走势</w:t>
      </w:r>
    </w:p>
    <w:p w:rsidR="00F91C15" w:rsidRPr="00F91C15" w:rsidRDefault="00F91C15" w:rsidP="00DC61A3">
      <w:pPr>
        <w:spacing w:line="360" w:lineRule="auto"/>
        <w:ind w:rightChars="1000" w:right="2100" w:firstLine="420"/>
        <w:rPr>
          <w:rFonts w:ascii="楷体" w:eastAsia="楷体" w:hAnsi="楷体"/>
          <w:szCs w:val="21"/>
        </w:rPr>
      </w:pPr>
      <w:r w:rsidRPr="00F91C15">
        <w:rPr>
          <w:rFonts w:ascii="楷体" w:eastAsia="楷体" w:hAnsi="楷体" w:hint="eastAsia"/>
          <w:szCs w:val="21"/>
        </w:rPr>
        <w:t>以1992年邓小平南巡为标志，我国进入一轮投资高速增长的周期，重点表现为信贷与固定资产投资持续高速增长。1997年东南亚危机使得中国外部压力加大，前期投资过度扩张产生的问题，包括产能过剩、财政压力加大、企业过度举债、银行坏账率高企等进一步恶化，“去产能”已到了势在必行的地步。</w:t>
      </w:r>
    </w:p>
    <w:p w:rsidR="00F91C15" w:rsidRPr="00F91C15" w:rsidRDefault="00F91C15" w:rsidP="00DC61A3">
      <w:pPr>
        <w:spacing w:line="360" w:lineRule="auto"/>
        <w:ind w:rightChars="1000" w:right="2100" w:firstLine="360"/>
        <w:rPr>
          <w:rFonts w:ascii="楷体" w:eastAsia="楷体" w:hAnsi="楷体"/>
          <w:szCs w:val="21"/>
        </w:rPr>
      </w:pPr>
      <w:r w:rsidRPr="00F91C15">
        <w:rPr>
          <w:rFonts w:ascii="楷体" w:eastAsia="楷体" w:hAnsi="楷体" w:hint="eastAsia"/>
          <w:szCs w:val="21"/>
        </w:rPr>
        <w:t>1998年1月13日上海申新纺织九厂压产改革第一</w:t>
      </w:r>
      <w:proofErr w:type="gramStart"/>
      <w:r w:rsidRPr="00F91C15">
        <w:rPr>
          <w:rFonts w:ascii="楷体" w:eastAsia="楷体" w:hAnsi="楷体" w:hint="eastAsia"/>
          <w:szCs w:val="21"/>
        </w:rPr>
        <w:t>锤</w:t>
      </w:r>
      <w:proofErr w:type="gramEnd"/>
      <w:r w:rsidRPr="00F91C15">
        <w:rPr>
          <w:rFonts w:ascii="楷体" w:eastAsia="楷体" w:hAnsi="楷体" w:hint="eastAsia"/>
          <w:szCs w:val="21"/>
        </w:rPr>
        <w:t>拉开了去产能改革序幕，时仍国务院总理朱镕基以“壮士断腕”的气魄提出了国有企业三年脱困的目标。改革启动之后，经济不可避免的面临下行压力。在此过程中，货币政策在98年之前坚持“适度从紧”基本原则，财政政策则由紧缩向扩张转变，随着过剩产能的清理，大规模剥离银行不良贷款，房改、税改</w:t>
      </w:r>
      <w:proofErr w:type="gramStart"/>
      <w:r w:rsidRPr="00F91C15">
        <w:rPr>
          <w:rFonts w:ascii="楷体" w:eastAsia="楷体" w:hAnsi="楷体" w:hint="eastAsia"/>
          <w:szCs w:val="21"/>
        </w:rPr>
        <w:t>和汇改培育</w:t>
      </w:r>
      <w:proofErr w:type="gramEnd"/>
      <w:r w:rsidRPr="00F91C15">
        <w:rPr>
          <w:rFonts w:ascii="楷体" w:eastAsia="楷体" w:hAnsi="楷体" w:hint="eastAsia"/>
          <w:szCs w:val="21"/>
        </w:rPr>
        <w:t>新的经济增长引擎。2000年11月国家经贸委宣布国企三年脱困目标顺利完成，2001年中国加入WTO,2003年中国经济同比增长9.1%，正式进入一个新增长周期上升阶段。</w:t>
      </w:r>
    </w:p>
    <w:p w:rsidR="00F91C15" w:rsidRPr="00F91C15" w:rsidRDefault="00F91C15" w:rsidP="00F91C15">
      <w:pPr>
        <w:spacing w:line="360" w:lineRule="auto"/>
        <w:ind w:rightChars="1000" w:right="2100"/>
        <w:rPr>
          <w:rFonts w:ascii="楷体" w:eastAsia="楷体" w:hAnsi="楷体"/>
          <w:szCs w:val="21"/>
        </w:rPr>
      </w:pPr>
    </w:p>
    <w:p w:rsidR="00F91C15" w:rsidRPr="00594D8C" w:rsidRDefault="00F91C15" w:rsidP="00594D8C">
      <w:pPr>
        <w:pStyle w:val="aff2"/>
        <w:numPr>
          <w:ilvl w:val="0"/>
          <w:numId w:val="10"/>
        </w:numPr>
        <w:spacing w:line="360" w:lineRule="auto"/>
        <w:ind w:rightChars="1000" w:right="2100" w:firstLineChars="0"/>
        <w:rPr>
          <w:rFonts w:ascii="楷体" w:eastAsia="楷体" w:hAnsi="楷体"/>
          <w:b/>
          <w:szCs w:val="21"/>
        </w:rPr>
      </w:pPr>
      <w:r w:rsidRPr="00594D8C">
        <w:rPr>
          <w:rFonts w:ascii="楷体" w:eastAsia="楷体" w:hAnsi="楷体" w:hint="eastAsia"/>
          <w:b/>
          <w:szCs w:val="21"/>
        </w:rPr>
        <w:t>去产能过程中经济承受增长放缓与通缩风险</w:t>
      </w:r>
    </w:p>
    <w:p w:rsidR="00F91C15" w:rsidRPr="00F91C15" w:rsidRDefault="00F91C15" w:rsidP="00DC61A3">
      <w:pPr>
        <w:spacing w:line="360" w:lineRule="auto"/>
        <w:ind w:rightChars="1000" w:right="2100" w:firstLine="360"/>
        <w:rPr>
          <w:rFonts w:ascii="楷体" w:eastAsia="楷体" w:hAnsi="楷体"/>
          <w:szCs w:val="21"/>
        </w:rPr>
      </w:pPr>
      <w:r w:rsidRPr="00F91C15">
        <w:rPr>
          <w:rFonts w:ascii="楷体" w:eastAsia="楷体" w:hAnsi="楷体" w:hint="eastAsia"/>
          <w:szCs w:val="21"/>
        </w:rPr>
        <w:t>20世纪90年代末的改革是从1998年正式开始的，98年3月《政府工作报告》提出推行重点行业、企业改革并鼓励组建大型企业集团，99年1月，经贸委颁发的《关于做好钢铁工业总量控制的通知》要求压缩钢铁产量10%。随着化解产能的深入，政策不断加码，中国经济承受了经济下行和通缩压力。98和99年GDP增速分别为7.8%、7.6%，较之前经济增速明显下一台阶，CPI则在98年1月至99年6月由0.3%下降至-2.1%。</w:t>
      </w:r>
    </w:p>
    <w:p w:rsidR="00F91C15" w:rsidRDefault="00F91C15" w:rsidP="00DC61A3">
      <w:pPr>
        <w:spacing w:line="360" w:lineRule="auto"/>
        <w:ind w:rightChars="1000" w:right="2100" w:firstLine="360"/>
        <w:rPr>
          <w:rFonts w:ascii="楷体" w:eastAsia="楷体" w:hAnsi="楷体"/>
          <w:szCs w:val="21"/>
        </w:rPr>
      </w:pPr>
      <w:r w:rsidRPr="00F91C15">
        <w:rPr>
          <w:rFonts w:ascii="楷体" w:eastAsia="楷体" w:hAnsi="楷体" w:hint="eastAsia"/>
          <w:szCs w:val="21"/>
        </w:rPr>
        <w:t>为对抗通缩及经济下滑，我国实施了总体较为宽松的货币政策和积极的财政政策，98年3月至99年6月，一年</w:t>
      </w:r>
      <w:proofErr w:type="gramStart"/>
      <w:r w:rsidRPr="00F91C15">
        <w:rPr>
          <w:rFonts w:ascii="楷体" w:eastAsia="楷体" w:hAnsi="楷体" w:hint="eastAsia"/>
          <w:szCs w:val="21"/>
        </w:rPr>
        <w:t>期贷</w:t>
      </w:r>
      <w:proofErr w:type="gramEnd"/>
      <w:r w:rsidRPr="00F91C15">
        <w:rPr>
          <w:rFonts w:ascii="楷体" w:eastAsia="楷体" w:hAnsi="楷体" w:hint="eastAsia"/>
          <w:szCs w:val="21"/>
        </w:rPr>
        <w:t>款利率由7.92%下降至5.85%，98、99年分别发行以基建为主的1000亿、1100亿长期国债。经济增速持续下滑，物价增速在见底后逐渐回升，但从99年6月至12月，</w:t>
      </w:r>
      <w:proofErr w:type="gramStart"/>
      <w:r w:rsidRPr="00F91C15">
        <w:rPr>
          <w:rFonts w:ascii="楷体" w:eastAsia="楷体" w:hAnsi="楷体" w:hint="eastAsia"/>
          <w:szCs w:val="21"/>
        </w:rPr>
        <w:t>降幅收</w:t>
      </w:r>
      <w:proofErr w:type="gramEnd"/>
      <w:r w:rsidRPr="00F91C15">
        <w:rPr>
          <w:rFonts w:ascii="楷体" w:eastAsia="楷体" w:hAnsi="楷体" w:hint="eastAsia"/>
          <w:szCs w:val="21"/>
        </w:rPr>
        <w:t>窄至-1%。由此来看，在20世纪90年代的改革过程中，需求</w:t>
      </w:r>
      <w:proofErr w:type="gramStart"/>
      <w:r w:rsidRPr="00F91C15">
        <w:rPr>
          <w:rFonts w:ascii="楷体" w:eastAsia="楷体" w:hAnsi="楷体" w:hint="eastAsia"/>
          <w:szCs w:val="21"/>
        </w:rPr>
        <w:t>侧政策</w:t>
      </w:r>
      <w:proofErr w:type="gramEnd"/>
      <w:r w:rsidRPr="00F91C15">
        <w:rPr>
          <w:rFonts w:ascii="楷体" w:eastAsia="楷体" w:hAnsi="楷体" w:hint="eastAsia"/>
          <w:szCs w:val="21"/>
        </w:rPr>
        <w:t>也发挥了重要作用。</w:t>
      </w:r>
    </w:p>
    <w:p w:rsidR="00F91C15" w:rsidRDefault="00F91C15" w:rsidP="00F91C15">
      <w:pPr>
        <w:spacing w:line="360" w:lineRule="auto"/>
        <w:ind w:rightChars="1000" w:right="2100"/>
        <w:rPr>
          <w:rFonts w:ascii="楷体" w:eastAsia="楷体" w:hAnsi="楷体"/>
          <w:szCs w:val="21"/>
        </w:rPr>
      </w:pPr>
    </w:p>
    <w:p w:rsidR="008C6EE3" w:rsidRPr="00594D8C" w:rsidRDefault="008C6EE3" w:rsidP="00594D8C">
      <w:pPr>
        <w:pStyle w:val="aff2"/>
        <w:numPr>
          <w:ilvl w:val="0"/>
          <w:numId w:val="10"/>
        </w:numPr>
        <w:spacing w:line="360" w:lineRule="auto"/>
        <w:ind w:rightChars="1000" w:right="2100" w:firstLineChars="0"/>
        <w:rPr>
          <w:rFonts w:ascii="楷体" w:eastAsia="楷体" w:hAnsi="楷体"/>
          <w:b/>
          <w:szCs w:val="21"/>
        </w:rPr>
      </w:pPr>
      <w:r w:rsidRPr="00594D8C">
        <w:rPr>
          <w:rFonts w:ascii="楷体" w:eastAsia="楷体" w:hAnsi="楷体" w:hint="eastAsia"/>
          <w:b/>
          <w:szCs w:val="21"/>
        </w:rPr>
        <w:t>去产能期间市场“深蹲起跳”，业绩支撑很重要</w:t>
      </w:r>
    </w:p>
    <w:p w:rsidR="008C6EE3" w:rsidRPr="008C6EE3" w:rsidRDefault="008C6EE3" w:rsidP="00DC61A3">
      <w:pPr>
        <w:spacing w:line="360" w:lineRule="auto"/>
        <w:ind w:rightChars="1000" w:right="2100" w:firstLine="360"/>
        <w:rPr>
          <w:rFonts w:ascii="楷体" w:eastAsia="楷体" w:hAnsi="楷体"/>
          <w:szCs w:val="21"/>
        </w:rPr>
      </w:pPr>
      <w:r w:rsidRPr="008C6EE3">
        <w:rPr>
          <w:rFonts w:ascii="楷体" w:eastAsia="楷体" w:hAnsi="楷体" w:hint="eastAsia"/>
          <w:szCs w:val="21"/>
        </w:rPr>
        <w:t>90年代末，过剩产能主要集中在纺织、家电、煤炭、钢铁、石化等，随着98年去产能的推进，相关行业景气</w:t>
      </w:r>
      <w:proofErr w:type="gramStart"/>
      <w:r w:rsidRPr="008C6EE3">
        <w:rPr>
          <w:rFonts w:ascii="楷体" w:eastAsia="楷体" w:hAnsi="楷体" w:hint="eastAsia"/>
          <w:szCs w:val="21"/>
        </w:rPr>
        <w:t>度经历</w:t>
      </w:r>
      <w:proofErr w:type="gramEnd"/>
      <w:r w:rsidRPr="008C6EE3">
        <w:rPr>
          <w:rFonts w:ascii="楷体" w:eastAsia="楷体" w:hAnsi="楷体" w:hint="eastAsia"/>
          <w:szCs w:val="21"/>
        </w:rPr>
        <w:t>了一个先下后上的过程。从整体工业增加值看，从94年开始持续下滑，到了98年年初开始企稳，99年10月之后开始出现回升趋势。从股市表现来看，98至99年5月中旬，上证综指波动剧烈，总体向下，随着99年“519”行情的</w:t>
      </w:r>
      <w:r w:rsidRPr="008C6EE3">
        <w:rPr>
          <w:rFonts w:ascii="楷体" w:eastAsia="楷体" w:hAnsi="楷体" w:hint="eastAsia"/>
          <w:szCs w:val="21"/>
        </w:rPr>
        <w:lastRenderedPageBreak/>
        <w:t>启动，上证综指大幅上涨。</w:t>
      </w:r>
    </w:p>
    <w:p w:rsidR="00F91C15" w:rsidRDefault="008C6EE3" w:rsidP="00DC61A3">
      <w:pPr>
        <w:spacing w:line="360" w:lineRule="auto"/>
        <w:ind w:rightChars="1000" w:right="2100" w:firstLine="360"/>
        <w:rPr>
          <w:rFonts w:ascii="楷体" w:eastAsia="楷体" w:hAnsi="楷体"/>
          <w:szCs w:val="21"/>
        </w:rPr>
      </w:pPr>
      <w:r w:rsidRPr="008C6EE3">
        <w:rPr>
          <w:rFonts w:ascii="楷体" w:eastAsia="楷体" w:hAnsi="楷体" w:hint="eastAsia"/>
          <w:szCs w:val="21"/>
        </w:rPr>
        <w:t>从业绩、估值和风险情绪三个方面</w:t>
      </w:r>
      <w:proofErr w:type="gramStart"/>
      <w:r w:rsidRPr="008C6EE3">
        <w:rPr>
          <w:rFonts w:ascii="楷体" w:eastAsia="楷体" w:hAnsi="楷体" w:hint="eastAsia"/>
          <w:szCs w:val="21"/>
        </w:rPr>
        <w:t>考量</w:t>
      </w:r>
      <w:proofErr w:type="gramEnd"/>
      <w:r w:rsidRPr="008C6EE3">
        <w:rPr>
          <w:rFonts w:ascii="楷体" w:eastAsia="楷体" w:hAnsi="楷体" w:hint="eastAsia"/>
          <w:szCs w:val="21"/>
        </w:rPr>
        <w:t>98-99年的股市表现可以看到：1）业绩方面， 98年A股上市公司净利增速由中报的-14.53%下滑至年报的-21.11%，但从99年开始，净利增速由负转正，由中报的-1.46%上涨至29.36%；2）估值方面，在98、99两年中，利率连续4次下调，宽松的货币环境有利于带动了估值的提升；3）风险情绪方面，股市、去产能政策的频频出台以及媒体对股市正面的报道也大大提振了投资者的风险偏好，99年5月16日，国务院批准改革股票发行体制等六项政策，99年《政府工作报告》明确重工业、轻工业等产能过剩行业淘汰标准、目标及政策等，6月15日，人民日报发表特约评论员文章《坚定信心，规范发展》，指出稳定和发展证券市场对推进改革和发展具有重要意义。</w:t>
      </w:r>
    </w:p>
    <w:tbl>
      <w:tblPr>
        <w:tblW w:w="8222" w:type="dxa"/>
        <w:tblInd w:w="108" w:type="dxa"/>
        <w:tblLayout w:type="fixed"/>
        <w:tblLook w:val="00A0"/>
      </w:tblPr>
      <w:tblGrid>
        <w:gridCol w:w="8222"/>
      </w:tblGrid>
      <w:tr w:rsidR="008C6EE3" w:rsidRPr="008C6EE3" w:rsidTr="008C6EE3">
        <w:trPr>
          <w:trHeight w:hRule="exact" w:val="265"/>
        </w:trPr>
        <w:tc>
          <w:tcPr>
            <w:tcW w:w="8222" w:type="dxa"/>
            <w:tcBorders>
              <w:bottom w:val="single" w:sz="8" w:space="0" w:color="365F91"/>
            </w:tcBorders>
            <w:vAlign w:val="center"/>
            <w:hideMark/>
          </w:tcPr>
          <w:p w:rsidR="008C6EE3" w:rsidRPr="008C6EE3" w:rsidRDefault="008C6EE3" w:rsidP="000A0C22">
            <w:pPr>
              <w:rPr>
                <w:rFonts w:ascii="楷体" w:eastAsia="楷体" w:hAnsi="楷体" w:cs="Arial"/>
                <w:b/>
                <w:color w:val="005096"/>
                <w:sz w:val="18"/>
                <w:szCs w:val="18"/>
              </w:rPr>
            </w:pPr>
            <w:r w:rsidRPr="008C6EE3">
              <w:rPr>
                <w:rFonts w:ascii="楷体" w:eastAsia="楷体" w:hAnsi="楷体" w:cs="Arial" w:hint="eastAsia"/>
                <w:b/>
                <w:color w:val="005096"/>
                <w:sz w:val="18"/>
                <w:szCs w:val="18"/>
              </w:rPr>
              <w:t>图</w:t>
            </w:r>
            <w:r w:rsidR="000A0C22">
              <w:rPr>
                <w:rFonts w:ascii="楷体" w:eastAsia="楷体" w:hAnsi="楷体" w:cs="Arial"/>
                <w:b/>
                <w:color w:val="005096"/>
                <w:sz w:val="18"/>
                <w:szCs w:val="18"/>
              </w:rPr>
              <w:t>6</w:t>
            </w:r>
            <w:r w:rsidRPr="008C6EE3">
              <w:rPr>
                <w:rFonts w:ascii="楷体" w:eastAsia="楷体" w:hAnsi="楷体" w:cs="Arial" w:hint="eastAsia"/>
                <w:b/>
                <w:color w:val="005096"/>
                <w:sz w:val="18"/>
                <w:szCs w:val="18"/>
              </w:rPr>
              <w:t>：宽松货币、资本市场制度不断完善及去产能持续加码背景下，股市在99年5月后出现大幅上涨</w:t>
            </w:r>
          </w:p>
        </w:tc>
      </w:tr>
      <w:tr w:rsidR="008C6EE3" w:rsidRPr="008C6EE3" w:rsidTr="008C6EE3">
        <w:trPr>
          <w:trHeight w:hRule="exact" w:val="3700"/>
        </w:trPr>
        <w:tc>
          <w:tcPr>
            <w:tcW w:w="8222" w:type="dxa"/>
            <w:tcBorders>
              <w:top w:val="single" w:sz="8" w:space="0" w:color="365F91"/>
              <w:bottom w:val="single" w:sz="8" w:space="0" w:color="365F91"/>
            </w:tcBorders>
            <w:hideMark/>
          </w:tcPr>
          <w:p w:rsidR="008C6EE3" w:rsidRPr="008C6EE3" w:rsidRDefault="008C6EE3" w:rsidP="008C6EE3">
            <w:pPr>
              <w:rPr>
                <w:rFonts w:ascii="Arial" w:eastAsia="楷体" w:hAnsi="Arial" w:cs="Calibri"/>
                <w:noProof/>
                <w:szCs w:val="21"/>
              </w:rPr>
            </w:pPr>
            <w:r w:rsidRPr="008C6EE3">
              <w:rPr>
                <w:rFonts w:ascii="Arial" w:eastAsia="楷体" w:hAnsi="Arial" w:cs="Calibri"/>
                <w:noProof/>
                <w:szCs w:val="21"/>
              </w:rPr>
              <w:drawing>
                <wp:inline distT="0" distB="0" distL="0" distR="0">
                  <wp:extent cx="5101590" cy="2250219"/>
                  <wp:effectExtent l="19050" t="0" r="3810" b="0"/>
                  <wp:docPr id="26" name="图片 1" descr="C:\Users\longking\Documents\Tencent Files\472648733\Image\C2C\_~V8NK5QG(B`5G])UU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ngking\Documents\Tencent Files\472648733\Image\C2C\_~V8NK5QG(B`5G])UUO%0)0.png"/>
                          <pic:cNvPicPr>
                            <a:picLocks noChangeAspect="1" noChangeArrowheads="1"/>
                          </pic:cNvPicPr>
                        </pic:nvPicPr>
                        <pic:blipFill>
                          <a:blip r:embed="rId14" cstate="print"/>
                          <a:srcRect/>
                          <a:stretch>
                            <a:fillRect/>
                          </a:stretch>
                        </pic:blipFill>
                        <pic:spPr bwMode="auto">
                          <a:xfrm>
                            <a:off x="0" y="0"/>
                            <a:ext cx="5104313" cy="2251420"/>
                          </a:xfrm>
                          <a:prstGeom prst="rect">
                            <a:avLst/>
                          </a:prstGeom>
                          <a:noFill/>
                          <a:ln w="9525">
                            <a:noFill/>
                            <a:miter lim="800000"/>
                            <a:headEnd/>
                            <a:tailEnd/>
                          </a:ln>
                        </pic:spPr>
                      </pic:pic>
                    </a:graphicData>
                  </a:graphic>
                </wp:inline>
              </w:drawing>
            </w:r>
          </w:p>
          <w:p w:rsidR="008C6EE3" w:rsidRPr="008C6EE3" w:rsidRDefault="008C6EE3" w:rsidP="008C6EE3">
            <w:pPr>
              <w:rPr>
                <w:rFonts w:ascii="Arial" w:eastAsia="楷体" w:hAnsi="Arial" w:cs="Calibri"/>
                <w:szCs w:val="21"/>
              </w:rPr>
            </w:pPr>
          </w:p>
          <w:p w:rsidR="008C6EE3" w:rsidRPr="008C6EE3" w:rsidRDefault="008C6EE3" w:rsidP="008C6EE3">
            <w:pPr>
              <w:rPr>
                <w:rFonts w:ascii="Arial" w:eastAsia="楷体" w:hAnsi="Arial" w:cs="Calibri"/>
                <w:szCs w:val="21"/>
              </w:rPr>
            </w:pPr>
          </w:p>
          <w:p w:rsidR="008C6EE3" w:rsidRPr="008C6EE3" w:rsidRDefault="008C6EE3" w:rsidP="008C6EE3">
            <w:pPr>
              <w:rPr>
                <w:rFonts w:ascii="Arial" w:eastAsia="楷体" w:hAnsi="Arial" w:cs="Calibri"/>
                <w:szCs w:val="21"/>
              </w:rPr>
            </w:pPr>
          </w:p>
          <w:p w:rsidR="008C6EE3" w:rsidRPr="008C6EE3" w:rsidRDefault="008C6EE3" w:rsidP="008C6EE3">
            <w:pPr>
              <w:tabs>
                <w:tab w:val="left" w:pos="250"/>
              </w:tabs>
              <w:jc w:val="center"/>
              <w:rPr>
                <w:rFonts w:ascii="Arial" w:eastAsia="楷体" w:hAnsi="Arial" w:cs="Calibri"/>
                <w:szCs w:val="21"/>
              </w:rPr>
            </w:pPr>
          </w:p>
        </w:tc>
      </w:tr>
    </w:tbl>
    <w:p w:rsidR="008C6EE3" w:rsidRPr="008C6EE3" w:rsidRDefault="008C6EE3" w:rsidP="008C6EE3">
      <w:pPr>
        <w:spacing w:line="360" w:lineRule="auto"/>
        <w:ind w:rightChars="1000" w:right="2100"/>
        <w:rPr>
          <w:rFonts w:ascii="华文楷体" w:eastAsia="华文楷体" w:hAnsi="华文楷体"/>
          <w:sz w:val="16"/>
          <w:szCs w:val="16"/>
        </w:rPr>
      </w:pPr>
      <w:r w:rsidRPr="008C6EE3">
        <w:rPr>
          <w:rFonts w:ascii="华文楷体" w:eastAsia="华文楷体" w:hAnsi="华文楷体" w:hint="eastAsia"/>
          <w:sz w:val="16"/>
          <w:szCs w:val="16"/>
        </w:rPr>
        <w:t>资料来源：WIND，民生证券研究院</w:t>
      </w:r>
    </w:p>
    <w:p w:rsidR="008C6EE3" w:rsidRPr="008C6EE3" w:rsidRDefault="008C6EE3" w:rsidP="008C6EE3">
      <w:pPr>
        <w:spacing w:line="360" w:lineRule="auto"/>
        <w:ind w:rightChars="1000" w:right="2100"/>
        <w:rPr>
          <w:rFonts w:ascii="楷体" w:eastAsia="楷体" w:hAnsi="楷体"/>
          <w:szCs w:val="21"/>
        </w:rPr>
      </w:pPr>
    </w:p>
    <w:p w:rsidR="008C6EE3" w:rsidRDefault="00F0771A" w:rsidP="002C6135">
      <w:pPr>
        <w:spacing w:line="360" w:lineRule="auto"/>
        <w:ind w:rightChars="1000" w:right="2100" w:firstLine="420"/>
        <w:rPr>
          <w:rFonts w:ascii="楷体" w:eastAsia="楷体" w:hAnsi="楷体"/>
          <w:szCs w:val="21"/>
        </w:rPr>
      </w:pPr>
      <w:r w:rsidRPr="00F0771A">
        <w:rPr>
          <w:rFonts w:ascii="楷体" w:eastAsia="楷体" w:hAnsi="楷体" w:hint="eastAsia"/>
          <w:szCs w:val="21"/>
        </w:rPr>
        <w:t>从行业层面上看，过剩产能行业相关股票驱动力中业绩表现至关重要。98至99年，纺织服装、家电、煤炭、钢铁等是主要的产能过剩行业，行业市场走势与大势基本一致，但具体表现则充分体现了业绩支撑的重要性。例如，家电行业净利增速持续低迷，在98-99年改革过程中，过剩产能中其他行业均实现上涨，家电行业则是下跌的；除此之外，在大势回调过程中，煤炭行业下探幅度更大，对应市场表现上煤炭回调过程中跌幅更大。由此来看，有业绩支撑的行业板块相对风险要更小一些，市场表现更佳。</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06"/>
        <w:gridCol w:w="285"/>
        <w:gridCol w:w="5004"/>
      </w:tblGrid>
      <w:tr w:rsidR="005063E0" w:rsidRPr="003458DC" w:rsidTr="005063E0">
        <w:trPr>
          <w:trHeight w:hRule="exact" w:val="482"/>
          <w:jc w:val="center"/>
        </w:trPr>
        <w:tc>
          <w:tcPr>
            <w:tcW w:w="5006" w:type="dxa"/>
            <w:tcBorders>
              <w:top w:val="nil"/>
              <w:left w:val="nil"/>
              <w:bottom w:val="single" w:sz="8" w:space="0" w:color="005096"/>
              <w:right w:val="nil"/>
            </w:tcBorders>
            <w:vAlign w:val="bottom"/>
          </w:tcPr>
          <w:p w:rsidR="005063E0" w:rsidRPr="003458DC" w:rsidRDefault="00F60E20" w:rsidP="000054D6">
            <w:pPr>
              <w:pStyle w:val="52"/>
              <w:rPr>
                <w:rFonts w:ascii="华文楷体" w:eastAsia="华文楷体" w:hAnsi="华文楷体"/>
              </w:rPr>
            </w:pPr>
            <w:r w:rsidRPr="00F60E20">
              <w:rPr>
                <w:rFonts w:ascii="华文楷体" w:eastAsia="华文楷体" w:hAnsi="华文楷体" w:hint="eastAsia"/>
              </w:rPr>
              <w:t>图7：98-99年，煤炭、钢铁行业随大盘一起上涨</w:t>
            </w:r>
          </w:p>
        </w:tc>
        <w:tc>
          <w:tcPr>
            <w:tcW w:w="285" w:type="dxa"/>
            <w:tcBorders>
              <w:top w:val="nil"/>
              <w:left w:val="nil"/>
              <w:bottom w:val="nil"/>
              <w:right w:val="nil"/>
            </w:tcBorders>
            <w:vAlign w:val="bottom"/>
          </w:tcPr>
          <w:p w:rsidR="005063E0" w:rsidRPr="003458DC" w:rsidRDefault="005063E0" w:rsidP="000054D6">
            <w:pPr>
              <w:pStyle w:val="52"/>
              <w:rPr>
                <w:rFonts w:ascii="华文楷体" w:eastAsia="华文楷体" w:hAnsi="华文楷体"/>
              </w:rPr>
            </w:pPr>
          </w:p>
        </w:tc>
        <w:tc>
          <w:tcPr>
            <w:tcW w:w="5004" w:type="dxa"/>
            <w:tcBorders>
              <w:top w:val="nil"/>
              <w:left w:val="nil"/>
              <w:bottom w:val="single" w:sz="8" w:space="0" w:color="005096"/>
              <w:right w:val="nil"/>
            </w:tcBorders>
            <w:vAlign w:val="bottom"/>
          </w:tcPr>
          <w:p w:rsidR="005063E0" w:rsidRPr="003458DC" w:rsidRDefault="00F60E20" w:rsidP="000054D6">
            <w:pPr>
              <w:pStyle w:val="52"/>
              <w:rPr>
                <w:rFonts w:ascii="华文楷体" w:eastAsia="华文楷体" w:hAnsi="华文楷体"/>
              </w:rPr>
            </w:pPr>
            <w:r w:rsidRPr="00F60E20">
              <w:rPr>
                <w:rFonts w:ascii="华文楷体" w:eastAsia="华文楷体" w:hAnsi="华文楷体" w:hint="eastAsia"/>
              </w:rPr>
              <w:t>图8：去产能期间，家电行业下跌，纺织业上涨</w:t>
            </w:r>
          </w:p>
        </w:tc>
      </w:tr>
      <w:tr w:rsidR="005063E0" w:rsidRPr="003458DC" w:rsidTr="005063E0">
        <w:trPr>
          <w:trHeight w:hRule="exact" w:val="3540"/>
          <w:jc w:val="center"/>
        </w:trPr>
        <w:tc>
          <w:tcPr>
            <w:tcW w:w="5006" w:type="dxa"/>
            <w:tcBorders>
              <w:top w:val="single" w:sz="8" w:space="0" w:color="005096"/>
              <w:left w:val="nil"/>
              <w:bottom w:val="single" w:sz="8" w:space="0" w:color="005096"/>
              <w:right w:val="nil"/>
            </w:tcBorders>
          </w:tcPr>
          <w:p w:rsidR="005063E0" w:rsidRPr="003458DC" w:rsidRDefault="003D3FA9" w:rsidP="000054D6">
            <w:pPr>
              <w:autoSpaceDE w:val="0"/>
              <w:autoSpaceDN w:val="0"/>
              <w:rPr>
                <w:rFonts w:ascii="华文楷体" w:eastAsia="华文楷体" w:hAnsi="华文楷体"/>
                <w:b/>
                <w:sz w:val="24"/>
              </w:rPr>
            </w:pPr>
            <w:r w:rsidRPr="003D3FA9">
              <w:rPr>
                <w:noProof/>
              </w:rPr>
              <w:lastRenderedPageBreak/>
              <w:pict>
                <v:rect id="_x0000_s1053" style="position:absolute;left:0;text-align:left;margin-left:90.15pt;margin-top:36.7pt;width:42.5pt;height:97.0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" filled="f" strokecolor="#e36c0a [2409]" strokeweight="1.5pt">
                  <v:stroke dashstyle="1 1"/>
                </v:rect>
              </w:pict>
            </w:r>
            <w:r w:rsidR="005063E0" w:rsidRPr="005063E0">
              <w:rPr>
                <w:noProof/>
              </w:rPr>
              <w:drawing>
                <wp:anchor distT="0" distB="0" distL="114300" distR="114300" simplePos="0" relativeHeight="251653120" behindDoc="0" locked="0" layoutInCell="1" allowOverlap="1">
                  <wp:simplePos x="0" y="0"/>
                  <wp:positionH relativeFrom="column">
                    <wp:posOffset>-3175</wp:posOffset>
                  </wp:positionH>
                  <wp:positionV relativeFrom="paragraph">
                    <wp:posOffset>-12065</wp:posOffset>
                  </wp:positionV>
                  <wp:extent cx="3171178" cy="2190750"/>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178" cy="2190750"/>
                          </a:xfrm>
                          <a:prstGeom prst="rect">
                            <a:avLst/>
                          </a:prstGeom>
                          <a:noFill/>
                          <a:ln>
                            <a:noFill/>
                          </a:ln>
                        </pic:spPr>
                      </pic:pic>
                    </a:graphicData>
                  </a:graphic>
                </wp:anchor>
              </w:drawing>
            </w:r>
          </w:p>
        </w:tc>
        <w:tc>
          <w:tcPr>
            <w:tcW w:w="285" w:type="dxa"/>
            <w:tcBorders>
              <w:top w:val="nil"/>
              <w:left w:val="nil"/>
              <w:bottom w:val="nil"/>
              <w:right w:val="nil"/>
            </w:tcBorders>
          </w:tcPr>
          <w:p w:rsidR="005063E0" w:rsidRPr="003458DC" w:rsidRDefault="005063E0" w:rsidP="000054D6">
            <w:pPr>
              <w:widowControl/>
              <w:jc w:val="left"/>
              <w:rPr>
                <w:rFonts w:ascii="华文楷体" w:eastAsia="华文楷体" w:hAnsi="华文楷体"/>
              </w:rPr>
            </w:pPr>
          </w:p>
        </w:tc>
        <w:tc>
          <w:tcPr>
            <w:tcW w:w="5004" w:type="dxa"/>
            <w:tcBorders>
              <w:top w:val="single" w:sz="8" w:space="0" w:color="005096"/>
              <w:left w:val="nil"/>
              <w:bottom w:val="single" w:sz="8" w:space="0" w:color="005096"/>
              <w:right w:val="nil"/>
            </w:tcBorders>
          </w:tcPr>
          <w:p w:rsidR="005063E0" w:rsidRPr="003458DC" w:rsidRDefault="003D3FA9" w:rsidP="000054D6">
            <w:pPr>
              <w:rPr>
                <w:rFonts w:ascii="华文楷体" w:eastAsia="华文楷体" w:hAnsi="华文楷体"/>
              </w:rPr>
            </w:pPr>
            <w:r w:rsidRPr="003D3FA9">
              <w:rPr>
                <w:rFonts w:ascii="楷体" w:eastAsia="楷体" w:hAnsi="楷体"/>
                <w:noProof/>
                <w:szCs w:val="21"/>
              </w:rPr>
              <w:pict>
                <v:rect id="_x0000_s1054" style="position:absolute;left:0;text-align:left;margin-left:85.35pt;margin-top:40.05pt;width:37pt;height:93.2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" filled="f" strokecolor="#e36c0a [2409]" strokeweight="1.5pt">
                  <v:stroke dashstyle="1 1"/>
                </v:rect>
              </w:pict>
            </w:r>
            <w:r w:rsidR="005B0095" w:rsidRPr="005B0095">
              <w:rPr>
                <w:rFonts w:ascii="华文楷体" w:eastAsia="华文楷体" w:hAnsi="华文楷体"/>
                <w:noProof/>
              </w:rPr>
              <w:drawing>
                <wp:inline distT="0" distB="0" distL="0" distR="0">
                  <wp:extent cx="3003550" cy="22047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200" cy="2208867"/>
                          </a:xfrm>
                          <a:prstGeom prst="rect">
                            <a:avLst/>
                          </a:prstGeom>
                          <a:noFill/>
                          <a:ln>
                            <a:noFill/>
                          </a:ln>
                        </pic:spPr>
                      </pic:pic>
                    </a:graphicData>
                  </a:graphic>
                </wp:inline>
              </w:drawing>
            </w:r>
          </w:p>
        </w:tc>
      </w:tr>
    </w:tbl>
    <w:p w:rsidR="005063E0" w:rsidRPr="00F60E20" w:rsidRDefault="005063E0" w:rsidP="00F60E20">
      <w:pPr>
        <w:spacing w:line="360" w:lineRule="auto"/>
        <w:ind w:rightChars="1000" w:right="2100"/>
        <w:rPr>
          <w:rFonts w:ascii="华文楷体" w:eastAsia="华文楷体" w:hAnsi="华文楷体"/>
          <w:sz w:val="16"/>
          <w:szCs w:val="16"/>
        </w:rPr>
      </w:pPr>
      <w:r w:rsidRPr="00F60E20">
        <w:rPr>
          <w:rFonts w:ascii="华文楷体" w:eastAsia="华文楷体" w:hAnsi="华文楷体" w:hint="eastAsia"/>
          <w:sz w:val="16"/>
          <w:szCs w:val="16"/>
        </w:rPr>
        <w:t>资</w:t>
      </w:r>
      <w:r w:rsidRPr="00F60E20">
        <w:rPr>
          <w:rFonts w:ascii="华文楷体" w:eastAsia="华文楷体" w:hAnsi="华文楷体"/>
          <w:sz w:val="16"/>
          <w:szCs w:val="16"/>
        </w:rPr>
        <w:t>料来源：</w:t>
      </w:r>
      <w:r w:rsidRPr="00F60E20">
        <w:rPr>
          <w:rFonts w:ascii="华文楷体" w:eastAsia="华文楷体" w:hAnsi="华文楷体" w:hint="eastAsia"/>
          <w:sz w:val="16"/>
          <w:szCs w:val="16"/>
        </w:rPr>
        <w:t>Wind</w:t>
      </w:r>
      <w:r w:rsidRPr="00F60E20">
        <w:rPr>
          <w:rFonts w:ascii="华文楷体" w:eastAsia="华文楷体" w:hAnsi="华文楷体"/>
          <w:sz w:val="16"/>
          <w:szCs w:val="16"/>
        </w:rPr>
        <w:t>，民生证券研究院</w:t>
      </w:r>
      <w:r w:rsidRPr="00F60E20">
        <w:rPr>
          <w:rFonts w:ascii="华文楷体" w:eastAsia="华文楷体" w:hAnsi="华文楷体" w:hint="eastAsia"/>
          <w:sz w:val="16"/>
          <w:szCs w:val="16"/>
        </w:rPr>
        <w:t xml:space="preserve">                                   </w:t>
      </w:r>
      <w:r w:rsidRPr="00F60E20">
        <w:rPr>
          <w:rFonts w:ascii="华文楷体" w:eastAsia="华文楷体" w:hAnsi="华文楷体"/>
          <w:sz w:val="16"/>
          <w:szCs w:val="16"/>
        </w:rPr>
        <w:t>资料来源：</w:t>
      </w:r>
      <w:r w:rsidRPr="00F60E20">
        <w:rPr>
          <w:rFonts w:ascii="华文楷体" w:eastAsia="华文楷体" w:hAnsi="华文楷体" w:hint="eastAsia"/>
          <w:sz w:val="16"/>
          <w:szCs w:val="16"/>
        </w:rPr>
        <w:t>Wind</w:t>
      </w:r>
      <w:r w:rsidRPr="00F60E20">
        <w:rPr>
          <w:rFonts w:ascii="华文楷体" w:eastAsia="华文楷体" w:hAnsi="华文楷体"/>
          <w:sz w:val="16"/>
          <w:szCs w:val="16"/>
        </w:rPr>
        <w:t>，民生证券研究院</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06"/>
        <w:gridCol w:w="285"/>
        <w:gridCol w:w="5004"/>
      </w:tblGrid>
      <w:tr w:rsidR="008742DF" w:rsidRPr="003458DC" w:rsidTr="000054D6">
        <w:trPr>
          <w:trHeight w:hRule="exact" w:val="482"/>
          <w:jc w:val="center"/>
        </w:trPr>
        <w:tc>
          <w:tcPr>
            <w:tcW w:w="5006" w:type="dxa"/>
            <w:tcBorders>
              <w:top w:val="nil"/>
              <w:left w:val="nil"/>
              <w:bottom w:val="single" w:sz="8" w:space="0" w:color="005096"/>
              <w:right w:val="nil"/>
            </w:tcBorders>
            <w:vAlign w:val="bottom"/>
          </w:tcPr>
          <w:p w:rsidR="008742DF" w:rsidRPr="003458DC" w:rsidRDefault="00114516" w:rsidP="000A0C22">
            <w:pPr>
              <w:pStyle w:val="52"/>
              <w:rPr>
                <w:rFonts w:ascii="华文楷体" w:eastAsia="华文楷体" w:hAnsi="华文楷体"/>
              </w:rPr>
            </w:pPr>
            <w:r w:rsidRPr="00114516">
              <w:rPr>
                <w:rFonts w:ascii="华文楷体" w:eastAsia="华文楷体" w:hAnsi="华文楷体" w:hint="eastAsia"/>
              </w:rPr>
              <w:t>图</w:t>
            </w:r>
            <w:r w:rsidR="000A0C22">
              <w:rPr>
                <w:rFonts w:ascii="华文楷体" w:eastAsia="华文楷体" w:hAnsi="华文楷体"/>
              </w:rPr>
              <w:t>9</w:t>
            </w:r>
            <w:r w:rsidRPr="00114516">
              <w:rPr>
                <w:rFonts w:ascii="华文楷体" w:eastAsia="华文楷体" w:hAnsi="华文楷体" w:hint="eastAsia"/>
              </w:rPr>
              <w:t>：98、99年煤炭、钢铁业净利增速由负转正</w:t>
            </w:r>
          </w:p>
        </w:tc>
        <w:tc>
          <w:tcPr>
            <w:tcW w:w="285" w:type="dxa"/>
            <w:tcBorders>
              <w:top w:val="nil"/>
              <w:left w:val="nil"/>
              <w:bottom w:val="nil"/>
              <w:right w:val="nil"/>
            </w:tcBorders>
            <w:vAlign w:val="bottom"/>
          </w:tcPr>
          <w:p w:rsidR="008742DF" w:rsidRPr="003458DC" w:rsidRDefault="008742DF" w:rsidP="000054D6">
            <w:pPr>
              <w:pStyle w:val="52"/>
              <w:rPr>
                <w:rFonts w:ascii="华文楷体" w:eastAsia="华文楷体" w:hAnsi="华文楷体"/>
              </w:rPr>
            </w:pPr>
          </w:p>
        </w:tc>
        <w:tc>
          <w:tcPr>
            <w:tcW w:w="5004" w:type="dxa"/>
            <w:tcBorders>
              <w:top w:val="nil"/>
              <w:left w:val="nil"/>
              <w:bottom w:val="single" w:sz="8" w:space="0" w:color="005096"/>
              <w:right w:val="nil"/>
            </w:tcBorders>
            <w:vAlign w:val="bottom"/>
          </w:tcPr>
          <w:p w:rsidR="008742DF" w:rsidRPr="003458DC" w:rsidRDefault="00114516" w:rsidP="000A0C22">
            <w:pPr>
              <w:pStyle w:val="52"/>
              <w:rPr>
                <w:rFonts w:ascii="华文楷体" w:eastAsia="华文楷体" w:hAnsi="华文楷体"/>
              </w:rPr>
            </w:pPr>
            <w:r w:rsidRPr="00114516">
              <w:rPr>
                <w:rFonts w:ascii="华文楷体" w:eastAsia="华文楷体" w:hAnsi="华文楷体" w:hint="eastAsia"/>
              </w:rPr>
              <w:t>图</w:t>
            </w:r>
            <w:r w:rsidR="000A0C22">
              <w:rPr>
                <w:rFonts w:ascii="华文楷体" w:eastAsia="华文楷体" w:hAnsi="华文楷体"/>
              </w:rPr>
              <w:t>10</w:t>
            </w:r>
            <w:r w:rsidRPr="00114516">
              <w:rPr>
                <w:rFonts w:ascii="华文楷体" w:eastAsia="华文楷体" w:hAnsi="华文楷体" w:hint="eastAsia"/>
              </w:rPr>
              <w:t>： 98-99年家电也净利增速低迷，纺织制造业转暖</w:t>
            </w:r>
          </w:p>
        </w:tc>
      </w:tr>
      <w:tr w:rsidR="008742DF" w:rsidRPr="003458DC" w:rsidTr="000054D6">
        <w:trPr>
          <w:trHeight w:hRule="exact" w:val="3540"/>
          <w:jc w:val="center"/>
        </w:trPr>
        <w:tc>
          <w:tcPr>
            <w:tcW w:w="5006" w:type="dxa"/>
            <w:tcBorders>
              <w:top w:val="single" w:sz="8" w:space="0" w:color="005096"/>
              <w:left w:val="nil"/>
              <w:bottom w:val="single" w:sz="8" w:space="0" w:color="005096"/>
              <w:right w:val="nil"/>
            </w:tcBorders>
          </w:tcPr>
          <w:p w:rsidR="008742DF" w:rsidRPr="003458DC" w:rsidRDefault="003D3FA9" w:rsidP="000054D6">
            <w:pPr>
              <w:autoSpaceDE w:val="0"/>
              <w:autoSpaceDN w:val="0"/>
              <w:rPr>
                <w:rFonts w:ascii="华文楷体" w:eastAsia="华文楷体" w:hAnsi="华文楷体"/>
                <w:b/>
                <w:sz w:val="24"/>
              </w:rPr>
            </w:pPr>
            <w:r w:rsidRPr="003D3FA9">
              <w:rPr>
                <w:noProof/>
              </w:rPr>
              <w:pict>
                <v:rect id="Rectangle 12" o:spid="_x0000_s1057" style="position:absolute;left:0;text-align:left;margin-left:75.3pt;margin-top:32.15pt;width:43.5pt;height:97.0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" filled="f" strokecolor="#e36c0a [2409]" strokeweight="1.5pt">
                  <v:stroke dashstyle="1 1"/>
                </v:rect>
              </w:pict>
            </w:r>
            <w:r w:rsidR="0021369C" w:rsidRPr="0021369C">
              <w:rPr>
                <w:noProof/>
              </w:rPr>
              <w:drawing>
                <wp:anchor distT="0" distB="0" distL="114300" distR="114300" simplePos="0" relativeHeight="251649536" behindDoc="1" locked="0" layoutInCell="1" allowOverlap="1">
                  <wp:simplePos x="0" y="0"/>
                  <wp:positionH relativeFrom="column">
                    <wp:posOffset>-2540</wp:posOffset>
                  </wp:positionH>
                  <wp:positionV relativeFrom="paragraph">
                    <wp:posOffset>0</wp:posOffset>
                  </wp:positionV>
                  <wp:extent cx="2971800" cy="2913380"/>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736" cy="2923121"/>
                          </a:xfrm>
                          <a:prstGeom prst="rect">
                            <a:avLst/>
                          </a:prstGeom>
                          <a:noFill/>
                          <a:ln>
                            <a:noFill/>
                          </a:ln>
                        </pic:spPr>
                      </pic:pic>
                    </a:graphicData>
                  </a:graphic>
                </wp:anchor>
              </w:drawing>
            </w:r>
          </w:p>
        </w:tc>
        <w:tc>
          <w:tcPr>
            <w:tcW w:w="285" w:type="dxa"/>
            <w:tcBorders>
              <w:top w:val="nil"/>
              <w:left w:val="nil"/>
              <w:bottom w:val="nil"/>
              <w:right w:val="nil"/>
            </w:tcBorders>
          </w:tcPr>
          <w:p w:rsidR="008742DF" w:rsidRPr="003458DC" w:rsidRDefault="008742DF" w:rsidP="000054D6">
            <w:pPr>
              <w:widowControl/>
              <w:jc w:val="left"/>
              <w:rPr>
                <w:rFonts w:ascii="华文楷体" w:eastAsia="华文楷体" w:hAnsi="华文楷体"/>
              </w:rPr>
            </w:pPr>
          </w:p>
        </w:tc>
        <w:tc>
          <w:tcPr>
            <w:tcW w:w="5004" w:type="dxa"/>
            <w:tcBorders>
              <w:top w:val="single" w:sz="8" w:space="0" w:color="005096"/>
              <w:left w:val="nil"/>
              <w:bottom w:val="single" w:sz="8" w:space="0" w:color="005096"/>
              <w:right w:val="nil"/>
            </w:tcBorders>
          </w:tcPr>
          <w:p w:rsidR="008742DF" w:rsidRPr="003458DC" w:rsidRDefault="00114516" w:rsidP="000054D6">
            <w:pPr>
              <w:rPr>
                <w:rFonts w:ascii="华文楷体" w:eastAsia="华文楷体" w:hAnsi="华文楷体"/>
              </w:rPr>
            </w:pPr>
            <w:r w:rsidRPr="00114516">
              <w:rPr>
                <w:noProof/>
              </w:rPr>
              <w:drawing>
                <wp:anchor distT="0" distB="0" distL="114300" distR="114300" simplePos="0" relativeHeight="251650560" behindDoc="1" locked="0" layoutInCell="1" allowOverlap="1">
                  <wp:simplePos x="0" y="0"/>
                  <wp:positionH relativeFrom="column">
                    <wp:posOffset>3175</wp:posOffset>
                  </wp:positionH>
                  <wp:positionV relativeFrom="paragraph">
                    <wp:posOffset>0</wp:posOffset>
                  </wp:positionV>
                  <wp:extent cx="3003550" cy="2676525"/>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0904" cy="2683078"/>
                          </a:xfrm>
                          <a:prstGeom prst="rect">
                            <a:avLst/>
                          </a:prstGeom>
                          <a:noFill/>
                          <a:ln>
                            <a:noFill/>
                          </a:ln>
                        </pic:spPr>
                      </pic:pic>
                    </a:graphicData>
                  </a:graphic>
                </wp:anchor>
              </w:drawing>
            </w:r>
          </w:p>
        </w:tc>
      </w:tr>
    </w:tbl>
    <w:p w:rsidR="008742DF" w:rsidRPr="00F60E20" w:rsidRDefault="008742DF" w:rsidP="008742DF">
      <w:pPr>
        <w:spacing w:line="360" w:lineRule="auto"/>
        <w:ind w:rightChars="1000" w:right="2100"/>
        <w:rPr>
          <w:rFonts w:ascii="华文楷体" w:eastAsia="华文楷体" w:hAnsi="华文楷体"/>
          <w:sz w:val="16"/>
          <w:szCs w:val="16"/>
        </w:rPr>
      </w:pPr>
      <w:r w:rsidRPr="00F60E20">
        <w:rPr>
          <w:rFonts w:ascii="华文楷体" w:eastAsia="华文楷体" w:hAnsi="华文楷体" w:hint="eastAsia"/>
          <w:sz w:val="16"/>
          <w:szCs w:val="16"/>
        </w:rPr>
        <w:t>资</w:t>
      </w:r>
      <w:r w:rsidRPr="00F60E20">
        <w:rPr>
          <w:rFonts w:ascii="华文楷体" w:eastAsia="华文楷体" w:hAnsi="华文楷体"/>
          <w:sz w:val="16"/>
          <w:szCs w:val="16"/>
        </w:rPr>
        <w:t>料来源：</w:t>
      </w:r>
      <w:r w:rsidRPr="00F60E20">
        <w:rPr>
          <w:rFonts w:ascii="华文楷体" w:eastAsia="华文楷体" w:hAnsi="华文楷体" w:hint="eastAsia"/>
          <w:sz w:val="16"/>
          <w:szCs w:val="16"/>
        </w:rPr>
        <w:t>Wind</w:t>
      </w:r>
      <w:r w:rsidRPr="00F60E20">
        <w:rPr>
          <w:rFonts w:ascii="华文楷体" w:eastAsia="华文楷体" w:hAnsi="华文楷体"/>
          <w:sz w:val="16"/>
          <w:szCs w:val="16"/>
        </w:rPr>
        <w:t>，民生证券研究院</w:t>
      </w:r>
      <w:r w:rsidRPr="00F60E20">
        <w:rPr>
          <w:rFonts w:ascii="华文楷体" w:eastAsia="华文楷体" w:hAnsi="华文楷体" w:hint="eastAsia"/>
          <w:sz w:val="16"/>
          <w:szCs w:val="16"/>
        </w:rPr>
        <w:t xml:space="preserve">                                   </w:t>
      </w:r>
      <w:r w:rsidRPr="00F60E20">
        <w:rPr>
          <w:rFonts w:ascii="华文楷体" w:eastAsia="华文楷体" w:hAnsi="华文楷体"/>
          <w:sz w:val="16"/>
          <w:szCs w:val="16"/>
        </w:rPr>
        <w:t>资料来源：</w:t>
      </w:r>
      <w:r w:rsidRPr="00F60E20">
        <w:rPr>
          <w:rFonts w:ascii="华文楷体" w:eastAsia="华文楷体" w:hAnsi="华文楷体" w:hint="eastAsia"/>
          <w:sz w:val="16"/>
          <w:szCs w:val="16"/>
        </w:rPr>
        <w:t>Wind</w:t>
      </w:r>
      <w:r w:rsidRPr="00F60E20">
        <w:rPr>
          <w:rFonts w:ascii="华文楷体" w:eastAsia="华文楷体" w:hAnsi="华文楷体"/>
          <w:sz w:val="16"/>
          <w:szCs w:val="16"/>
        </w:rPr>
        <w:t>，民生证券研究院</w:t>
      </w:r>
    </w:p>
    <w:p w:rsidR="00891BB2" w:rsidRPr="008742DF" w:rsidRDefault="00891BB2" w:rsidP="008C6EE3">
      <w:pPr>
        <w:spacing w:line="360" w:lineRule="auto"/>
        <w:ind w:rightChars="1000" w:right="2100"/>
        <w:rPr>
          <w:rFonts w:ascii="楷体" w:eastAsia="楷体" w:hAnsi="楷体"/>
          <w:szCs w:val="21"/>
        </w:rPr>
      </w:pPr>
    </w:p>
    <w:p w:rsidR="00315AA7" w:rsidRPr="00594D8C" w:rsidRDefault="009B2884" w:rsidP="00594D8C">
      <w:pPr>
        <w:pStyle w:val="aff2"/>
        <w:numPr>
          <w:ilvl w:val="0"/>
          <w:numId w:val="10"/>
        </w:numPr>
        <w:spacing w:line="360" w:lineRule="auto"/>
        <w:ind w:rightChars="1000" w:right="2100" w:firstLineChars="0"/>
        <w:rPr>
          <w:rFonts w:ascii="楷体" w:eastAsia="楷体" w:hAnsi="楷体"/>
          <w:b/>
          <w:szCs w:val="21"/>
        </w:rPr>
      </w:pPr>
      <w:r w:rsidRPr="00594D8C">
        <w:rPr>
          <w:rFonts w:ascii="楷体" w:eastAsia="楷体" w:hAnsi="楷体" w:hint="eastAsia"/>
          <w:b/>
          <w:szCs w:val="21"/>
        </w:rPr>
        <w:t>市场展望：大趋势v形走势，结构性行情可期</w:t>
      </w:r>
    </w:p>
    <w:p w:rsidR="009B2884" w:rsidRPr="009B2884" w:rsidRDefault="009B2884" w:rsidP="002C6135">
      <w:pPr>
        <w:spacing w:line="360" w:lineRule="auto"/>
        <w:ind w:rightChars="1000" w:right="2100" w:firstLine="360"/>
        <w:rPr>
          <w:rFonts w:ascii="楷体" w:eastAsia="楷体" w:hAnsi="楷体"/>
          <w:szCs w:val="21"/>
        </w:rPr>
      </w:pPr>
      <w:r w:rsidRPr="009B2884">
        <w:rPr>
          <w:rFonts w:ascii="楷体" w:eastAsia="楷体" w:hAnsi="楷体" w:hint="eastAsia"/>
          <w:szCs w:val="21"/>
        </w:rPr>
        <w:t>本次供给侧结构性改革与98年相比，从宏观环境看，都经历着相似的国内经济增速下滑和外部市场的动荡，但产能过剩的行业存在着较为显著的差异。从宏观环境看，两次去产能的背后驱动因素都是经济增速下滑带来产业结构性调整的需求，需求端的疲软催生了较为宽松的利率环境，同时，外部经济环境总体较为疲软。从过剩产能行业看，90年代末主要体现在纺织、家电等生活资料的过剩，而目前主要体现在煤炭、有色、钢铁等生产资料的过剩，这类行业属于中上游资本密集型产业。</w:t>
      </w:r>
    </w:p>
    <w:p w:rsidR="009B2884" w:rsidRPr="009B2884" w:rsidRDefault="009B2884" w:rsidP="009B2884">
      <w:pPr>
        <w:spacing w:line="360" w:lineRule="auto"/>
        <w:ind w:rightChars="1000" w:right="2100"/>
        <w:rPr>
          <w:rFonts w:ascii="楷体" w:eastAsia="楷体" w:hAnsi="楷体"/>
          <w:szCs w:val="21"/>
        </w:rPr>
      </w:pPr>
    </w:p>
    <w:p w:rsidR="009B2884" w:rsidRPr="009B2884" w:rsidRDefault="009B2884" w:rsidP="002C6135">
      <w:pPr>
        <w:spacing w:line="360" w:lineRule="auto"/>
        <w:ind w:rightChars="1000" w:right="2100" w:firstLine="360"/>
        <w:rPr>
          <w:rFonts w:ascii="楷体" w:eastAsia="楷体" w:hAnsi="楷体"/>
          <w:szCs w:val="21"/>
        </w:rPr>
      </w:pPr>
      <w:r w:rsidRPr="009B2884">
        <w:rPr>
          <w:rFonts w:ascii="楷体" w:eastAsia="楷体" w:hAnsi="楷体" w:hint="eastAsia"/>
          <w:szCs w:val="21"/>
        </w:rPr>
        <w:t>结合98年去产能过程，我们认为此轮改革会呈现出以下几点特征：第一，所需耗费的时间会更加漫长，相关行业</w:t>
      </w:r>
      <w:proofErr w:type="gramStart"/>
      <w:r w:rsidRPr="009B2884">
        <w:rPr>
          <w:rFonts w:ascii="楷体" w:eastAsia="楷体" w:hAnsi="楷体" w:hint="eastAsia"/>
          <w:szCs w:val="21"/>
        </w:rPr>
        <w:t>业绩受去产能</w:t>
      </w:r>
      <w:proofErr w:type="gramEnd"/>
      <w:r w:rsidRPr="009B2884">
        <w:rPr>
          <w:rFonts w:ascii="楷体" w:eastAsia="楷体" w:hAnsi="楷体" w:hint="eastAsia"/>
          <w:szCs w:val="21"/>
        </w:rPr>
        <w:t>冲击到回升时间跨度相对更长；第二，改革过程中需求侧加码政策不会缺席，货币政策与财政政策护航；第三，不同产能过剩行业根据过剩程度与行业资本结构的不同，相对轻资产行业会更早出清；第四，相关支持性配套产</w:t>
      </w:r>
      <w:r w:rsidRPr="009B2884">
        <w:rPr>
          <w:rFonts w:ascii="楷体" w:eastAsia="楷体" w:hAnsi="楷体" w:hint="eastAsia"/>
          <w:szCs w:val="21"/>
        </w:rPr>
        <w:lastRenderedPageBreak/>
        <w:t>业与金融政策会密集出台，推动改革进程同时也提</w:t>
      </w:r>
      <w:proofErr w:type="gramStart"/>
      <w:r w:rsidRPr="009B2884">
        <w:rPr>
          <w:rFonts w:ascii="楷体" w:eastAsia="楷体" w:hAnsi="楷体" w:hint="eastAsia"/>
          <w:szCs w:val="21"/>
        </w:rPr>
        <w:t>振</w:t>
      </w:r>
      <w:proofErr w:type="gramEnd"/>
      <w:r w:rsidRPr="009B2884">
        <w:rPr>
          <w:rFonts w:ascii="楷体" w:eastAsia="楷体" w:hAnsi="楷体" w:hint="eastAsia"/>
          <w:szCs w:val="21"/>
        </w:rPr>
        <w:t xml:space="preserve">市场情绪；第五，根据改革进程的推进，股市大概率出现深蹲起跳的走势，改革取得的阶段性成果会催生市场出现可观行情。 </w:t>
      </w:r>
    </w:p>
    <w:p w:rsidR="009B2884" w:rsidRPr="009B2884" w:rsidRDefault="009B2884" w:rsidP="009B2884">
      <w:pPr>
        <w:spacing w:line="360" w:lineRule="auto"/>
        <w:ind w:rightChars="1000" w:right="2100"/>
        <w:rPr>
          <w:rFonts w:ascii="楷体" w:eastAsia="楷体" w:hAnsi="楷体"/>
          <w:szCs w:val="21"/>
        </w:rPr>
      </w:pPr>
    </w:p>
    <w:p w:rsidR="0064688F" w:rsidRDefault="009B2884" w:rsidP="002C6135">
      <w:pPr>
        <w:spacing w:line="360" w:lineRule="auto"/>
        <w:ind w:rightChars="1000" w:right="2100" w:firstLine="360"/>
        <w:rPr>
          <w:rFonts w:ascii="楷体" w:eastAsia="楷体" w:hAnsi="楷体"/>
          <w:szCs w:val="21"/>
        </w:rPr>
      </w:pPr>
      <w:r w:rsidRPr="009B2884">
        <w:rPr>
          <w:rFonts w:ascii="楷体" w:eastAsia="楷体" w:hAnsi="楷体" w:hint="eastAsia"/>
          <w:szCs w:val="21"/>
        </w:rPr>
        <w:t>在供给侧结构性改革推进的过程中，宏观经济与企业业绩不可避免承压，风险与机遇共存，在此过程中要做好风险控制，自下而上的个股选择将更为重要。随着改革的推进，建议投资者重点把握供给</w:t>
      </w:r>
      <w:proofErr w:type="gramStart"/>
      <w:r w:rsidRPr="009B2884">
        <w:rPr>
          <w:rFonts w:ascii="楷体" w:eastAsia="楷体" w:hAnsi="楷体" w:hint="eastAsia"/>
          <w:szCs w:val="21"/>
        </w:rPr>
        <w:t>侧结构</w:t>
      </w:r>
      <w:proofErr w:type="gramEnd"/>
      <w:r w:rsidRPr="009B2884">
        <w:rPr>
          <w:rFonts w:ascii="楷体" w:eastAsia="楷体" w:hAnsi="楷体" w:hint="eastAsia"/>
          <w:szCs w:val="21"/>
        </w:rPr>
        <w:t>中的几个投资逻辑，其一是关注相关供给侧结构性改革过程中相关政策提</w:t>
      </w:r>
      <w:proofErr w:type="gramStart"/>
      <w:r w:rsidRPr="009B2884">
        <w:rPr>
          <w:rFonts w:ascii="楷体" w:eastAsia="楷体" w:hAnsi="楷体" w:hint="eastAsia"/>
          <w:szCs w:val="21"/>
        </w:rPr>
        <w:t>振市场</w:t>
      </w:r>
      <w:proofErr w:type="gramEnd"/>
      <w:r w:rsidRPr="009B2884">
        <w:rPr>
          <w:rFonts w:ascii="楷体" w:eastAsia="楷体" w:hAnsi="楷体" w:hint="eastAsia"/>
          <w:szCs w:val="21"/>
        </w:rPr>
        <w:t>情绪带来的交易性机会，其二是相关出清较快行业由于业绩改善带来的结构性机会，其三是在改革取得阶段性成就时，改良后的旧经济与新经济共振带来的新增长周期催生的系统性行情。</w:t>
      </w:r>
    </w:p>
    <w:p w:rsidR="00931F8B" w:rsidRDefault="00931F8B" w:rsidP="009B2884">
      <w:pPr>
        <w:spacing w:line="360" w:lineRule="auto"/>
        <w:ind w:rightChars="1000" w:right="2100"/>
        <w:rPr>
          <w:rFonts w:ascii="楷体" w:eastAsia="楷体" w:hAnsi="楷体"/>
          <w:szCs w:val="21"/>
        </w:rPr>
      </w:pPr>
    </w:p>
    <w:p w:rsidR="0064688F" w:rsidRPr="00E179A3" w:rsidRDefault="00931F8B" w:rsidP="008C6EE3">
      <w:pPr>
        <w:spacing w:line="360" w:lineRule="auto"/>
        <w:ind w:rightChars="1000" w:right="2100"/>
        <w:rPr>
          <w:rFonts w:ascii="楷体" w:eastAsia="楷体" w:hAnsi="楷体"/>
          <w:b/>
          <w:color w:val="0070C0"/>
          <w:sz w:val="24"/>
          <w:szCs w:val="21"/>
        </w:rPr>
      </w:pPr>
      <w:r w:rsidRPr="00E179A3">
        <w:rPr>
          <w:rFonts w:ascii="楷体" w:eastAsia="楷体" w:hAnsi="楷体" w:hint="eastAsia"/>
          <w:b/>
          <w:color w:val="0070C0"/>
          <w:sz w:val="24"/>
          <w:szCs w:val="21"/>
        </w:rPr>
        <w:t>四、去产能全景图：过剩行业全梳理</w:t>
      </w:r>
    </w:p>
    <w:p w:rsidR="002F3BEE" w:rsidRPr="00494722" w:rsidRDefault="00D64966" w:rsidP="002F3BEE">
      <w:pPr>
        <w:pStyle w:val="aff2"/>
        <w:numPr>
          <w:ilvl w:val="0"/>
          <w:numId w:val="14"/>
        </w:numPr>
        <w:spacing w:line="360" w:lineRule="auto"/>
        <w:ind w:rightChars="1000" w:right="2100" w:firstLineChars="0"/>
        <w:rPr>
          <w:rFonts w:ascii="楷体" w:eastAsia="楷体" w:hAnsi="楷体"/>
          <w:b/>
          <w:color w:val="0070C0"/>
          <w:sz w:val="22"/>
          <w:szCs w:val="21"/>
        </w:rPr>
      </w:pPr>
      <w:r w:rsidRPr="002E7483">
        <w:rPr>
          <w:rFonts w:ascii="楷体" w:eastAsia="楷体" w:hAnsi="楷体" w:hint="eastAsia"/>
          <w:b/>
          <w:color w:val="0070C0"/>
          <w:sz w:val="22"/>
          <w:szCs w:val="21"/>
        </w:rPr>
        <w:t>电解铝行业</w:t>
      </w:r>
    </w:p>
    <w:p w:rsidR="006D248A" w:rsidRPr="00C54199" w:rsidRDefault="00390216" w:rsidP="006D248A">
      <w:pPr>
        <w:pStyle w:val="aff2"/>
        <w:numPr>
          <w:ilvl w:val="0"/>
          <w:numId w:val="15"/>
        </w:numPr>
        <w:spacing w:line="360" w:lineRule="auto"/>
        <w:ind w:rightChars="1000" w:right="2100" w:firstLineChars="0"/>
        <w:rPr>
          <w:rFonts w:ascii="楷体" w:eastAsia="楷体" w:hAnsi="楷体"/>
          <w:b/>
          <w:szCs w:val="21"/>
        </w:rPr>
      </w:pPr>
      <w:r w:rsidRPr="00230F7A">
        <w:rPr>
          <w:rFonts w:ascii="楷体" w:eastAsia="楷体" w:hAnsi="楷体" w:hint="eastAsia"/>
          <w:b/>
          <w:szCs w:val="21"/>
        </w:rPr>
        <w:t>产能利用情况</w:t>
      </w:r>
    </w:p>
    <w:p w:rsidR="00390216" w:rsidRDefault="00712B0A" w:rsidP="00DC3928">
      <w:pPr>
        <w:spacing w:line="360" w:lineRule="auto"/>
        <w:ind w:rightChars="1000" w:right="2100" w:firstLine="360"/>
        <w:rPr>
          <w:rFonts w:ascii="楷体" w:eastAsia="楷体" w:hAnsi="楷体"/>
          <w:szCs w:val="21"/>
        </w:rPr>
      </w:pPr>
      <w:r w:rsidRPr="00712B0A">
        <w:rPr>
          <w:rFonts w:ascii="楷体" w:eastAsia="楷体" w:hAnsi="楷体" w:hint="eastAsia"/>
          <w:szCs w:val="21"/>
        </w:rPr>
        <w:t>2015年，全球电解铝产量5789万吨，中国产量为3141万吨，占全球产量54.26%，同比增长8.4%。从1999年到2015年，全球电解铝年复合增长率为5.7%，中国为16.9%，成为全球最大的电解铝生产国。</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284"/>
        <w:gridCol w:w="283"/>
        <w:gridCol w:w="71"/>
        <w:gridCol w:w="4747"/>
        <w:gridCol w:w="143"/>
      </w:tblGrid>
      <w:tr w:rsidR="0018378A" w:rsidRPr="0018378A" w:rsidTr="000054D6">
        <w:trPr>
          <w:gridAfter w:val="1"/>
          <w:wAfter w:w="143" w:type="dxa"/>
          <w:trHeight w:hRule="exact" w:val="454"/>
        </w:trPr>
        <w:tc>
          <w:tcPr>
            <w:tcW w:w="4678" w:type="dxa"/>
            <w:tcBorders>
              <w:top w:val="nil"/>
              <w:left w:val="nil"/>
              <w:bottom w:val="single" w:sz="8" w:space="0" w:color="005096"/>
              <w:right w:val="nil"/>
            </w:tcBorders>
            <w:vAlign w:val="bottom"/>
          </w:tcPr>
          <w:p w:rsidR="0018378A" w:rsidRPr="0018378A" w:rsidRDefault="0018378A" w:rsidP="0018378A">
            <w:pPr>
              <w:pStyle w:val="52"/>
              <w:rPr>
                <w:rFonts w:ascii="华文楷体" w:eastAsia="华文楷体" w:hAnsi="华文楷体"/>
              </w:rPr>
            </w:pPr>
            <w:bookmarkStart w:id="1" w:name="_Toc291508309"/>
            <w:r w:rsidRPr="0018378A">
              <w:rPr>
                <w:rFonts w:ascii="华文楷体" w:eastAsia="华文楷体" w:hAnsi="华文楷体" w:hint="eastAsia"/>
              </w:rPr>
              <w:t>图</w:t>
            </w:r>
            <w:r w:rsidR="003D3FA9" w:rsidRPr="0018378A">
              <w:rPr>
                <w:rFonts w:ascii="华文楷体" w:eastAsia="华文楷体" w:hAnsi="华文楷体"/>
              </w:rPr>
              <w:fldChar w:fldCharType="begin"/>
            </w:r>
            <w:r w:rsidRPr="0018378A">
              <w:rPr>
                <w:rFonts w:ascii="华文楷体" w:eastAsia="华文楷体" w:hAnsi="华文楷体"/>
              </w:rPr>
              <w:instrText xml:space="preserve"> SEQ </w:instrText>
            </w:r>
            <w:r w:rsidRPr="0018378A">
              <w:rPr>
                <w:rFonts w:ascii="华文楷体" w:eastAsia="华文楷体" w:hAnsi="华文楷体" w:hint="eastAsia"/>
              </w:rPr>
              <w:instrText>图</w:instrText>
            </w:r>
            <w:r w:rsidRPr="0018378A">
              <w:rPr>
                <w:rFonts w:ascii="华文楷体" w:eastAsia="华文楷体" w:hAnsi="华文楷体"/>
              </w:rPr>
              <w:instrText xml:space="preserve"> \* ARABIC </w:instrText>
            </w:r>
            <w:r w:rsidR="003D3FA9" w:rsidRPr="0018378A">
              <w:rPr>
                <w:rFonts w:ascii="华文楷体" w:eastAsia="华文楷体" w:hAnsi="华文楷体"/>
              </w:rPr>
              <w:fldChar w:fldCharType="separate"/>
            </w:r>
            <w:r w:rsidRPr="0018378A">
              <w:rPr>
                <w:rFonts w:ascii="华文楷体" w:eastAsia="华文楷体" w:hAnsi="华文楷体"/>
              </w:rPr>
              <w:t>1</w:t>
            </w:r>
            <w:r w:rsidR="003D3FA9" w:rsidRPr="0018378A">
              <w:rPr>
                <w:rFonts w:ascii="华文楷体" w:eastAsia="华文楷体" w:hAnsi="华文楷体"/>
              </w:rPr>
              <w:fldChar w:fldCharType="end"/>
            </w:r>
            <w:r w:rsidR="00381566">
              <w:rPr>
                <w:rFonts w:ascii="华文楷体" w:eastAsia="华文楷体" w:hAnsi="华文楷体"/>
              </w:rPr>
              <w:t>1</w:t>
            </w:r>
            <w:r w:rsidRPr="0018378A">
              <w:rPr>
                <w:rFonts w:ascii="华文楷体" w:eastAsia="华文楷体" w:hAnsi="华文楷体" w:hint="eastAsia"/>
              </w:rPr>
              <w:t>：</w:t>
            </w:r>
            <w:bookmarkEnd w:id="1"/>
            <w:r w:rsidRPr="0018378A">
              <w:rPr>
                <w:rFonts w:ascii="华文楷体" w:eastAsia="华文楷体" w:hAnsi="华文楷体"/>
              </w:rPr>
              <w:t>2015年中国电解铝产量同比增长</w:t>
            </w:r>
            <w:r w:rsidRPr="0018378A">
              <w:rPr>
                <w:rFonts w:ascii="华文楷体" w:eastAsia="华文楷体" w:hAnsi="华文楷体" w:hint="eastAsia"/>
              </w:rPr>
              <w:t>8.4%</w:t>
            </w:r>
          </w:p>
        </w:tc>
        <w:tc>
          <w:tcPr>
            <w:tcW w:w="638" w:type="dxa"/>
            <w:gridSpan w:val="3"/>
            <w:tcBorders>
              <w:top w:val="nil"/>
              <w:left w:val="nil"/>
              <w:bottom w:val="nil"/>
              <w:right w:val="nil"/>
            </w:tcBorders>
            <w:vAlign w:val="bottom"/>
          </w:tcPr>
          <w:p w:rsidR="0018378A" w:rsidRPr="0018378A" w:rsidRDefault="0018378A" w:rsidP="0018378A">
            <w:pPr>
              <w:pStyle w:val="52"/>
              <w:rPr>
                <w:rFonts w:ascii="华文楷体" w:eastAsia="华文楷体" w:hAnsi="华文楷体"/>
              </w:rPr>
            </w:pPr>
          </w:p>
        </w:tc>
        <w:tc>
          <w:tcPr>
            <w:tcW w:w="4747" w:type="dxa"/>
            <w:tcBorders>
              <w:top w:val="nil"/>
              <w:left w:val="nil"/>
              <w:bottom w:val="single" w:sz="8" w:space="0" w:color="005096"/>
              <w:right w:val="nil"/>
            </w:tcBorders>
            <w:vAlign w:val="bottom"/>
          </w:tcPr>
          <w:p w:rsidR="0018378A" w:rsidRPr="0018378A" w:rsidRDefault="0018378A" w:rsidP="0018378A">
            <w:pPr>
              <w:pStyle w:val="52"/>
              <w:rPr>
                <w:rFonts w:ascii="华文楷体" w:eastAsia="华文楷体" w:hAnsi="华文楷体"/>
              </w:rPr>
            </w:pPr>
            <w:bookmarkStart w:id="2" w:name="_Toc291508310"/>
            <w:r w:rsidRPr="0018378A">
              <w:rPr>
                <w:rFonts w:ascii="华文楷体" w:eastAsia="华文楷体" w:hAnsi="华文楷体" w:hint="eastAsia"/>
              </w:rPr>
              <w:t>图</w:t>
            </w:r>
            <w:r w:rsidR="00381566">
              <w:rPr>
                <w:rFonts w:ascii="华文楷体" w:eastAsia="华文楷体" w:hAnsi="华文楷体" w:hint="eastAsia"/>
              </w:rPr>
              <w:t>1</w:t>
            </w:r>
            <w:r w:rsidR="003D3FA9" w:rsidRPr="0018378A">
              <w:rPr>
                <w:rFonts w:ascii="华文楷体" w:eastAsia="华文楷体" w:hAnsi="华文楷体"/>
              </w:rPr>
              <w:fldChar w:fldCharType="begin"/>
            </w:r>
            <w:r w:rsidRPr="0018378A">
              <w:rPr>
                <w:rFonts w:ascii="华文楷体" w:eastAsia="华文楷体" w:hAnsi="华文楷体"/>
              </w:rPr>
              <w:instrText xml:space="preserve"> SEQ </w:instrText>
            </w:r>
            <w:r w:rsidRPr="0018378A">
              <w:rPr>
                <w:rFonts w:ascii="华文楷体" w:eastAsia="华文楷体" w:hAnsi="华文楷体" w:hint="eastAsia"/>
              </w:rPr>
              <w:instrText>图</w:instrText>
            </w:r>
            <w:r w:rsidRPr="0018378A">
              <w:rPr>
                <w:rFonts w:ascii="华文楷体" w:eastAsia="华文楷体" w:hAnsi="华文楷体"/>
              </w:rPr>
              <w:instrText xml:space="preserve"> \* ARABIC </w:instrText>
            </w:r>
            <w:r w:rsidR="003D3FA9" w:rsidRPr="0018378A">
              <w:rPr>
                <w:rFonts w:ascii="华文楷体" w:eastAsia="华文楷体" w:hAnsi="华文楷体"/>
              </w:rPr>
              <w:fldChar w:fldCharType="separate"/>
            </w:r>
            <w:r w:rsidRPr="0018378A">
              <w:rPr>
                <w:rFonts w:ascii="华文楷体" w:eastAsia="华文楷体" w:hAnsi="华文楷体"/>
              </w:rPr>
              <w:t>2</w:t>
            </w:r>
            <w:r w:rsidR="003D3FA9" w:rsidRPr="0018378A">
              <w:rPr>
                <w:rFonts w:ascii="华文楷体" w:eastAsia="华文楷体" w:hAnsi="华文楷体"/>
              </w:rPr>
              <w:fldChar w:fldCharType="end"/>
            </w:r>
            <w:r w:rsidRPr="0018378A">
              <w:rPr>
                <w:rFonts w:ascii="华文楷体" w:eastAsia="华文楷体" w:hAnsi="华文楷体" w:hint="eastAsia"/>
              </w:rPr>
              <w:t>：</w:t>
            </w:r>
            <w:bookmarkEnd w:id="2"/>
            <w:r w:rsidRPr="0018378A">
              <w:rPr>
                <w:rFonts w:ascii="华文楷体" w:eastAsia="华文楷体" w:hAnsi="华文楷体"/>
              </w:rPr>
              <w:t>中国是全球最大的电解铝生产国</w:t>
            </w:r>
            <w:r w:rsidRPr="0018378A">
              <w:rPr>
                <w:rFonts w:ascii="华文楷体" w:eastAsia="华文楷体" w:hAnsi="华文楷体" w:hint="eastAsia"/>
              </w:rPr>
              <w:t>（2014年数据）</w:t>
            </w:r>
            <w:r w:rsidRPr="0018378A">
              <w:rPr>
                <w:rFonts w:ascii="华文楷体" w:eastAsia="华文楷体" w:hAnsi="华文楷体"/>
              </w:rPr>
              <w:t xml:space="preserve"> </w:t>
            </w:r>
          </w:p>
        </w:tc>
      </w:tr>
      <w:tr w:rsidR="0018378A" w:rsidRPr="0018378A" w:rsidTr="000054D6">
        <w:trPr>
          <w:trHeight w:hRule="exact" w:val="3050"/>
        </w:trPr>
        <w:tc>
          <w:tcPr>
            <w:tcW w:w="4962" w:type="dxa"/>
            <w:gridSpan w:val="2"/>
            <w:tcBorders>
              <w:top w:val="single" w:sz="8" w:space="0" w:color="005096"/>
              <w:left w:val="nil"/>
              <w:bottom w:val="single" w:sz="8" w:space="0" w:color="005096"/>
              <w:right w:val="nil"/>
            </w:tcBorders>
          </w:tcPr>
          <w:p w:rsidR="0018378A" w:rsidRPr="0018378A" w:rsidRDefault="0018378A" w:rsidP="005143F4">
            <w:pPr>
              <w:autoSpaceDE w:val="0"/>
              <w:autoSpaceDN w:val="0"/>
              <w:spacing w:beforeLines="50" w:afterLines="50" w:line="360" w:lineRule="auto"/>
              <w:rPr>
                <w:rFonts w:ascii="Calibri" w:eastAsia="楷体" w:hAnsi="Calibri"/>
                <w:sz w:val="24"/>
                <w:szCs w:val="22"/>
              </w:rPr>
            </w:pPr>
            <w:r w:rsidRPr="0018378A">
              <w:rPr>
                <w:rFonts w:ascii="Calibri" w:eastAsia="楷体" w:hAnsi="Calibri"/>
                <w:noProof/>
                <w:szCs w:val="22"/>
              </w:rPr>
              <w:drawing>
                <wp:anchor distT="0" distB="0" distL="114300" distR="114300" simplePos="0" relativeHeight="251652608" behindDoc="1" locked="0" layoutInCell="1" allowOverlap="1">
                  <wp:simplePos x="0" y="0"/>
                  <wp:positionH relativeFrom="column">
                    <wp:posOffset>635</wp:posOffset>
                  </wp:positionH>
                  <wp:positionV relativeFrom="paragraph">
                    <wp:posOffset>74295</wp:posOffset>
                  </wp:positionV>
                  <wp:extent cx="3013710" cy="1870392"/>
                  <wp:effectExtent l="0" t="0" r="0" b="0"/>
                  <wp:wrapNone/>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c>
          <w:tcPr>
            <w:tcW w:w="283" w:type="dxa"/>
            <w:tcBorders>
              <w:top w:val="nil"/>
              <w:left w:val="nil"/>
              <w:bottom w:val="nil"/>
              <w:right w:val="nil"/>
            </w:tcBorders>
          </w:tcPr>
          <w:p w:rsidR="0018378A" w:rsidRPr="0018378A" w:rsidRDefault="0018378A" w:rsidP="005143F4">
            <w:pPr>
              <w:autoSpaceDE w:val="0"/>
              <w:autoSpaceDN w:val="0"/>
              <w:spacing w:beforeLines="50" w:afterLines="50" w:line="360" w:lineRule="auto"/>
              <w:rPr>
                <w:rFonts w:ascii="Calibri" w:eastAsia="楷体" w:hAnsi="Calibri"/>
                <w:sz w:val="24"/>
                <w:szCs w:val="22"/>
              </w:rPr>
            </w:pPr>
          </w:p>
        </w:tc>
        <w:tc>
          <w:tcPr>
            <w:tcW w:w="4961" w:type="dxa"/>
            <w:gridSpan w:val="3"/>
            <w:tcBorders>
              <w:top w:val="single" w:sz="8" w:space="0" w:color="005096"/>
              <w:left w:val="nil"/>
              <w:bottom w:val="single" w:sz="8" w:space="0" w:color="005096"/>
              <w:right w:val="nil"/>
            </w:tcBorders>
          </w:tcPr>
          <w:p w:rsidR="0018378A" w:rsidRPr="0018378A" w:rsidRDefault="0018378A" w:rsidP="005143F4">
            <w:pPr>
              <w:autoSpaceDE w:val="0"/>
              <w:autoSpaceDN w:val="0"/>
              <w:spacing w:beforeLines="50" w:afterLines="50" w:line="360" w:lineRule="auto"/>
              <w:rPr>
                <w:rFonts w:ascii="Calibri" w:eastAsia="楷体" w:hAnsi="Calibri"/>
                <w:sz w:val="24"/>
                <w:szCs w:val="22"/>
              </w:rPr>
            </w:pPr>
            <w:r w:rsidRPr="0018378A">
              <w:rPr>
                <w:rFonts w:ascii="Calibri" w:eastAsia="楷体" w:hAnsi="Calibri"/>
                <w:noProof/>
                <w:szCs w:val="22"/>
              </w:rPr>
              <w:drawing>
                <wp:inline distT="0" distB="0" distL="0" distR="0">
                  <wp:extent cx="3013075" cy="1736407"/>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18378A" w:rsidRPr="0018378A" w:rsidRDefault="0018378A" w:rsidP="0018378A">
      <w:pPr>
        <w:rPr>
          <w:sz w:val="16"/>
          <w:szCs w:val="16"/>
        </w:rPr>
      </w:pPr>
      <w:r w:rsidRPr="0018378A">
        <w:rPr>
          <w:rFonts w:hint="eastAsia"/>
          <w:sz w:val="16"/>
          <w:szCs w:val="16"/>
        </w:rPr>
        <w:t>资料来源：国家统计局，中国有色金属工业协会，民生证券研究院</w:t>
      </w:r>
      <w:r w:rsidRPr="0018378A">
        <w:rPr>
          <w:rFonts w:hint="eastAsia"/>
          <w:sz w:val="16"/>
          <w:szCs w:val="16"/>
        </w:rPr>
        <w:t xml:space="preserve">  </w:t>
      </w:r>
      <w:r>
        <w:rPr>
          <w:sz w:val="16"/>
          <w:szCs w:val="16"/>
        </w:rPr>
        <w:t xml:space="preserve">      </w:t>
      </w:r>
      <w:r w:rsidRPr="0018378A">
        <w:rPr>
          <w:rFonts w:hint="eastAsia"/>
          <w:sz w:val="16"/>
          <w:szCs w:val="16"/>
        </w:rPr>
        <w:t>资料来源：国家统计局，中国有色金属工业协会，民生证券研究院</w:t>
      </w:r>
    </w:p>
    <w:p w:rsidR="004E304E" w:rsidRDefault="004E304E" w:rsidP="00DC3928">
      <w:pPr>
        <w:spacing w:line="360" w:lineRule="auto"/>
        <w:ind w:rightChars="1000" w:right="2100" w:firstLine="420"/>
        <w:rPr>
          <w:rFonts w:ascii="楷体" w:eastAsia="楷体" w:hAnsi="楷体"/>
          <w:szCs w:val="21"/>
        </w:rPr>
      </w:pPr>
    </w:p>
    <w:p w:rsidR="00CE55B3" w:rsidRDefault="00CE55B3" w:rsidP="00DC3928">
      <w:pPr>
        <w:spacing w:line="360" w:lineRule="auto"/>
        <w:ind w:rightChars="1000" w:right="2100" w:firstLine="420"/>
        <w:rPr>
          <w:rFonts w:ascii="楷体" w:eastAsia="楷体" w:hAnsi="楷体"/>
          <w:szCs w:val="21"/>
        </w:rPr>
      </w:pPr>
      <w:r w:rsidRPr="00CE55B3">
        <w:rPr>
          <w:rFonts w:ascii="楷体" w:eastAsia="楷体" w:hAnsi="楷体" w:hint="eastAsia"/>
          <w:szCs w:val="21"/>
        </w:rPr>
        <w:t>2015年12月，国内电解</w:t>
      </w:r>
      <w:proofErr w:type="gramStart"/>
      <w:r w:rsidRPr="00CE55B3">
        <w:rPr>
          <w:rFonts w:ascii="楷体" w:eastAsia="楷体" w:hAnsi="楷体" w:hint="eastAsia"/>
          <w:szCs w:val="21"/>
        </w:rPr>
        <w:t>铝企业</w:t>
      </w:r>
      <w:proofErr w:type="gramEnd"/>
      <w:r w:rsidRPr="00CE55B3">
        <w:rPr>
          <w:rFonts w:ascii="楷体" w:eastAsia="楷体" w:hAnsi="楷体" w:hint="eastAsia"/>
          <w:szCs w:val="21"/>
        </w:rPr>
        <w:t>产能利用率为78.05%，连续下降4个月。历史数据显示电解铝行业产量利用率与GDP增长率高度正相关。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284"/>
        <w:gridCol w:w="283"/>
        <w:gridCol w:w="71"/>
        <w:gridCol w:w="4747"/>
        <w:gridCol w:w="143"/>
      </w:tblGrid>
      <w:tr w:rsidR="00252BB1" w:rsidRPr="00252BB1" w:rsidTr="000054D6">
        <w:trPr>
          <w:gridAfter w:val="1"/>
          <w:wAfter w:w="143" w:type="dxa"/>
          <w:trHeight w:hRule="exact" w:val="454"/>
        </w:trPr>
        <w:tc>
          <w:tcPr>
            <w:tcW w:w="4678" w:type="dxa"/>
            <w:tcBorders>
              <w:top w:val="nil"/>
              <w:left w:val="nil"/>
              <w:bottom w:val="single" w:sz="8" w:space="0" w:color="005096"/>
              <w:right w:val="nil"/>
            </w:tcBorders>
            <w:vAlign w:val="bottom"/>
          </w:tcPr>
          <w:p w:rsidR="00252BB1" w:rsidRPr="00252BB1" w:rsidRDefault="00252BB1" w:rsidP="00252BB1">
            <w:pPr>
              <w:spacing w:line="360" w:lineRule="exact"/>
              <w:rPr>
                <w:b/>
                <w:color w:val="005096"/>
                <w:sz w:val="18"/>
                <w:szCs w:val="20"/>
              </w:rPr>
            </w:pPr>
            <w:r w:rsidRPr="00252BB1">
              <w:rPr>
                <w:rFonts w:hint="eastAsia"/>
                <w:b/>
                <w:color w:val="005096"/>
                <w:sz w:val="18"/>
                <w:szCs w:val="20"/>
              </w:rPr>
              <w:t>图</w:t>
            </w:r>
            <w:r w:rsidR="003D3FA9" w:rsidRPr="00252BB1">
              <w:rPr>
                <w:b/>
                <w:color w:val="005096"/>
                <w:sz w:val="18"/>
                <w:szCs w:val="18"/>
              </w:rPr>
              <w:fldChar w:fldCharType="begin"/>
            </w:r>
            <w:r w:rsidRPr="00252BB1">
              <w:rPr>
                <w:color w:val="005096"/>
                <w:sz w:val="18"/>
                <w:szCs w:val="18"/>
              </w:rPr>
              <w:instrText xml:space="preserve"> SEQ </w:instrText>
            </w:r>
            <w:r w:rsidRPr="00252BB1">
              <w:rPr>
                <w:rFonts w:hint="eastAsia"/>
                <w:color w:val="005096"/>
                <w:sz w:val="18"/>
                <w:szCs w:val="18"/>
              </w:rPr>
              <w:instrText>图</w:instrText>
            </w:r>
            <w:r w:rsidRPr="00252BB1">
              <w:rPr>
                <w:color w:val="005096"/>
                <w:sz w:val="18"/>
                <w:szCs w:val="18"/>
              </w:rPr>
              <w:instrText xml:space="preserve"> \* ARABIC </w:instrText>
            </w:r>
            <w:r w:rsidR="003D3FA9" w:rsidRPr="00252BB1">
              <w:rPr>
                <w:b/>
                <w:color w:val="005096"/>
                <w:sz w:val="18"/>
                <w:szCs w:val="18"/>
              </w:rPr>
              <w:fldChar w:fldCharType="separate"/>
            </w:r>
            <w:r w:rsidRPr="00252BB1">
              <w:rPr>
                <w:noProof/>
                <w:color w:val="005096"/>
                <w:sz w:val="18"/>
                <w:szCs w:val="18"/>
              </w:rPr>
              <w:t>1</w:t>
            </w:r>
            <w:r w:rsidR="003D3FA9" w:rsidRPr="00252BB1">
              <w:rPr>
                <w:b/>
                <w:color w:val="005096"/>
                <w:sz w:val="18"/>
                <w:szCs w:val="18"/>
              </w:rPr>
              <w:fldChar w:fldCharType="end"/>
            </w:r>
            <w:r w:rsidR="00381566">
              <w:rPr>
                <w:b/>
                <w:color w:val="005096"/>
                <w:sz w:val="18"/>
                <w:szCs w:val="18"/>
              </w:rPr>
              <w:t>3</w:t>
            </w:r>
            <w:r w:rsidRPr="00252BB1">
              <w:rPr>
                <w:rFonts w:hint="eastAsia"/>
                <w:b/>
                <w:color w:val="005096"/>
                <w:sz w:val="18"/>
                <w:szCs w:val="20"/>
              </w:rPr>
              <w:t>：</w:t>
            </w:r>
            <w:r w:rsidRPr="00252BB1">
              <w:rPr>
                <w:b/>
                <w:color w:val="005096"/>
                <w:sz w:val="18"/>
                <w:szCs w:val="20"/>
              </w:rPr>
              <w:t>2015</w:t>
            </w:r>
            <w:r w:rsidRPr="00252BB1">
              <w:rPr>
                <w:b/>
                <w:color w:val="005096"/>
                <w:sz w:val="18"/>
                <w:szCs w:val="20"/>
              </w:rPr>
              <w:t>年</w:t>
            </w:r>
            <w:r w:rsidRPr="00252BB1">
              <w:rPr>
                <w:rFonts w:hint="eastAsia"/>
                <w:b/>
                <w:color w:val="005096"/>
                <w:sz w:val="18"/>
                <w:szCs w:val="20"/>
              </w:rPr>
              <w:t>9-</w:t>
            </w:r>
            <w:r w:rsidRPr="00252BB1">
              <w:rPr>
                <w:b/>
                <w:color w:val="005096"/>
                <w:sz w:val="18"/>
                <w:szCs w:val="20"/>
              </w:rPr>
              <w:t>12</w:t>
            </w:r>
            <w:r w:rsidRPr="00252BB1">
              <w:rPr>
                <w:b/>
                <w:color w:val="005096"/>
                <w:sz w:val="18"/>
                <w:szCs w:val="20"/>
              </w:rPr>
              <w:t>月电解铝产能利用率连续下降</w:t>
            </w:r>
          </w:p>
        </w:tc>
        <w:tc>
          <w:tcPr>
            <w:tcW w:w="638" w:type="dxa"/>
            <w:gridSpan w:val="3"/>
            <w:tcBorders>
              <w:top w:val="nil"/>
              <w:left w:val="nil"/>
              <w:bottom w:val="nil"/>
              <w:right w:val="nil"/>
            </w:tcBorders>
            <w:vAlign w:val="bottom"/>
          </w:tcPr>
          <w:p w:rsidR="00252BB1" w:rsidRPr="00252BB1" w:rsidRDefault="00252BB1" w:rsidP="005143F4">
            <w:pPr>
              <w:autoSpaceDE w:val="0"/>
              <w:autoSpaceDN w:val="0"/>
              <w:spacing w:beforeLines="50" w:afterLines="50" w:line="360" w:lineRule="auto"/>
              <w:rPr>
                <w:rFonts w:ascii="Calibri" w:eastAsia="楷体" w:hAnsi="Calibri"/>
                <w:sz w:val="24"/>
                <w:szCs w:val="22"/>
              </w:rPr>
            </w:pPr>
          </w:p>
        </w:tc>
        <w:tc>
          <w:tcPr>
            <w:tcW w:w="4747" w:type="dxa"/>
            <w:tcBorders>
              <w:top w:val="nil"/>
              <w:left w:val="nil"/>
              <w:bottom w:val="single" w:sz="8" w:space="0" w:color="005096"/>
              <w:right w:val="nil"/>
            </w:tcBorders>
            <w:vAlign w:val="bottom"/>
          </w:tcPr>
          <w:p w:rsidR="00252BB1" w:rsidRPr="00252BB1" w:rsidRDefault="00252BB1" w:rsidP="00381566">
            <w:pPr>
              <w:spacing w:line="360" w:lineRule="exact"/>
              <w:rPr>
                <w:b/>
                <w:color w:val="005096"/>
                <w:sz w:val="18"/>
                <w:szCs w:val="20"/>
              </w:rPr>
            </w:pPr>
            <w:r w:rsidRPr="00252BB1">
              <w:rPr>
                <w:rFonts w:hint="eastAsia"/>
                <w:b/>
                <w:color w:val="005096"/>
                <w:sz w:val="18"/>
                <w:szCs w:val="20"/>
              </w:rPr>
              <w:t>图</w:t>
            </w:r>
            <w:r w:rsidR="00381566">
              <w:rPr>
                <w:b/>
                <w:color w:val="005096"/>
                <w:sz w:val="18"/>
                <w:szCs w:val="20"/>
              </w:rPr>
              <w:t>14</w:t>
            </w:r>
            <w:r w:rsidRPr="00252BB1">
              <w:rPr>
                <w:rFonts w:hint="eastAsia"/>
                <w:b/>
                <w:color w:val="005096"/>
                <w:sz w:val="18"/>
                <w:szCs w:val="20"/>
              </w:rPr>
              <w:t>：电解铝产能利用率与</w:t>
            </w:r>
            <w:r w:rsidRPr="00252BB1">
              <w:rPr>
                <w:rFonts w:hint="eastAsia"/>
                <w:b/>
                <w:color w:val="005096"/>
                <w:sz w:val="18"/>
                <w:szCs w:val="20"/>
              </w:rPr>
              <w:t>GDP</w:t>
            </w:r>
            <w:r w:rsidRPr="00252BB1">
              <w:rPr>
                <w:rFonts w:hint="eastAsia"/>
                <w:b/>
                <w:color w:val="005096"/>
                <w:sz w:val="18"/>
                <w:szCs w:val="20"/>
              </w:rPr>
              <w:t>增长高度正相关</w:t>
            </w:r>
          </w:p>
        </w:tc>
      </w:tr>
      <w:tr w:rsidR="00252BB1" w:rsidRPr="00252BB1" w:rsidTr="000054D6">
        <w:trPr>
          <w:trHeight w:hRule="exact" w:val="3050"/>
        </w:trPr>
        <w:tc>
          <w:tcPr>
            <w:tcW w:w="4962" w:type="dxa"/>
            <w:gridSpan w:val="2"/>
            <w:tcBorders>
              <w:top w:val="single" w:sz="8" w:space="0" w:color="005096"/>
              <w:left w:val="nil"/>
              <w:bottom w:val="single" w:sz="8" w:space="0" w:color="005096"/>
              <w:right w:val="nil"/>
            </w:tcBorders>
          </w:tcPr>
          <w:p w:rsidR="00252BB1" w:rsidRPr="00252BB1" w:rsidRDefault="00252BB1" w:rsidP="005143F4">
            <w:pPr>
              <w:autoSpaceDE w:val="0"/>
              <w:autoSpaceDN w:val="0"/>
              <w:spacing w:beforeLines="50" w:afterLines="50" w:line="360" w:lineRule="auto"/>
              <w:rPr>
                <w:rFonts w:ascii="Calibri" w:eastAsia="楷体" w:hAnsi="Calibri"/>
                <w:sz w:val="24"/>
                <w:szCs w:val="22"/>
              </w:rPr>
            </w:pPr>
            <w:r w:rsidRPr="00252BB1">
              <w:rPr>
                <w:rFonts w:ascii="Calibri" w:eastAsia="楷体" w:hAnsi="Calibri"/>
                <w:noProof/>
                <w:szCs w:val="22"/>
              </w:rPr>
              <w:lastRenderedPageBreak/>
              <w:drawing>
                <wp:inline distT="0" distB="0" distL="0" distR="0">
                  <wp:extent cx="3013710" cy="1808480"/>
                  <wp:effectExtent l="0" t="0" r="15240" b="127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83" w:type="dxa"/>
            <w:tcBorders>
              <w:top w:val="nil"/>
              <w:left w:val="nil"/>
              <w:bottom w:val="nil"/>
              <w:right w:val="nil"/>
            </w:tcBorders>
          </w:tcPr>
          <w:p w:rsidR="00252BB1" w:rsidRPr="00252BB1" w:rsidRDefault="00252BB1" w:rsidP="005143F4">
            <w:pPr>
              <w:autoSpaceDE w:val="0"/>
              <w:autoSpaceDN w:val="0"/>
              <w:spacing w:beforeLines="50" w:afterLines="50" w:line="360" w:lineRule="auto"/>
              <w:rPr>
                <w:rFonts w:ascii="Calibri" w:eastAsia="楷体" w:hAnsi="Calibri"/>
                <w:sz w:val="24"/>
                <w:szCs w:val="22"/>
              </w:rPr>
            </w:pPr>
          </w:p>
        </w:tc>
        <w:tc>
          <w:tcPr>
            <w:tcW w:w="4961" w:type="dxa"/>
            <w:gridSpan w:val="3"/>
            <w:tcBorders>
              <w:top w:val="single" w:sz="8" w:space="0" w:color="005096"/>
              <w:left w:val="nil"/>
              <w:bottom w:val="single" w:sz="8" w:space="0" w:color="005096"/>
              <w:right w:val="nil"/>
            </w:tcBorders>
          </w:tcPr>
          <w:p w:rsidR="00252BB1" w:rsidRPr="00252BB1" w:rsidRDefault="00252BB1" w:rsidP="005143F4">
            <w:pPr>
              <w:autoSpaceDE w:val="0"/>
              <w:autoSpaceDN w:val="0"/>
              <w:spacing w:beforeLines="50" w:afterLines="50" w:line="360" w:lineRule="auto"/>
              <w:rPr>
                <w:rFonts w:ascii="Calibri" w:eastAsia="楷体" w:hAnsi="Calibri"/>
                <w:sz w:val="24"/>
                <w:szCs w:val="22"/>
              </w:rPr>
            </w:pPr>
            <w:r w:rsidRPr="00252BB1">
              <w:rPr>
                <w:rFonts w:ascii="Calibri" w:eastAsia="楷体" w:hAnsi="Calibri"/>
                <w:noProof/>
                <w:szCs w:val="22"/>
              </w:rPr>
              <w:drawing>
                <wp:inline distT="0" distB="0" distL="0" distR="0">
                  <wp:extent cx="3013075" cy="1807845"/>
                  <wp:effectExtent l="0" t="0" r="15875" b="1905"/>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252BB1" w:rsidRPr="00252BB1" w:rsidRDefault="00252BB1" w:rsidP="00252BB1">
      <w:pPr>
        <w:rPr>
          <w:sz w:val="16"/>
          <w:szCs w:val="16"/>
        </w:rPr>
      </w:pPr>
      <w:r w:rsidRPr="00252BB1">
        <w:rPr>
          <w:rFonts w:hint="eastAsia"/>
          <w:sz w:val="16"/>
          <w:szCs w:val="16"/>
        </w:rPr>
        <w:t>资料来源：国家统计局，百川资讯，民生证券研究院</w:t>
      </w:r>
      <w:r w:rsidRPr="00252BB1">
        <w:rPr>
          <w:rFonts w:hint="eastAsia"/>
          <w:sz w:val="16"/>
          <w:szCs w:val="16"/>
        </w:rPr>
        <w:t xml:space="preserve">  </w:t>
      </w:r>
      <w:r w:rsidRPr="00252BB1">
        <w:rPr>
          <w:sz w:val="16"/>
          <w:szCs w:val="16"/>
        </w:rPr>
        <w:t xml:space="preserve">           </w:t>
      </w:r>
      <w:r w:rsidRPr="00252BB1">
        <w:rPr>
          <w:rFonts w:hint="eastAsia"/>
          <w:sz w:val="16"/>
          <w:szCs w:val="16"/>
        </w:rPr>
        <w:t>资料来源：国家统计局，百川资讯，民生证券研究院</w:t>
      </w:r>
    </w:p>
    <w:p w:rsidR="00CE55B3" w:rsidRDefault="00CE55B3" w:rsidP="00390216">
      <w:pPr>
        <w:spacing w:line="360" w:lineRule="auto"/>
        <w:ind w:rightChars="1000" w:right="2100"/>
        <w:rPr>
          <w:rFonts w:ascii="楷体" w:eastAsia="楷体" w:hAnsi="楷体"/>
          <w:szCs w:val="21"/>
        </w:rPr>
      </w:pPr>
    </w:p>
    <w:p w:rsidR="00252BB1" w:rsidRDefault="00BA08DF" w:rsidP="00DC3928">
      <w:pPr>
        <w:spacing w:line="360" w:lineRule="auto"/>
        <w:ind w:rightChars="1000" w:right="2100" w:firstLine="420"/>
        <w:rPr>
          <w:rFonts w:ascii="楷体" w:eastAsia="楷体" w:hAnsi="楷体"/>
          <w:szCs w:val="21"/>
        </w:rPr>
      </w:pPr>
      <w:r w:rsidRPr="00BA08DF">
        <w:rPr>
          <w:rFonts w:ascii="楷体" w:eastAsia="楷体" w:hAnsi="楷体" w:hint="eastAsia"/>
          <w:szCs w:val="21"/>
        </w:rPr>
        <w:t>2014年，铝冶炼与压延加工业亏损总额43亿预估2015年，铝冶炼与压延加工业亏损总额41.4亿，亏损企业数为350家。</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284"/>
        <w:gridCol w:w="283"/>
        <w:gridCol w:w="71"/>
        <w:gridCol w:w="4747"/>
        <w:gridCol w:w="143"/>
      </w:tblGrid>
      <w:tr w:rsidR="00D17C87" w:rsidRPr="00D17C87" w:rsidTr="000054D6">
        <w:trPr>
          <w:gridAfter w:val="1"/>
          <w:wAfter w:w="143" w:type="dxa"/>
          <w:trHeight w:hRule="exact" w:val="454"/>
        </w:trPr>
        <w:tc>
          <w:tcPr>
            <w:tcW w:w="4678" w:type="dxa"/>
            <w:tcBorders>
              <w:top w:val="nil"/>
              <w:left w:val="nil"/>
              <w:bottom w:val="single" w:sz="8" w:space="0" w:color="005096"/>
              <w:right w:val="nil"/>
            </w:tcBorders>
            <w:vAlign w:val="bottom"/>
          </w:tcPr>
          <w:p w:rsidR="00D17C87" w:rsidRPr="00D17C87" w:rsidRDefault="00D17C87" w:rsidP="00D17C87">
            <w:pPr>
              <w:spacing w:line="360" w:lineRule="exact"/>
              <w:rPr>
                <w:b/>
                <w:color w:val="005096"/>
                <w:sz w:val="18"/>
                <w:szCs w:val="20"/>
              </w:rPr>
            </w:pPr>
            <w:r w:rsidRPr="00D17C87">
              <w:rPr>
                <w:rFonts w:hint="eastAsia"/>
                <w:b/>
                <w:color w:val="005096"/>
                <w:sz w:val="18"/>
                <w:szCs w:val="20"/>
              </w:rPr>
              <w:t>图</w:t>
            </w:r>
            <w:r w:rsidR="003D3FA9" w:rsidRPr="00D17C87">
              <w:rPr>
                <w:b/>
                <w:color w:val="005096"/>
                <w:sz w:val="18"/>
                <w:szCs w:val="18"/>
              </w:rPr>
              <w:fldChar w:fldCharType="begin"/>
            </w:r>
            <w:r w:rsidRPr="00D17C87">
              <w:rPr>
                <w:color w:val="005096"/>
                <w:sz w:val="18"/>
                <w:szCs w:val="18"/>
              </w:rPr>
              <w:instrText xml:space="preserve"> SEQ </w:instrText>
            </w:r>
            <w:r w:rsidRPr="00D17C87">
              <w:rPr>
                <w:rFonts w:hint="eastAsia"/>
                <w:color w:val="005096"/>
                <w:sz w:val="18"/>
                <w:szCs w:val="18"/>
              </w:rPr>
              <w:instrText>图</w:instrText>
            </w:r>
            <w:r w:rsidRPr="00D17C87">
              <w:rPr>
                <w:color w:val="005096"/>
                <w:sz w:val="18"/>
                <w:szCs w:val="18"/>
              </w:rPr>
              <w:instrText xml:space="preserve"> \* ARABIC </w:instrText>
            </w:r>
            <w:r w:rsidR="003D3FA9" w:rsidRPr="00D17C87">
              <w:rPr>
                <w:b/>
                <w:color w:val="005096"/>
                <w:sz w:val="18"/>
                <w:szCs w:val="18"/>
              </w:rPr>
              <w:fldChar w:fldCharType="separate"/>
            </w:r>
            <w:r w:rsidRPr="00D17C87">
              <w:rPr>
                <w:noProof/>
                <w:color w:val="005096"/>
                <w:sz w:val="18"/>
                <w:szCs w:val="18"/>
              </w:rPr>
              <w:t>1</w:t>
            </w:r>
            <w:r w:rsidR="003D3FA9" w:rsidRPr="00D17C87">
              <w:rPr>
                <w:b/>
                <w:color w:val="005096"/>
                <w:sz w:val="18"/>
                <w:szCs w:val="18"/>
              </w:rPr>
              <w:fldChar w:fldCharType="end"/>
            </w:r>
            <w:r w:rsidR="00381566">
              <w:rPr>
                <w:b/>
                <w:color w:val="005096"/>
                <w:sz w:val="18"/>
                <w:szCs w:val="18"/>
              </w:rPr>
              <w:t>5</w:t>
            </w:r>
            <w:r w:rsidRPr="00D17C87">
              <w:rPr>
                <w:rFonts w:hint="eastAsia"/>
                <w:b/>
                <w:color w:val="005096"/>
                <w:sz w:val="18"/>
                <w:szCs w:val="20"/>
              </w:rPr>
              <w:t>：</w:t>
            </w:r>
            <w:r w:rsidRPr="00D17C87">
              <w:rPr>
                <w:b/>
                <w:color w:val="005096"/>
                <w:sz w:val="18"/>
                <w:szCs w:val="20"/>
              </w:rPr>
              <w:t>2014</w:t>
            </w:r>
            <w:r w:rsidRPr="00D17C87">
              <w:rPr>
                <w:rFonts w:hint="eastAsia"/>
                <w:b/>
                <w:color w:val="005096"/>
                <w:sz w:val="18"/>
                <w:szCs w:val="20"/>
              </w:rPr>
              <w:t>、</w:t>
            </w:r>
            <w:r w:rsidRPr="00D17C87">
              <w:rPr>
                <w:rFonts w:hint="eastAsia"/>
                <w:b/>
                <w:color w:val="005096"/>
                <w:sz w:val="18"/>
                <w:szCs w:val="20"/>
              </w:rPr>
              <w:t>2015</w:t>
            </w:r>
            <w:r w:rsidRPr="00D17C87">
              <w:rPr>
                <w:rFonts w:hint="eastAsia"/>
                <w:b/>
                <w:color w:val="005096"/>
                <w:sz w:val="18"/>
                <w:szCs w:val="20"/>
              </w:rPr>
              <w:t>年铝冶炼与压延加工业亏损严重</w:t>
            </w:r>
            <w:r w:rsidRPr="00D17C87">
              <w:rPr>
                <w:rFonts w:hint="eastAsia"/>
                <w:b/>
                <w:color w:val="005096"/>
                <w:sz w:val="18"/>
                <w:szCs w:val="20"/>
              </w:rPr>
              <w:t xml:space="preserve"> </w:t>
            </w:r>
          </w:p>
        </w:tc>
        <w:tc>
          <w:tcPr>
            <w:tcW w:w="638" w:type="dxa"/>
            <w:gridSpan w:val="3"/>
            <w:tcBorders>
              <w:top w:val="nil"/>
              <w:left w:val="nil"/>
              <w:bottom w:val="nil"/>
              <w:right w:val="nil"/>
            </w:tcBorders>
            <w:vAlign w:val="bottom"/>
          </w:tcPr>
          <w:p w:rsidR="00D17C87" w:rsidRPr="00D17C87" w:rsidRDefault="00D17C87" w:rsidP="005143F4">
            <w:pPr>
              <w:autoSpaceDE w:val="0"/>
              <w:autoSpaceDN w:val="0"/>
              <w:spacing w:beforeLines="50" w:afterLines="50" w:line="360" w:lineRule="auto"/>
              <w:rPr>
                <w:rFonts w:ascii="Calibri" w:eastAsia="楷体" w:hAnsi="Calibri"/>
                <w:sz w:val="24"/>
                <w:szCs w:val="22"/>
              </w:rPr>
            </w:pPr>
          </w:p>
        </w:tc>
        <w:tc>
          <w:tcPr>
            <w:tcW w:w="4747" w:type="dxa"/>
            <w:tcBorders>
              <w:top w:val="nil"/>
              <w:left w:val="nil"/>
              <w:bottom w:val="single" w:sz="8" w:space="0" w:color="005096"/>
              <w:right w:val="nil"/>
            </w:tcBorders>
            <w:vAlign w:val="bottom"/>
          </w:tcPr>
          <w:p w:rsidR="00D17C87" w:rsidRPr="00D17C87" w:rsidRDefault="00D17C87" w:rsidP="00381566">
            <w:pPr>
              <w:spacing w:line="360" w:lineRule="exact"/>
              <w:rPr>
                <w:b/>
                <w:color w:val="005096"/>
                <w:sz w:val="18"/>
                <w:szCs w:val="20"/>
              </w:rPr>
            </w:pPr>
            <w:r w:rsidRPr="00D17C87">
              <w:rPr>
                <w:rFonts w:hint="eastAsia"/>
                <w:b/>
                <w:color w:val="005096"/>
                <w:sz w:val="18"/>
                <w:szCs w:val="20"/>
              </w:rPr>
              <w:t>图</w:t>
            </w:r>
            <w:r w:rsidR="00381566">
              <w:rPr>
                <w:rFonts w:hint="eastAsia"/>
                <w:b/>
                <w:color w:val="005096"/>
                <w:sz w:val="18"/>
                <w:szCs w:val="20"/>
              </w:rPr>
              <w:t>16</w:t>
            </w:r>
            <w:r w:rsidRPr="00D17C87">
              <w:rPr>
                <w:rFonts w:hint="eastAsia"/>
                <w:b/>
                <w:color w:val="005096"/>
                <w:sz w:val="18"/>
                <w:szCs w:val="20"/>
              </w:rPr>
              <w:t>：亏损企业数量持续增加</w:t>
            </w:r>
          </w:p>
        </w:tc>
      </w:tr>
      <w:tr w:rsidR="00D17C87" w:rsidRPr="00D17C87" w:rsidTr="000054D6">
        <w:trPr>
          <w:trHeight w:hRule="exact" w:val="3050"/>
        </w:trPr>
        <w:tc>
          <w:tcPr>
            <w:tcW w:w="4962" w:type="dxa"/>
            <w:gridSpan w:val="2"/>
            <w:tcBorders>
              <w:top w:val="single" w:sz="8" w:space="0" w:color="005096"/>
              <w:left w:val="nil"/>
              <w:bottom w:val="single" w:sz="8" w:space="0" w:color="005096"/>
              <w:right w:val="nil"/>
            </w:tcBorders>
          </w:tcPr>
          <w:p w:rsidR="00D17C87" w:rsidRPr="00D17C87" w:rsidRDefault="00D17C87" w:rsidP="005143F4">
            <w:pPr>
              <w:autoSpaceDE w:val="0"/>
              <w:autoSpaceDN w:val="0"/>
              <w:spacing w:beforeLines="50" w:afterLines="50" w:line="360" w:lineRule="auto"/>
              <w:rPr>
                <w:rFonts w:ascii="Calibri" w:eastAsia="楷体" w:hAnsi="Calibri"/>
                <w:sz w:val="24"/>
                <w:szCs w:val="22"/>
              </w:rPr>
            </w:pPr>
            <w:r w:rsidRPr="00D17C87">
              <w:rPr>
                <w:rFonts w:ascii="Calibri" w:eastAsia="楷体" w:hAnsi="Calibri"/>
                <w:noProof/>
                <w:szCs w:val="22"/>
              </w:rPr>
              <w:drawing>
                <wp:inline distT="0" distB="0" distL="0" distR="0">
                  <wp:extent cx="3013710" cy="1808480"/>
                  <wp:effectExtent l="0" t="0" r="15240" b="127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83" w:type="dxa"/>
            <w:tcBorders>
              <w:top w:val="nil"/>
              <w:left w:val="nil"/>
              <w:bottom w:val="nil"/>
              <w:right w:val="nil"/>
            </w:tcBorders>
          </w:tcPr>
          <w:p w:rsidR="00D17C87" w:rsidRPr="00D17C87" w:rsidRDefault="00D17C87" w:rsidP="005143F4">
            <w:pPr>
              <w:autoSpaceDE w:val="0"/>
              <w:autoSpaceDN w:val="0"/>
              <w:spacing w:beforeLines="50" w:afterLines="50" w:line="360" w:lineRule="auto"/>
              <w:rPr>
                <w:rFonts w:ascii="Calibri" w:eastAsia="楷体" w:hAnsi="Calibri"/>
                <w:sz w:val="24"/>
                <w:szCs w:val="22"/>
              </w:rPr>
            </w:pPr>
          </w:p>
        </w:tc>
        <w:tc>
          <w:tcPr>
            <w:tcW w:w="4961" w:type="dxa"/>
            <w:gridSpan w:val="3"/>
            <w:tcBorders>
              <w:top w:val="single" w:sz="8" w:space="0" w:color="005096"/>
              <w:left w:val="nil"/>
              <w:bottom w:val="single" w:sz="8" w:space="0" w:color="005096"/>
              <w:right w:val="nil"/>
            </w:tcBorders>
          </w:tcPr>
          <w:p w:rsidR="00D17C87" w:rsidRPr="00D17C87" w:rsidRDefault="00D17C87" w:rsidP="005143F4">
            <w:pPr>
              <w:autoSpaceDE w:val="0"/>
              <w:autoSpaceDN w:val="0"/>
              <w:spacing w:beforeLines="50" w:afterLines="50" w:line="360" w:lineRule="auto"/>
              <w:rPr>
                <w:rFonts w:ascii="Calibri" w:eastAsia="楷体" w:hAnsi="Calibri"/>
                <w:sz w:val="24"/>
                <w:szCs w:val="22"/>
              </w:rPr>
            </w:pPr>
            <w:r w:rsidRPr="00D17C87">
              <w:rPr>
                <w:rFonts w:ascii="Calibri" w:eastAsia="楷体" w:hAnsi="Calibri"/>
                <w:noProof/>
                <w:szCs w:val="22"/>
              </w:rPr>
              <w:drawing>
                <wp:inline distT="0" distB="0" distL="0" distR="0">
                  <wp:extent cx="3013075" cy="1807845"/>
                  <wp:effectExtent l="0" t="0" r="15875" b="1905"/>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D17C87" w:rsidRPr="00D17C87" w:rsidRDefault="00D17C87" w:rsidP="00D17C87">
      <w:pPr>
        <w:rPr>
          <w:sz w:val="16"/>
          <w:szCs w:val="16"/>
        </w:rPr>
      </w:pPr>
      <w:r w:rsidRPr="00D17C87">
        <w:rPr>
          <w:rFonts w:hint="eastAsia"/>
          <w:sz w:val="16"/>
          <w:szCs w:val="16"/>
        </w:rPr>
        <w:t>资料来源：国家统计局，</w:t>
      </w:r>
      <w:r w:rsidRPr="00D17C87">
        <w:rPr>
          <w:rFonts w:hint="eastAsia"/>
          <w:sz w:val="16"/>
          <w:szCs w:val="16"/>
        </w:rPr>
        <w:t>Wind</w:t>
      </w:r>
      <w:r w:rsidRPr="00D17C87">
        <w:rPr>
          <w:rFonts w:hint="eastAsia"/>
          <w:sz w:val="16"/>
          <w:szCs w:val="16"/>
        </w:rPr>
        <w:t>，民生证券研究院</w:t>
      </w:r>
      <w:r w:rsidRPr="00D17C87">
        <w:rPr>
          <w:rFonts w:hint="eastAsia"/>
          <w:sz w:val="16"/>
          <w:szCs w:val="16"/>
        </w:rPr>
        <w:t xml:space="preserve">  </w:t>
      </w:r>
      <w:r w:rsidRPr="00D17C87">
        <w:rPr>
          <w:sz w:val="16"/>
          <w:szCs w:val="16"/>
        </w:rPr>
        <w:t xml:space="preserve">                  </w:t>
      </w:r>
      <w:r w:rsidRPr="00D17C87">
        <w:rPr>
          <w:rFonts w:hint="eastAsia"/>
          <w:sz w:val="16"/>
          <w:szCs w:val="16"/>
        </w:rPr>
        <w:t>资料来源：国家统计局，</w:t>
      </w:r>
      <w:r w:rsidRPr="00D17C87">
        <w:rPr>
          <w:rFonts w:hint="eastAsia"/>
          <w:sz w:val="16"/>
          <w:szCs w:val="16"/>
        </w:rPr>
        <w:t>W</w:t>
      </w:r>
      <w:r w:rsidRPr="00D17C87">
        <w:rPr>
          <w:sz w:val="16"/>
          <w:szCs w:val="16"/>
        </w:rPr>
        <w:t>ind</w:t>
      </w:r>
      <w:r w:rsidRPr="00D17C87">
        <w:rPr>
          <w:rFonts w:hint="eastAsia"/>
          <w:sz w:val="16"/>
          <w:szCs w:val="16"/>
        </w:rPr>
        <w:t>，民生证券研究院</w:t>
      </w:r>
    </w:p>
    <w:p w:rsidR="00BA08DF" w:rsidRDefault="00BA08DF" w:rsidP="00390216">
      <w:pPr>
        <w:spacing w:line="360" w:lineRule="auto"/>
        <w:ind w:rightChars="1000" w:right="2100"/>
        <w:rPr>
          <w:rFonts w:ascii="楷体" w:eastAsia="楷体" w:hAnsi="楷体"/>
          <w:szCs w:val="21"/>
        </w:rPr>
      </w:pPr>
    </w:p>
    <w:p w:rsidR="003C04EE" w:rsidRPr="003C04EE" w:rsidRDefault="003C04EE" w:rsidP="00DC3928">
      <w:pPr>
        <w:spacing w:line="360" w:lineRule="auto"/>
        <w:ind w:rightChars="1000" w:right="2100" w:firstLine="420"/>
        <w:rPr>
          <w:rFonts w:ascii="楷体" w:eastAsia="楷体" w:hAnsi="楷体"/>
          <w:szCs w:val="21"/>
        </w:rPr>
      </w:pPr>
      <w:r w:rsidRPr="003C04EE">
        <w:rPr>
          <w:rFonts w:ascii="楷体" w:eastAsia="楷体" w:hAnsi="楷体" w:hint="eastAsia"/>
          <w:szCs w:val="21"/>
        </w:rPr>
        <w:t>2014年，电解铝行业淘汰落后产能任务下达量为42万吨，完成量50.43万吨，完成率120%；但是新增产能164万吨，是淘汰产能的3倍以上。</w:t>
      </w:r>
    </w:p>
    <w:p w:rsidR="00D17C87" w:rsidRDefault="003C04EE" w:rsidP="00DC3928">
      <w:pPr>
        <w:spacing w:line="360" w:lineRule="auto"/>
        <w:ind w:rightChars="1000" w:right="2100" w:firstLine="420"/>
        <w:rPr>
          <w:rFonts w:ascii="楷体" w:eastAsia="楷体" w:hAnsi="楷体"/>
          <w:szCs w:val="21"/>
        </w:rPr>
      </w:pPr>
      <w:r w:rsidRPr="003C04EE">
        <w:rPr>
          <w:rFonts w:ascii="楷体" w:eastAsia="楷体" w:hAnsi="楷体" w:hint="eastAsia"/>
          <w:szCs w:val="21"/>
        </w:rPr>
        <w:t>2015年</w:t>
      </w:r>
      <w:proofErr w:type="gramStart"/>
      <w:r w:rsidRPr="003C04EE">
        <w:rPr>
          <w:rFonts w:ascii="楷体" w:eastAsia="楷体" w:hAnsi="楷体" w:hint="eastAsia"/>
          <w:szCs w:val="21"/>
        </w:rPr>
        <w:t>电解铝新投产</w:t>
      </w:r>
      <w:proofErr w:type="gramEnd"/>
      <w:r w:rsidRPr="003C04EE">
        <w:rPr>
          <w:rFonts w:ascii="楷体" w:eastAsia="楷体" w:hAnsi="楷体" w:hint="eastAsia"/>
          <w:szCs w:val="21"/>
        </w:rPr>
        <w:t>产能达到357万吨，其中新疆、山东、内蒙古分别投产139万吨、100万吨和45万吨，这三个地区电费全国最低，有成本优势。据有色金属协会统计，2015年减产规模约500万吨，达到总产能的12%。</w:t>
      </w:r>
    </w:p>
    <w:p w:rsidR="003C04EE" w:rsidRDefault="003C04EE" w:rsidP="003C04EE">
      <w:pPr>
        <w:spacing w:line="360" w:lineRule="auto"/>
        <w:ind w:rightChars="1000" w:right="2100"/>
        <w:rPr>
          <w:rFonts w:ascii="楷体" w:eastAsia="楷体" w:hAnsi="楷体"/>
          <w:szCs w:val="21"/>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284"/>
        <w:gridCol w:w="283"/>
        <w:gridCol w:w="71"/>
        <w:gridCol w:w="4747"/>
        <w:gridCol w:w="143"/>
      </w:tblGrid>
      <w:tr w:rsidR="00C975B1" w:rsidRPr="00C975B1" w:rsidTr="000054D6">
        <w:trPr>
          <w:gridAfter w:val="1"/>
          <w:wAfter w:w="143" w:type="dxa"/>
          <w:trHeight w:hRule="exact" w:val="454"/>
        </w:trPr>
        <w:tc>
          <w:tcPr>
            <w:tcW w:w="4678" w:type="dxa"/>
            <w:tcBorders>
              <w:top w:val="nil"/>
              <w:left w:val="nil"/>
              <w:bottom w:val="single" w:sz="8" w:space="0" w:color="005096"/>
              <w:right w:val="nil"/>
            </w:tcBorders>
            <w:vAlign w:val="bottom"/>
          </w:tcPr>
          <w:p w:rsidR="00C975B1" w:rsidRPr="00C975B1" w:rsidRDefault="00C975B1" w:rsidP="00C975B1">
            <w:pPr>
              <w:spacing w:line="360" w:lineRule="exact"/>
              <w:rPr>
                <w:b/>
                <w:color w:val="005096"/>
                <w:sz w:val="18"/>
                <w:szCs w:val="20"/>
              </w:rPr>
            </w:pPr>
            <w:r w:rsidRPr="00C975B1">
              <w:rPr>
                <w:rFonts w:hint="eastAsia"/>
                <w:b/>
                <w:color w:val="005096"/>
                <w:sz w:val="18"/>
                <w:szCs w:val="20"/>
              </w:rPr>
              <w:t>图</w:t>
            </w:r>
            <w:r w:rsidR="003D3FA9" w:rsidRPr="00C975B1">
              <w:rPr>
                <w:b/>
                <w:color w:val="005096"/>
                <w:sz w:val="18"/>
                <w:szCs w:val="18"/>
              </w:rPr>
              <w:fldChar w:fldCharType="begin"/>
            </w:r>
            <w:r w:rsidRPr="00C975B1">
              <w:rPr>
                <w:color w:val="005096"/>
                <w:sz w:val="18"/>
                <w:szCs w:val="18"/>
              </w:rPr>
              <w:instrText xml:space="preserve"> SEQ </w:instrText>
            </w:r>
            <w:r w:rsidRPr="00C975B1">
              <w:rPr>
                <w:rFonts w:hint="eastAsia"/>
                <w:color w:val="005096"/>
                <w:sz w:val="18"/>
                <w:szCs w:val="18"/>
              </w:rPr>
              <w:instrText>图</w:instrText>
            </w:r>
            <w:r w:rsidRPr="00C975B1">
              <w:rPr>
                <w:color w:val="005096"/>
                <w:sz w:val="18"/>
                <w:szCs w:val="18"/>
              </w:rPr>
              <w:instrText xml:space="preserve"> \* ARABIC </w:instrText>
            </w:r>
            <w:r w:rsidR="003D3FA9" w:rsidRPr="00C975B1">
              <w:rPr>
                <w:b/>
                <w:color w:val="005096"/>
                <w:sz w:val="18"/>
                <w:szCs w:val="18"/>
              </w:rPr>
              <w:fldChar w:fldCharType="separate"/>
            </w:r>
            <w:r w:rsidRPr="00C975B1">
              <w:rPr>
                <w:noProof/>
                <w:color w:val="005096"/>
                <w:sz w:val="18"/>
                <w:szCs w:val="18"/>
              </w:rPr>
              <w:t>1</w:t>
            </w:r>
            <w:r w:rsidR="003D3FA9" w:rsidRPr="00C975B1">
              <w:rPr>
                <w:b/>
                <w:color w:val="005096"/>
                <w:sz w:val="18"/>
                <w:szCs w:val="18"/>
              </w:rPr>
              <w:fldChar w:fldCharType="end"/>
            </w:r>
            <w:r w:rsidR="00381566">
              <w:rPr>
                <w:b/>
                <w:color w:val="005096"/>
                <w:sz w:val="18"/>
                <w:szCs w:val="18"/>
              </w:rPr>
              <w:t>7</w:t>
            </w:r>
            <w:r w:rsidRPr="00C975B1">
              <w:rPr>
                <w:rFonts w:hint="eastAsia"/>
                <w:b/>
                <w:color w:val="005096"/>
                <w:sz w:val="18"/>
                <w:szCs w:val="20"/>
              </w:rPr>
              <w:t>：</w:t>
            </w:r>
            <w:proofErr w:type="gramStart"/>
            <w:r w:rsidRPr="00C975B1">
              <w:rPr>
                <w:b/>
                <w:color w:val="005096"/>
                <w:sz w:val="18"/>
                <w:szCs w:val="20"/>
              </w:rPr>
              <w:t>电解铝去产能</w:t>
            </w:r>
            <w:proofErr w:type="gramEnd"/>
            <w:r w:rsidRPr="00C975B1">
              <w:rPr>
                <w:b/>
                <w:color w:val="005096"/>
                <w:sz w:val="18"/>
                <w:szCs w:val="20"/>
              </w:rPr>
              <w:t>速度加快</w:t>
            </w:r>
            <w:r w:rsidRPr="00C975B1">
              <w:rPr>
                <w:rFonts w:hint="eastAsia"/>
                <w:b/>
                <w:color w:val="005096"/>
                <w:sz w:val="18"/>
                <w:szCs w:val="20"/>
              </w:rPr>
              <w:t>，</w:t>
            </w:r>
            <w:r w:rsidRPr="00C975B1">
              <w:rPr>
                <w:b/>
                <w:color w:val="005096"/>
                <w:sz w:val="18"/>
                <w:szCs w:val="20"/>
              </w:rPr>
              <w:t>完成率高于</w:t>
            </w:r>
            <w:r w:rsidRPr="00C975B1">
              <w:rPr>
                <w:rFonts w:hint="eastAsia"/>
                <w:b/>
                <w:color w:val="005096"/>
                <w:sz w:val="18"/>
                <w:szCs w:val="20"/>
              </w:rPr>
              <w:t xml:space="preserve">100% </w:t>
            </w:r>
          </w:p>
        </w:tc>
        <w:tc>
          <w:tcPr>
            <w:tcW w:w="638" w:type="dxa"/>
            <w:gridSpan w:val="3"/>
            <w:tcBorders>
              <w:top w:val="nil"/>
              <w:left w:val="nil"/>
              <w:bottom w:val="nil"/>
              <w:right w:val="nil"/>
            </w:tcBorders>
            <w:vAlign w:val="bottom"/>
          </w:tcPr>
          <w:p w:rsidR="00C975B1" w:rsidRPr="00C975B1" w:rsidRDefault="00C975B1" w:rsidP="005143F4">
            <w:pPr>
              <w:autoSpaceDE w:val="0"/>
              <w:autoSpaceDN w:val="0"/>
              <w:spacing w:beforeLines="50" w:afterLines="50" w:line="360" w:lineRule="auto"/>
              <w:rPr>
                <w:rFonts w:ascii="Calibri" w:eastAsia="楷体" w:hAnsi="Calibri"/>
                <w:sz w:val="24"/>
                <w:szCs w:val="22"/>
              </w:rPr>
            </w:pPr>
          </w:p>
        </w:tc>
        <w:tc>
          <w:tcPr>
            <w:tcW w:w="4747" w:type="dxa"/>
            <w:tcBorders>
              <w:top w:val="nil"/>
              <w:left w:val="nil"/>
              <w:bottom w:val="single" w:sz="8" w:space="0" w:color="005096"/>
              <w:right w:val="nil"/>
            </w:tcBorders>
            <w:vAlign w:val="bottom"/>
          </w:tcPr>
          <w:p w:rsidR="00C975B1" w:rsidRPr="00C975B1" w:rsidRDefault="00C975B1" w:rsidP="00381566">
            <w:pPr>
              <w:spacing w:line="360" w:lineRule="exact"/>
              <w:rPr>
                <w:b/>
                <w:color w:val="005096"/>
                <w:sz w:val="18"/>
                <w:szCs w:val="20"/>
              </w:rPr>
            </w:pPr>
            <w:r w:rsidRPr="00C975B1">
              <w:rPr>
                <w:rFonts w:hint="eastAsia"/>
                <w:b/>
                <w:color w:val="005096"/>
                <w:sz w:val="18"/>
                <w:szCs w:val="20"/>
              </w:rPr>
              <w:t>图</w:t>
            </w:r>
            <w:r w:rsidR="00381566">
              <w:rPr>
                <w:b/>
                <w:color w:val="005096"/>
                <w:sz w:val="18"/>
                <w:szCs w:val="20"/>
              </w:rPr>
              <w:t>18</w:t>
            </w:r>
            <w:r w:rsidRPr="00C975B1">
              <w:rPr>
                <w:rFonts w:hint="eastAsia"/>
                <w:b/>
                <w:color w:val="005096"/>
                <w:sz w:val="18"/>
                <w:szCs w:val="20"/>
              </w:rPr>
              <w:t>：</w:t>
            </w:r>
            <w:proofErr w:type="gramStart"/>
            <w:r w:rsidRPr="00C975B1">
              <w:rPr>
                <w:rFonts w:hint="eastAsia"/>
                <w:b/>
                <w:color w:val="005096"/>
                <w:sz w:val="18"/>
                <w:szCs w:val="20"/>
              </w:rPr>
              <w:t>电解铝新增产</w:t>
            </w:r>
            <w:proofErr w:type="gramEnd"/>
            <w:r w:rsidRPr="00C975B1">
              <w:rPr>
                <w:rFonts w:hint="eastAsia"/>
                <w:b/>
                <w:color w:val="005096"/>
                <w:sz w:val="18"/>
                <w:szCs w:val="20"/>
              </w:rPr>
              <w:t>能是淘汰产能的</w:t>
            </w:r>
            <w:r w:rsidRPr="00C975B1">
              <w:rPr>
                <w:rFonts w:hint="eastAsia"/>
                <w:b/>
                <w:color w:val="005096"/>
                <w:sz w:val="18"/>
                <w:szCs w:val="20"/>
              </w:rPr>
              <w:t>3</w:t>
            </w:r>
            <w:r w:rsidRPr="00C975B1">
              <w:rPr>
                <w:rFonts w:hint="eastAsia"/>
                <w:b/>
                <w:color w:val="005096"/>
                <w:sz w:val="18"/>
                <w:szCs w:val="20"/>
              </w:rPr>
              <w:t>倍</w:t>
            </w:r>
          </w:p>
        </w:tc>
      </w:tr>
      <w:tr w:rsidR="00C975B1" w:rsidRPr="00C975B1" w:rsidTr="000054D6">
        <w:trPr>
          <w:trHeight w:hRule="exact" w:val="3050"/>
        </w:trPr>
        <w:tc>
          <w:tcPr>
            <w:tcW w:w="4962" w:type="dxa"/>
            <w:gridSpan w:val="2"/>
            <w:tcBorders>
              <w:top w:val="single" w:sz="8" w:space="0" w:color="005096"/>
              <w:left w:val="nil"/>
              <w:bottom w:val="single" w:sz="8" w:space="0" w:color="005096"/>
              <w:right w:val="nil"/>
            </w:tcBorders>
          </w:tcPr>
          <w:p w:rsidR="00C975B1" w:rsidRPr="00C975B1" w:rsidRDefault="00C975B1" w:rsidP="005143F4">
            <w:pPr>
              <w:autoSpaceDE w:val="0"/>
              <w:autoSpaceDN w:val="0"/>
              <w:spacing w:beforeLines="50" w:afterLines="50" w:line="360" w:lineRule="auto"/>
              <w:rPr>
                <w:rFonts w:ascii="Calibri" w:eastAsia="楷体" w:hAnsi="Calibri"/>
                <w:sz w:val="24"/>
                <w:szCs w:val="22"/>
              </w:rPr>
            </w:pPr>
            <w:r w:rsidRPr="00C975B1">
              <w:rPr>
                <w:rFonts w:ascii="Calibri" w:eastAsia="楷体" w:hAnsi="Calibri"/>
                <w:noProof/>
                <w:szCs w:val="22"/>
              </w:rPr>
              <w:lastRenderedPageBreak/>
              <w:drawing>
                <wp:inline distT="0" distB="0" distL="0" distR="0">
                  <wp:extent cx="3013710" cy="1808480"/>
                  <wp:effectExtent l="0" t="0" r="15240" b="1270"/>
                  <wp:docPr id="12289" name="图表 12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83" w:type="dxa"/>
            <w:tcBorders>
              <w:top w:val="nil"/>
              <w:left w:val="nil"/>
              <w:bottom w:val="nil"/>
              <w:right w:val="nil"/>
            </w:tcBorders>
          </w:tcPr>
          <w:p w:rsidR="00C975B1" w:rsidRPr="00C975B1" w:rsidRDefault="00C975B1" w:rsidP="005143F4">
            <w:pPr>
              <w:autoSpaceDE w:val="0"/>
              <w:autoSpaceDN w:val="0"/>
              <w:spacing w:beforeLines="50" w:afterLines="50" w:line="360" w:lineRule="auto"/>
              <w:rPr>
                <w:rFonts w:ascii="Calibri" w:eastAsia="楷体" w:hAnsi="Calibri"/>
                <w:sz w:val="24"/>
                <w:szCs w:val="22"/>
              </w:rPr>
            </w:pPr>
          </w:p>
        </w:tc>
        <w:tc>
          <w:tcPr>
            <w:tcW w:w="4961" w:type="dxa"/>
            <w:gridSpan w:val="3"/>
            <w:tcBorders>
              <w:top w:val="single" w:sz="8" w:space="0" w:color="005096"/>
              <w:left w:val="nil"/>
              <w:bottom w:val="single" w:sz="8" w:space="0" w:color="005096"/>
              <w:right w:val="nil"/>
            </w:tcBorders>
          </w:tcPr>
          <w:p w:rsidR="00C975B1" w:rsidRPr="00C975B1" w:rsidRDefault="00C975B1" w:rsidP="005143F4">
            <w:pPr>
              <w:autoSpaceDE w:val="0"/>
              <w:autoSpaceDN w:val="0"/>
              <w:spacing w:beforeLines="50" w:afterLines="50" w:line="360" w:lineRule="auto"/>
              <w:rPr>
                <w:rFonts w:ascii="Calibri" w:eastAsia="楷体" w:hAnsi="Calibri"/>
                <w:sz w:val="24"/>
                <w:szCs w:val="22"/>
              </w:rPr>
            </w:pPr>
            <w:r w:rsidRPr="00C975B1">
              <w:rPr>
                <w:rFonts w:ascii="Calibri" w:eastAsia="楷体" w:hAnsi="Calibri"/>
                <w:noProof/>
                <w:szCs w:val="22"/>
              </w:rPr>
              <w:drawing>
                <wp:inline distT="0" distB="0" distL="0" distR="0">
                  <wp:extent cx="3013075" cy="1807845"/>
                  <wp:effectExtent l="0" t="0" r="15875" b="1905"/>
                  <wp:docPr id="12290" name="图表 12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C975B1" w:rsidRPr="00C975B1" w:rsidRDefault="00C975B1" w:rsidP="00C975B1">
      <w:pPr>
        <w:rPr>
          <w:sz w:val="16"/>
          <w:szCs w:val="16"/>
        </w:rPr>
      </w:pPr>
      <w:r w:rsidRPr="00C975B1">
        <w:rPr>
          <w:rFonts w:hint="eastAsia"/>
          <w:sz w:val="16"/>
          <w:szCs w:val="16"/>
        </w:rPr>
        <w:t>资料来源：工业和信息化部，民生证券研究院</w:t>
      </w:r>
      <w:r w:rsidRPr="00C975B1">
        <w:rPr>
          <w:rFonts w:hint="eastAsia"/>
          <w:sz w:val="16"/>
          <w:szCs w:val="16"/>
        </w:rPr>
        <w:t xml:space="preserve">  </w:t>
      </w:r>
      <w:r w:rsidRPr="00C975B1">
        <w:rPr>
          <w:sz w:val="16"/>
          <w:szCs w:val="16"/>
        </w:rPr>
        <w:t xml:space="preserve">                       </w:t>
      </w:r>
      <w:r w:rsidRPr="00C975B1">
        <w:rPr>
          <w:rFonts w:hint="eastAsia"/>
          <w:sz w:val="16"/>
          <w:szCs w:val="16"/>
        </w:rPr>
        <w:t>资料来源：工业和信息化部，民生证券研究院</w:t>
      </w:r>
    </w:p>
    <w:p w:rsidR="003C04EE" w:rsidRDefault="003C04EE" w:rsidP="003C04EE">
      <w:pPr>
        <w:spacing w:line="360" w:lineRule="auto"/>
        <w:ind w:rightChars="1000" w:right="2100"/>
        <w:rPr>
          <w:rFonts w:ascii="楷体" w:eastAsia="楷体" w:hAnsi="楷体"/>
          <w:szCs w:val="21"/>
        </w:rPr>
      </w:pPr>
    </w:p>
    <w:p w:rsidR="00C975B1" w:rsidRDefault="00E664F5" w:rsidP="00DC3928">
      <w:pPr>
        <w:spacing w:line="360" w:lineRule="auto"/>
        <w:ind w:rightChars="1000" w:right="2100" w:firstLine="360"/>
        <w:rPr>
          <w:rFonts w:ascii="楷体" w:eastAsia="楷体" w:hAnsi="楷体"/>
          <w:szCs w:val="21"/>
        </w:rPr>
      </w:pPr>
      <w:r w:rsidRPr="00E664F5">
        <w:rPr>
          <w:rFonts w:ascii="楷体" w:eastAsia="楷体" w:hAnsi="楷体" w:hint="eastAsia"/>
          <w:szCs w:val="21"/>
        </w:rPr>
        <w:t>判断：由于经济下行压力大，电解铝的需求不足，产能过剩，近年来在持续淘汰落后产能。但是由于部分地区电价较低，部分电解铝厂自供</w:t>
      </w:r>
      <w:proofErr w:type="gramStart"/>
      <w:r w:rsidRPr="00E664F5">
        <w:rPr>
          <w:rFonts w:ascii="楷体" w:eastAsia="楷体" w:hAnsi="楷体" w:hint="eastAsia"/>
          <w:szCs w:val="21"/>
        </w:rPr>
        <w:t>电比例</w:t>
      </w:r>
      <w:proofErr w:type="gramEnd"/>
      <w:r w:rsidRPr="00E664F5">
        <w:rPr>
          <w:rFonts w:ascii="楷体" w:eastAsia="楷体" w:hAnsi="楷体" w:hint="eastAsia"/>
          <w:szCs w:val="21"/>
        </w:rPr>
        <w:t>较高，用电成本低（电力成本占</w:t>
      </w:r>
      <w:proofErr w:type="gramStart"/>
      <w:r w:rsidRPr="00E664F5">
        <w:rPr>
          <w:rFonts w:ascii="楷体" w:eastAsia="楷体" w:hAnsi="楷体" w:hint="eastAsia"/>
          <w:szCs w:val="21"/>
        </w:rPr>
        <w:t>电解铝总成本</w:t>
      </w:r>
      <w:proofErr w:type="gramEnd"/>
      <w:r w:rsidRPr="00E664F5">
        <w:rPr>
          <w:rFonts w:ascii="楷体" w:eastAsia="楷体" w:hAnsi="楷体" w:hint="eastAsia"/>
          <w:szCs w:val="21"/>
        </w:rPr>
        <w:t>约45%），及时在铝价不断下跌的时候，仍然有较大意愿新增产能。</w:t>
      </w:r>
    </w:p>
    <w:p w:rsidR="00E664F5" w:rsidRPr="00C975B1" w:rsidRDefault="00E664F5" w:rsidP="003C04EE">
      <w:pPr>
        <w:spacing w:line="360" w:lineRule="auto"/>
        <w:ind w:rightChars="1000" w:right="2100"/>
        <w:rPr>
          <w:rFonts w:ascii="楷体" w:eastAsia="楷体" w:hAnsi="楷体"/>
          <w:szCs w:val="21"/>
        </w:rPr>
      </w:pPr>
    </w:p>
    <w:p w:rsidR="00AF61A6" w:rsidRDefault="00587AF4" w:rsidP="00AF61A6">
      <w:pPr>
        <w:pStyle w:val="aff2"/>
        <w:numPr>
          <w:ilvl w:val="0"/>
          <w:numId w:val="15"/>
        </w:numPr>
        <w:spacing w:line="360" w:lineRule="auto"/>
        <w:ind w:rightChars="1000" w:right="2100" w:firstLineChars="0"/>
        <w:rPr>
          <w:rFonts w:ascii="楷体" w:eastAsia="楷体" w:hAnsi="楷体"/>
          <w:b/>
          <w:szCs w:val="21"/>
        </w:rPr>
      </w:pPr>
      <w:r w:rsidRPr="00230F7A">
        <w:rPr>
          <w:rFonts w:ascii="楷体" w:eastAsia="楷体" w:hAnsi="楷体" w:hint="eastAsia"/>
          <w:b/>
          <w:szCs w:val="21"/>
        </w:rPr>
        <w:t>去产能进程</w:t>
      </w:r>
    </w:p>
    <w:p w:rsidR="007B22AA" w:rsidRPr="007B22AA" w:rsidRDefault="007B22AA" w:rsidP="007B22AA">
      <w:pPr>
        <w:spacing w:line="360" w:lineRule="auto"/>
        <w:ind w:rightChars="1000" w:right="2100"/>
        <w:rPr>
          <w:rFonts w:ascii="楷体" w:eastAsia="楷体" w:hAnsi="楷体"/>
          <w:b/>
          <w:szCs w:val="21"/>
        </w:rPr>
      </w:pPr>
    </w:p>
    <w:p w:rsidR="00AF61A6" w:rsidRPr="00230F7A" w:rsidRDefault="00AF61A6" w:rsidP="00230F7A">
      <w:pPr>
        <w:pStyle w:val="aff2"/>
        <w:numPr>
          <w:ilvl w:val="0"/>
          <w:numId w:val="16"/>
        </w:numPr>
        <w:spacing w:line="360" w:lineRule="auto"/>
        <w:ind w:rightChars="1000" w:right="2100" w:firstLineChars="0"/>
        <w:rPr>
          <w:rFonts w:ascii="楷体" w:eastAsia="楷体" w:hAnsi="楷体"/>
          <w:b/>
          <w:szCs w:val="21"/>
        </w:rPr>
      </w:pPr>
      <w:proofErr w:type="gramStart"/>
      <w:r w:rsidRPr="00230F7A">
        <w:rPr>
          <w:rFonts w:ascii="楷体" w:eastAsia="楷体" w:hAnsi="楷体" w:hint="eastAsia"/>
          <w:b/>
          <w:szCs w:val="21"/>
        </w:rPr>
        <w:t>东退西进</w:t>
      </w:r>
      <w:proofErr w:type="gramEnd"/>
      <w:r w:rsidRPr="00230F7A">
        <w:rPr>
          <w:rFonts w:ascii="楷体" w:eastAsia="楷体" w:hAnsi="楷体" w:hint="eastAsia"/>
          <w:b/>
          <w:szCs w:val="21"/>
        </w:rPr>
        <w:t>是趋势，电力成本是导向</w:t>
      </w:r>
    </w:p>
    <w:p w:rsidR="00AF61A6" w:rsidRPr="00AF61A6" w:rsidRDefault="00AF61A6" w:rsidP="007C046B">
      <w:pPr>
        <w:spacing w:line="360" w:lineRule="auto"/>
        <w:ind w:rightChars="1000" w:right="2100" w:firstLine="420"/>
        <w:rPr>
          <w:rFonts w:ascii="楷体" w:eastAsia="楷体" w:hAnsi="楷体"/>
          <w:szCs w:val="21"/>
        </w:rPr>
      </w:pPr>
      <w:r w:rsidRPr="00AF61A6">
        <w:rPr>
          <w:rFonts w:ascii="楷体" w:eastAsia="楷体" w:hAnsi="楷体" w:hint="eastAsia"/>
          <w:szCs w:val="21"/>
        </w:rPr>
        <w:t>2015年</w:t>
      </w:r>
      <w:proofErr w:type="gramStart"/>
      <w:r w:rsidRPr="00AF61A6">
        <w:rPr>
          <w:rFonts w:ascii="楷体" w:eastAsia="楷体" w:hAnsi="楷体" w:hint="eastAsia"/>
          <w:szCs w:val="21"/>
        </w:rPr>
        <w:t>电解铝新投产</w:t>
      </w:r>
      <w:proofErr w:type="gramEnd"/>
      <w:r w:rsidRPr="00AF61A6">
        <w:rPr>
          <w:rFonts w:ascii="楷体" w:eastAsia="楷体" w:hAnsi="楷体" w:hint="eastAsia"/>
          <w:szCs w:val="21"/>
        </w:rPr>
        <w:t>产能357万吨，预计全年新增产能500万吨，与关停的产能大体一致。新增产能集中在新疆、内蒙、宁夏、山东等电力成本较低的地区，“东退西进”是大趋势。</w:t>
      </w:r>
    </w:p>
    <w:p w:rsidR="00AF61A6" w:rsidRPr="00AF61A6" w:rsidRDefault="00AF61A6" w:rsidP="007C046B">
      <w:pPr>
        <w:spacing w:line="360" w:lineRule="auto"/>
        <w:ind w:rightChars="1000" w:right="2100" w:firstLine="420"/>
        <w:rPr>
          <w:rFonts w:ascii="楷体" w:eastAsia="楷体" w:hAnsi="楷体"/>
          <w:szCs w:val="21"/>
        </w:rPr>
      </w:pPr>
      <w:r w:rsidRPr="00AF61A6">
        <w:rPr>
          <w:rFonts w:ascii="楷体" w:eastAsia="楷体" w:hAnsi="楷体" w:hint="eastAsia"/>
          <w:szCs w:val="21"/>
        </w:rPr>
        <w:t>2015年4月28日，工信部发布《部分产能严重过剩行业产能置换实施办法》，严禁钢铁、水泥、电解铝、平板玻璃行业新增产能，新增必须减少等量的产能。</w:t>
      </w:r>
    </w:p>
    <w:p w:rsidR="00AF61A6" w:rsidRPr="00AF61A6" w:rsidRDefault="00AF61A6" w:rsidP="007C046B">
      <w:pPr>
        <w:spacing w:line="360" w:lineRule="auto"/>
        <w:ind w:rightChars="1000" w:right="2100" w:firstLine="420"/>
        <w:rPr>
          <w:rFonts w:ascii="楷体" w:eastAsia="楷体" w:hAnsi="楷体"/>
          <w:szCs w:val="21"/>
        </w:rPr>
      </w:pPr>
      <w:r w:rsidRPr="00AF61A6">
        <w:rPr>
          <w:rFonts w:ascii="楷体" w:eastAsia="楷体" w:hAnsi="楷体" w:hint="eastAsia"/>
          <w:szCs w:val="21"/>
        </w:rPr>
        <w:t>在电解铝的成本结构中，电力成本大约占45%-50%，是企业生产决策最重要的</w:t>
      </w:r>
      <w:proofErr w:type="gramStart"/>
      <w:r w:rsidRPr="00AF61A6">
        <w:rPr>
          <w:rFonts w:ascii="楷体" w:eastAsia="楷体" w:hAnsi="楷体" w:hint="eastAsia"/>
          <w:szCs w:val="21"/>
        </w:rPr>
        <w:t>考量</w:t>
      </w:r>
      <w:proofErr w:type="gramEnd"/>
      <w:r w:rsidRPr="00AF61A6">
        <w:rPr>
          <w:rFonts w:ascii="楷体" w:eastAsia="楷体" w:hAnsi="楷体" w:hint="eastAsia"/>
          <w:szCs w:val="21"/>
        </w:rPr>
        <w:t>因素。目前电解</w:t>
      </w:r>
      <w:proofErr w:type="gramStart"/>
      <w:r w:rsidRPr="00AF61A6">
        <w:rPr>
          <w:rFonts w:ascii="楷体" w:eastAsia="楷体" w:hAnsi="楷体" w:hint="eastAsia"/>
          <w:szCs w:val="21"/>
        </w:rPr>
        <w:t>铝企业</w:t>
      </w:r>
      <w:proofErr w:type="gramEnd"/>
      <w:r w:rsidRPr="00AF61A6">
        <w:rPr>
          <w:rFonts w:ascii="楷体" w:eastAsia="楷体" w:hAnsi="楷体" w:hint="eastAsia"/>
          <w:szCs w:val="21"/>
        </w:rPr>
        <w:t>的电力来源主要</w:t>
      </w:r>
      <w:proofErr w:type="gramStart"/>
      <w:r w:rsidRPr="00AF61A6">
        <w:rPr>
          <w:rFonts w:ascii="楷体" w:eastAsia="楷体" w:hAnsi="楷体" w:hint="eastAsia"/>
          <w:szCs w:val="21"/>
        </w:rPr>
        <w:t>分为国网电</w:t>
      </w:r>
      <w:proofErr w:type="gramEnd"/>
      <w:r w:rsidRPr="00AF61A6">
        <w:rPr>
          <w:rFonts w:ascii="楷体" w:eastAsia="楷体" w:hAnsi="楷体" w:hint="eastAsia"/>
          <w:szCs w:val="21"/>
        </w:rPr>
        <w:t>、直购电和自备电三种，其中自备电的成本最低，拥有高比例自备电的企业的成本更低。自备电成本比</w:t>
      </w:r>
      <w:proofErr w:type="gramStart"/>
      <w:r w:rsidRPr="00AF61A6">
        <w:rPr>
          <w:rFonts w:ascii="楷体" w:eastAsia="楷体" w:hAnsi="楷体" w:hint="eastAsia"/>
          <w:szCs w:val="21"/>
        </w:rPr>
        <w:t>电网电低</w:t>
      </w:r>
      <w:proofErr w:type="gramEnd"/>
      <w:r w:rsidRPr="00AF61A6">
        <w:rPr>
          <w:rFonts w:ascii="楷体" w:eastAsia="楷体" w:hAnsi="楷体" w:hint="eastAsia"/>
          <w:szCs w:val="21"/>
        </w:rPr>
        <w:t>0.1-0.15元/千万时，西部企业电力成本比东部低0.2元/千万时，按照1吨电解铝消耗13500</w:t>
      </w:r>
      <w:proofErr w:type="gramStart"/>
      <w:r w:rsidRPr="00AF61A6">
        <w:rPr>
          <w:rFonts w:ascii="楷体" w:eastAsia="楷体" w:hAnsi="楷体" w:hint="eastAsia"/>
          <w:szCs w:val="21"/>
        </w:rPr>
        <w:t>千万</w:t>
      </w:r>
      <w:proofErr w:type="gramEnd"/>
      <w:r w:rsidRPr="00AF61A6">
        <w:rPr>
          <w:rFonts w:ascii="楷体" w:eastAsia="楷体" w:hAnsi="楷体" w:hint="eastAsia"/>
          <w:szCs w:val="21"/>
        </w:rPr>
        <w:t>时电计算，西部企业吨铝成本约7500元，远低于目前铝价，西部电解铝厂还有盈利空间，自然也有增产动力。目前全国电解</w:t>
      </w:r>
      <w:proofErr w:type="gramStart"/>
      <w:r w:rsidRPr="00AF61A6">
        <w:rPr>
          <w:rFonts w:ascii="楷体" w:eastAsia="楷体" w:hAnsi="楷体" w:hint="eastAsia"/>
          <w:szCs w:val="21"/>
        </w:rPr>
        <w:t>铝企业</w:t>
      </w:r>
      <w:proofErr w:type="gramEnd"/>
      <w:r w:rsidRPr="00AF61A6">
        <w:rPr>
          <w:rFonts w:ascii="楷体" w:eastAsia="楷体" w:hAnsi="楷体" w:hint="eastAsia"/>
          <w:szCs w:val="21"/>
        </w:rPr>
        <w:t>拥有自备电的比例已经达到60%，西部地区达到80%以上。</w:t>
      </w:r>
    </w:p>
    <w:p w:rsidR="00AF61A6" w:rsidRPr="00AF61A6" w:rsidRDefault="00AF61A6" w:rsidP="00AF61A6">
      <w:pPr>
        <w:spacing w:line="360" w:lineRule="auto"/>
        <w:ind w:rightChars="1000" w:right="2100"/>
        <w:rPr>
          <w:rFonts w:ascii="楷体" w:eastAsia="楷体" w:hAnsi="楷体"/>
          <w:szCs w:val="21"/>
        </w:rPr>
      </w:pPr>
    </w:p>
    <w:p w:rsidR="00775040" w:rsidRPr="00775040" w:rsidRDefault="00AF61A6" w:rsidP="00775040">
      <w:pPr>
        <w:pStyle w:val="aff2"/>
        <w:numPr>
          <w:ilvl w:val="0"/>
          <w:numId w:val="16"/>
        </w:numPr>
        <w:spacing w:line="360" w:lineRule="auto"/>
        <w:ind w:rightChars="1000" w:right="2100" w:firstLineChars="0"/>
        <w:rPr>
          <w:rFonts w:ascii="楷体" w:eastAsia="楷体" w:hAnsi="楷体"/>
          <w:b/>
          <w:szCs w:val="21"/>
        </w:rPr>
      </w:pPr>
      <w:r w:rsidRPr="00775040">
        <w:rPr>
          <w:rFonts w:ascii="楷体" w:eastAsia="楷体" w:hAnsi="楷体" w:hint="eastAsia"/>
          <w:b/>
          <w:szCs w:val="21"/>
        </w:rPr>
        <w:t>人员分流是难题</w:t>
      </w:r>
    </w:p>
    <w:p w:rsidR="00AF61A6" w:rsidRPr="00AF61A6" w:rsidRDefault="00AF61A6" w:rsidP="007C5CB4">
      <w:pPr>
        <w:spacing w:line="360" w:lineRule="auto"/>
        <w:ind w:rightChars="1000" w:right="2100" w:firstLine="420"/>
        <w:rPr>
          <w:rFonts w:ascii="楷体" w:eastAsia="楷体" w:hAnsi="楷体"/>
          <w:szCs w:val="21"/>
        </w:rPr>
      </w:pPr>
      <w:r w:rsidRPr="00AF61A6">
        <w:rPr>
          <w:rFonts w:ascii="楷体" w:eastAsia="楷体" w:hAnsi="楷体" w:hint="eastAsia"/>
          <w:szCs w:val="21"/>
        </w:rPr>
        <w:t>截至2015年10月，铝压延加工业企业有1879家，估计从业人员53万，人均产量59万吨。</w:t>
      </w:r>
    </w:p>
    <w:p w:rsidR="00AF61A6" w:rsidRPr="00AF61A6" w:rsidRDefault="00AF61A6" w:rsidP="007C5CB4">
      <w:pPr>
        <w:spacing w:line="360" w:lineRule="auto"/>
        <w:ind w:rightChars="1000" w:right="2100" w:firstLine="420"/>
        <w:rPr>
          <w:rFonts w:ascii="楷体" w:eastAsia="楷体" w:hAnsi="楷体"/>
          <w:szCs w:val="21"/>
        </w:rPr>
      </w:pPr>
      <w:r w:rsidRPr="00AF61A6">
        <w:rPr>
          <w:rFonts w:ascii="楷体" w:eastAsia="楷体" w:hAnsi="楷体" w:hint="eastAsia"/>
          <w:szCs w:val="21"/>
        </w:rPr>
        <w:t>2015年年底，14家铝行业公司开会讨论联合减产，计划2016年将减产500万吨，按照人均产量计算，预计待分流人员达到8.5万。</w:t>
      </w:r>
    </w:p>
    <w:p w:rsidR="00AF61A6" w:rsidRPr="00AF61A6" w:rsidRDefault="00AF61A6" w:rsidP="007C5CB4">
      <w:pPr>
        <w:spacing w:line="360" w:lineRule="auto"/>
        <w:ind w:rightChars="1000" w:right="2100" w:firstLine="420"/>
        <w:rPr>
          <w:rFonts w:ascii="楷体" w:eastAsia="楷体" w:hAnsi="楷体"/>
          <w:szCs w:val="21"/>
        </w:rPr>
      </w:pPr>
      <w:r w:rsidRPr="00AF61A6">
        <w:rPr>
          <w:rFonts w:ascii="楷体" w:eastAsia="楷体" w:hAnsi="楷体" w:hint="eastAsia"/>
          <w:szCs w:val="21"/>
        </w:rPr>
        <w:lastRenderedPageBreak/>
        <w:t>从目前产能看，预计需要淘汰的产能总共达1000万吨，待分流人员达17万。</w:t>
      </w:r>
    </w:p>
    <w:p w:rsidR="00AF61A6" w:rsidRPr="00AF61A6" w:rsidRDefault="00AF61A6" w:rsidP="007C5CB4">
      <w:pPr>
        <w:spacing w:line="360" w:lineRule="auto"/>
        <w:ind w:rightChars="1000" w:right="2100" w:firstLine="420"/>
        <w:rPr>
          <w:rFonts w:ascii="楷体" w:eastAsia="楷体" w:hAnsi="楷体"/>
          <w:szCs w:val="21"/>
        </w:rPr>
      </w:pPr>
      <w:r w:rsidRPr="00AF61A6">
        <w:rPr>
          <w:rFonts w:ascii="楷体" w:eastAsia="楷体" w:hAnsi="楷体" w:hint="eastAsia"/>
          <w:szCs w:val="21"/>
        </w:rPr>
        <w:t>去产能过程中，单纯淘汰落后产能相对容易，但是在经济下行，特别是制造业景气度下行时，人员分流将是制约去产能进程的最大难题。</w:t>
      </w:r>
    </w:p>
    <w:p w:rsidR="00AF61A6" w:rsidRPr="00AF61A6" w:rsidRDefault="00AF61A6" w:rsidP="00AF61A6">
      <w:pPr>
        <w:spacing w:line="360" w:lineRule="auto"/>
        <w:ind w:rightChars="1000" w:right="2100"/>
        <w:rPr>
          <w:rFonts w:ascii="楷体" w:eastAsia="楷体" w:hAnsi="楷体"/>
          <w:szCs w:val="21"/>
        </w:rPr>
      </w:pPr>
    </w:p>
    <w:p w:rsidR="00775040" w:rsidRPr="00775040" w:rsidRDefault="00AF61A6" w:rsidP="00775040">
      <w:pPr>
        <w:pStyle w:val="aff2"/>
        <w:numPr>
          <w:ilvl w:val="0"/>
          <w:numId w:val="16"/>
        </w:numPr>
        <w:spacing w:line="360" w:lineRule="auto"/>
        <w:ind w:rightChars="1000" w:right="2100" w:firstLineChars="0"/>
        <w:rPr>
          <w:rFonts w:ascii="楷体" w:eastAsia="楷体" w:hAnsi="楷体"/>
          <w:b/>
          <w:szCs w:val="21"/>
        </w:rPr>
      </w:pPr>
      <w:r w:rsidRPr="00775040">
        <w:rPr>
          <w:rFonts w:ascii="楷体" w:eastAsia="楷体" w:hAnsi="楷体" w:hint="eastAsia"/>
          <w:b/>
          <w:szCs w:val="21"/>
        </w:rPr>
        <w:t>政府态度是壁垒</w:t>
      </w:r>
    </w:p>
    <w:p w:rsidR="00587AF4" w:rsidRPr="00AF61A6" w:rsidRDefault="00AF61A6" w:rsidP="007C5CB4">
      <w:pPr>
        <w:spacing w:line="360" w:lineRule="auto"/>
        <w:ind w:rightChars="1000" w:right="2100" w:firstLine="420"/>
        <w:rPr>
          <w:rFonts w:ascii="楷体" w:eastAsia="楷体" w:hAnsi="楷体"/>
          <w:szCs w:val="21"/>
        </w:rPr>
      </w:pPr>
      <w:r w:rsidRPr="00AF61A6">
        <w:rPr>
          <w:rFonts w:ascii="楷体" w:eastAsia="楷体" w:hAnsi="楷体" w:hint="eastAsia"/>
          <w:szCs w:val="21"/>
        </w:rPr>
        <w:t>地方政府考虑到GDP考核、税收、就业等因素，对本地企业的保护力度很大，不愿意首先淘汰自己地区的产能，所以中央的减产的行政命令在地方上会大打折扣。我们认为未来淘汰落后产能需要依靠三股力量：1、市场，由于目前铝价下跌严重，到达了很多企业的成本线，这部分企业会被倒闭减产甚至关停，以市场的力量自动缓解产能过剩压力；2、资源集中，由于原材料供给不足（国外铝土矿限制出口），有限资源将向大企业靠拢，行业竞争格局改变，形成寡头垄断局面，小企业因原料不足关停；3、行政手段，用环保法规、行业准入牌照等手段强制淘汰落后产能，限制新产能。</w:t>
      </w:r>
    </w:p>
    <w:p w:rsidR="005143F4" w:rsidRDefault="005143F4" w:rsidP="00EE6863">
      <w:pPr>
        <w:spacing w:line="360" w:lineRule="auto"/>
        <w:ind w:rightChars="1000" w:right="2100"/>
        <w:rPr>
          <w:rFonts w:ascii="楷体" w:eastAsia="楷体" w:hAnsi="楷体" w:hint="eastAsia"/>
          <w:szCs w:val="21"/>
        </w:rPr>
      </w:pPr>
      <w:r w:rsidRPr="005143F4">
        <w:rPr>
          <w:rFonts w:ascii="楷体" w:eastAsia="楷体" w:hAnsi="楷体" w:hint="eastAsia"/>
          <w:b/>
          <w:szCs w:val="21"/>
        </w:rPr>
        <w:t>3. 受益公司和风险</w:t>
      </w:r>
    </w:p>
    <w:p w:rsidR="00587AF4" w:rsidRPr="00EE6863" w:rsidRDefault="005143F4" w:rsidP="005143F4">
      <w:pPr>
        <w:spacing w:line="360" w:lineRule="auto"/>
        <w:ind w:rightChars="1000" w:right="2100" w:firstLine="420"/>
        <w:rPr>
          <w:rFonts w:ascii="楷体" w:eastAsia="楷体" w:hAnsi="楷体"/>
          <w:szCs w:val="21"/>
        </w:rPr>
      </w:pPr>
      <w:r w:rsidRPr="005143F4">
        <w:rPr>
          <w:rFonts w:ascii="楷体" w:eastAsia="楷体" w:hAnsi="楷体" w:hint="eastAsia"/>
          <w:szCs w:val="21"/>
        </w:rPr>
        <w:t>我国电解铝行业去产能直接利好龙头企业。在产能出清的过程中，龙头企业将受益于产品价格提升和市场份额扩大，例如中国铝业、神火股份、中孚实业、云铝股份、焦作万方、新疆众和，其中业绩弹性最大的标的为云铝股份。此外，电解铝价格上升将提升存货价值，有利于减轻高存货企业的压力，例如中国铝业，其存货价值达236.7亿元。但是我们仍然不能忽视电解</w:t>
      </w:r>
      <w:proofErr w:type="gramStart"/>
      <w:r w:rsidRPr="005143F4">
        <w:rPr>
          <w:rFonts w:ascii="楷体" w:eastAsia="楷体" w:hAnsi="楷体" w:hint="eastAsia"/>
          <w:szCs w:val="21"/>
        </w:rPr>
        <w:t>铝企业</w:t>
      </w:r>
      <w:proofErr w:type="gramEnd"/>
      <w:r w:rsidRPr="005143F4">
        <w:rPr>
          <w:rFonts w:ascii="楷体" w:eastAsia="楷体" w:hAnsi="楷体" w:hint="eastAsia"/>
          <w:szCs w:val="21"/>
        </w:rPr>
        <w:t>的超高负债</w:t>
      </w:r>
      <w:proofErr w:type="gramStart"/>
      <w:r w:rsidRPr="005143F4">
        <w:rPr>
          <w:rFonts w:ascii="楷体" w:eastAsia="楷体" w:hAnsi="楷体" w:hint="eastAsia"/>
          <w:szCs w:val="21"/>
        </w:rPr>
        <w:t>率带来</w:t>
      </w:r>
      <w:proofErr w:type="gramEnd"/>
      <w:r w:rsidRPr="005143F4">
        <w:rPr>
          <w:rFonts w:ascii="楷体" w:eastAsia="楷体" w:hAnsi="楷体" w:hint="eastAsia"/>
          <w:szCs w:val="21"/>
        </w:rPr>
        <w:t>的财务压力：神火股份、中孚实业、云铝股份、中国铝业的资产负债率分别为80%、78%、76%、75%。</w:t>
      </w:r>
    </w:p>
    <w:p w:rsidR="00B474CB" w:rsidRPr="002E7483" w:rsidRDefault="00EE6863" w:rsidP="00B474CB">
      <w:pPr>
        <w:pStyle w:val="aff2"/>
        <w:numPr>
          <w:ilvl w:val="0"/>
          <w:numId w:val="14"/>
        </w:numPr>
        <w:spacing w:line="360" w:lineRule="auto"/>
        <w:ind w:rightChars="1000" w:right="2100" w:firstLineChars="0"/>
        <w:rPr>
          <w:rFonts w:ascii="楷体" w:eastAsia="楷体" w:hAnsi="楷体"/>
          <w:b/>
          <w:color w:val="0070C0"/>
          <w:sz w:val="22"/>
          <w:szCs w:val="21"/>
        </w:rPr>
      </w:pPr>
      <w:r w:rsidRPr="002E7483">
        <w:rPr>
          <w:rFonts w:ascii="楷体" w:eastAsia="楷体" w:hAnsi="楷体"/>
          <w:b/>
          <w:color w:val="0070C0"/>
          <w:sz w:val="22"/>
          <w:szCs w:val="21"/>
        </w:rPr>
        <w:t>钢铁行业</w:t>
      </w:r>
    </w:p>
    <w:p w:rsidR="0088004A" w:rsidRPr="0088004A" w:rsidRDefault="0088004A" w:rsidP="0088004A">
      <w:pPr>
        <w:spacing w:line="360" w:lineRule="auto"/>
        <w:ind w:rightChars="1000" w:right="2100"/>
        <w:rPr>
          <w:rFonts w:ascii="楷体" w:eastAsia="楷体" w:hAnsi="楷体"/>
          <w:b/>
          <w:szCs w:val="21"/>
        </w:rPr>
      </w:pPr>
    </w:p>
    <w:p w:rsidR="006D248A" w:rsidRPr="00494164" w:rsidRDefault="00A12BFC" w:rsidP="006D248A">
      <w:pPr>
        <w:pStyle w:val="aff2"/>
        <w:numPr>
          <w:ilvl w:val="0"/>
          <w:numId w:val="17"/>
        </w:numPr>
        <w:spacing w:line="360" w:lineRule="auto"/>
        <w:ind w:rightChars="1000" w:right="2100" w:firstLineChars="0"/>
        <w:rPr>
          <w:rFonts w:ascii="楷体" w:eastAsia="楷体" w:hAnsi="楷体"/>
          <w:b/>
          <w:szCs w:val="21"/>
        </w:rPr>
      </w:pPr>
      <w:r w:rsidRPr="00C54199">
        <w:rPr>
          <w:rFonts w:ascii="楷体" w:eastAsia="楷体" w:hAnsi="楷体" w:hint="eastAsia"/>
          <w:b/>
          <w:szCs w:val="21"/>
        </w:rPr>
        <w:t>产能利用情况</w:t>
      </w:r>
    </w:p>
    <w:p w:rsidR="00BA6241" w:rsidRDefault="00BA6241" w:rsidP="007C5CB4">
      <w:pPr>
        <w:spacing w:line="360" w:lineRule="auto"/>
        <w:ind w:rightChars="1000" w:right="2100" w:firstLine="360"/>
        <w:rPr>
          <w:rFonts w:ascii="楷体" w:eastAsia="楷体" w:hAnsi="楷体"/>
          <w:szCs w:val="21"/>
        </w:rPr>
      </w:pPr>
      <w:r w:rsidRPr="00BA6241">
        <w:rPr>
          <w:rFonts w:ascii="楷体" w:eastAsia="楷体" w:hAnsi="楷体" w:hint="eastAsia"/>
          <w:szCs w:val="21"/>
        </w:rPr>
        <w:t>我国粗钢产能2015年为12亿吨，粗钢产量为8.06亿吨，粗钢产能利用率仅为67.17%，产能严重过剩。2010年至2014年间，全国累计淘汰粗钢产能9377.15万吨。</w:t>
      </w:r>
    </w:p>
    <w:tbl>
      <w:tblPr>
        <w:tblW w:w="8222" w:type="dxa"/>
        <w:tblInd w:w="108" w:type="dxa"/>
        <w:tblLayout w:type="fixed"/>
        <w:tblLook w:val="00A0"/>
      </w:tblPr>
      <w:tblGrid>
        <w:gridCol w:w="8222"/>
      </w:tblGrid>
      <w:tr w:rsidR="00FB0811" w:rsidRPr="008C6EE3" w:rsidTr="000054D6">
        <w:trPr>
          <w:trHeight w:hRule="exact" w:val="265"/>
        </w:trPr>
        <w:tc>
          <w:tcPr>
            <w:tcW w:w="8222" w:type="dxa"/>
            <w:tcBorders>
              <w:bottom w:val="single" w:sz="8" w:space="0" w:color="365F91"/>
            </w:tcBorders>
            <w:vAlign w:val="center"/>
            <w:hideMark/>
          </w:tcPr>
          <w:p w:rsidR="00FB0811" w:rsidRPr="008C6EE3" w:rsidRDefault="00FB0811" w:rsidP="00381566">
            <w:pPr>
              <w:rPr>
                <w:rFonts w:ascii="楷体" w:eastAsia="楷体" w:hAnsi="楷体" w:cs="Arial"/>
                <w:b/>
                <w:color w:val="005096"/>
                <w:sz w:val="18"/>
                <w:szCs w:val="18"/>
              </w:rPr>
            </w:pPr>
            <w:r w:rsidRPr="008C6EE3">
              <w:rPr>
                <w:rFonts w:ascii="楷体" w:eastAsia="楷体" w:hAnsi="楷体" w:cs="Arial" w:hint="eastAsia"/>
                <w:b/>
                <w:color w:val="005096"/>
                <w:sz w:val="18"/>
                <w:szCs w:val="18"/>
              </w:rPr>
              <w:t>图</w:t>
            </w:r>
            <w:r w:rsidR="00381566">
              <w:rPr>
                <w:rFonts w:ascii="楷体" w:eastAsia="楷体" w:hAnsi="楷体" w:cs="Arial"/>
                <w:b/>
                <w:color w:val="005096"/>
                <w:sz w:val="18"/>
                <w:szCs w:val="18"/>
              </w:rPr>
              <w:t>19</w:t>
            </w:r>
            <w:r w:rsidRPr="008C6EE3">
              <w:rPr>
                <w:rFonts w:ascii="楷体" w:eastAsia="楷体" w:hAnsi="楷体" w:cs="Arial" w:hint="eastAsia"/>
                <w:b/>
                <w:color w:val="005096"/>
                <w:sz w:val="18"/>
                <w:szCs w:val="18"/>
              </w:rPr>
              <w:t>：</w:t>
            </w:r>
            <w:r w:rsidR="00A32242">
              <w:rPr>
                <w:rFonts w:ascii="楷体" w:eastAsia="楷体" w:hAnsi="楷体" w:cs="Arial" w:hint="eastAsia"/>
                <w:b/>
                <w:color w:val="005096"/>
                <w:sz w:val="18"/>
                <w:szCs w:val="18"/>
              </w:rPr>
              <w:t>粗钢产能利用率</w:t>
            </w:r>
          </w:p>
        </w:tc>
      </w:tr>
      <w:tr w:rsidR="00FB0811" w:rsidRPr="008C6EE3" w:rsidTr="000054D6">
        <w:trPr>
          <w:trHeight w:hRule="exact" w:val="3700"/>
        </w:trPr>
        <w:tc>
          <w:tcPr>
            <w:tcW w:w="8222" w:type="dxa"/>
            <w:tcBorders>
              <w:top w:val="single" w:sz="8" w:space="0" w:color="365F91"/>
              <w:bottom w:val="single" w:sz="8" w:space="0" w:color="365F91"/>
            </w:tcBorders>
            <w:hideMark/>
          </w:tcPr>
          <w:p w:rsidR="00FB0811" w:rsidRPr="008C6EE3" w:rsidRDefault="008B0BF8" w:rsidP="000054D6">
            <w:pPr>
              <w:rPr>
                <w:rFonts w:ascii="Arial" w:eastAsia="楷体" w:hAnsi="Arial" w:cs="Calibri"/>
                <w:szCs w:val="21"/>
              </w:rPr>
            </w:pPr>
            <w:r>
              <w:rPr>
                <w:rFonts w:hint="eastAsia"/>
                <w:noProof/>
                <w:sz w:val="28"/>
                <w:szCs w:val="28"/>
              </w:rPr>
              <w:drawing>
                <wp:anchor distT="0" distB="0" distL="114300" distR="114300" simplePos="0" relativeHeight="251654144" behindDoc="0" locked="0" layoutInCell="1" allowOverlap="1">
                  <wp:simplePos x="0" y="0"/>
                  <wp:positionH relativeFrom="column">
                    <wp:posOffset>32385</wp:posOffset>
                  </wp:positionH>
                  <wp:positionV relativeFrom="paragraph">
                    <wp:posOffset>38100</wp:posOffset>
                  </wp:positionV>
                  <wp:extent cx="5022850" cy="21907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C14F5.tmp"/>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2850" cy="2190750"/>
                          </a:xfrm>
                          <a:prstGeom prst="rect">
                            <a:avLst/>
                          </a:prstGeom>
                        </pic:spPr>
                      </pic:pic>
                    </a:graphicData>
                  </a:graphic>
                </wp:anchor>
              </w:drawing>
            </w:r>
          </w:p>
          <w:p w:rsidR="00FB0811" w:rsidRPr="008C6EE3" w:rsidRDefault="00FB0811" w:rsidP="000054D6">
            <w:pPr>
              <w:tabs>
                <w:tab w:val="left" w:pos="250"/>
              </w:tabs>
              <w:jc w:val="center"/>
              <w:rPr>
                <w:rFonts w:ascii="Arial" w:eastAsia="楷体" w:hAnsi="Arial" w:cs="Calibri"/>
                <w:szCs w:val="21"/>
              </w:rPr>
            </w:pPr>
          </w:p>
        </w:tc>
      </w:tr>
    </w:tbl>
    <w:p w:rsidR="00FB0811" w:rsidRPr="008C6EE3" w:rsidRDefault="00FB0811" w:rsidP="00FB0811">
      <w:pPr>
        <w:spacing w:line="360" w:lineRule="auto"/>
        <w:ind w:rightChars="1000" w:right="2100"/>
        <w:rPr>
          <w:rFonts w:ascii="华文楷体" w:eastAsia="华文楷体" w:hAnsi="华文楷体"/>
          <w:sz w:val="16"/>
          <w:szCs w:val="16"/>
        </w:rPr>
      </w:pPr>
      <w:r w:rsidRPr="008C6EE3">
        <w:rPr>
          <w:rFonts w:ascii="华文楷体" w:eastAsia="华文楷体" w:hAnsi="华文楷体" w:hint="eastAsia"/>
          <w:sz w:val="16"/>
          <w:szCs w:val="16"/>
        </w:rPr>
        <w:lastRenderedPageBreak/>
        <w:t>资料来源：WIND，民生证券研究院</w:t>
      </w:r>
    </w:p>
    <w:p w:rsidR="00FB0811" w:rsidRPr="00FB0811" w:rsidRDefault="00FB0811" w:rsidP="00BA6241">
      <w:pPr>
        <w:spacing w:line="360" w:lineRule="auto"/>
        <w:ind w:rightChars="1000" w:right="2100"/>
        <w:rPr>
          <w:rFonts w:ascii="楷体" w:eastAsia="楷体" w:hAnsi="楷体"/>
          <w:szCs w:val="21"/>
        </w:rPr>
      </w:pPr>
    </w:p>
    <w:p w:rsidR="008159F4" w:rsidRDefault="00CF55AB" w:rsidP="008159F4">
      <w:pPr>
        <w:pStyle w:val="aff2"/>
        <w:numPr>
          <w:ilvl w:val="0"/>
          <w:numId w:val="17"/>
        </w:numPr>
        <w:spacing w:line="360" w:lineRule="auto"/>
        <w:ind w:rightChars="1000" w:right="2100" w:firstLineChars="0"/>
        <w:rPr>
          <w:rFonts w:ascii="楷体" w:eastAsia="楷体" w:hAnsi="楷体"/>
          <w:b/>
          <w:szCs w:val="21"/>
        </w:rPr>
      </w:pPr>
      <w:r w:rsidRPr="007A7381">
        <w:rPr>
          <w:rFonts w:ascii="楷体" w:eastAsia="楷体" w:hAnsi="楷体" w:hint="eastAsia"/>
          <w:b/>
          <w:szCs w:val="21"/>
        </w:rPr>
        <w:t>去产能进程</w:t>
      </w:r>
    </w:p>
    <w:p w:rsidR="004E304E" w:rsidRPr="004E304E" w:rsidRDefault="004E304E" w:rsidP="004E304E">
      <w:pPr>
        <w:spacing w:line="360" w:lineRule="auto"/>
        <w:ind w:rightChars="1000" w:right="2100"/>
        <w:rPr>
          <w:rFonts w:ascii="楷体" w:eastAsia="楷体" w:hAnsi="楷体"/>
          <w:b/>
          <w:szCs w:val="21"/>
        </w:rPr>
      </w:pPr>
    </w:p>
    <w:p w:rsidR="007144C9" w:rsidRPr="008159F4" w:rsidRDefault="002F3BEE" w:rsidP="008159F4">
      <w:pPr>
        <w:pStyle w:val="aff2"/>
        <w:numPr>
          <w:ilvl w:val="0"/>
          <w:numId w:val="18"/>
        </w:numPr>
        <w:spacing w:line="360" w:lineRule="auto"/>
        <w:ind w:rightChars="1000" w:right="2100" w:firstLineChars="0"/>
        <w:rPr>
          <w:rFonts w:ascii="楷体" w:eastAsia="楷体" w:hAnsi="楷体"/>
          <w:b/>
          <w:szCs w:val="21"/>
        </w:rPr>
      </w:pPr>
      <w:r w:rsidRPr="008159F4">
        <w:rPr>
          <w:rFonts w:ascii="楷体" w:eastAsia="楷体" w:hAnsi="楷体" w:hint="eastAsia"/>
          <w:b/>
          <w:szCs w:val="21"/>
        </w:rPr>
        <w:t>去产能目标</w:t>
      </w:r>
    </w:p>
    <w:p w:rsidR="00B474CB" w:rsidRDefault="00B474CB" w:rsidP="00A370B9">
      <w:pPr>
        <w:spacing w:line="360" w:lineRule="auto"/>
        <w:ind w:rightChars="1000" w:right="2100" w:firstLine="420"/>
        <w:rPr>
          <w:rFonts w:ascii="楷体" w:eastAsia="楷体" w:hAnsi="楷体"/>
          <w:szCs w:val="21"/>
        </w:rPr>
      </w:pPr>
      <w:r w:rsidRPr="00B474CB">
        <w:rPr>
          <w:rFonts w:ascii="楷体" w:eastAsia="楷体" w:hAnsi="楷体" w:hint="eastAsia"/>
          <w:szCs w:val="21"/>
        </w:rPr>
        <w:t>2016年1月22日，在国务院常务会议上，李克强总理要求在近几年淘汰落后钢铁产能9000多万吨的基础上，再压减粗钢产能1亿~1.5亿吨，严控新增产能。根据《关于钢铁行业脱困指导意见》（该意见预计在春节后颁布），该目标将在在2016年-2018年内完成，不分所有制性质，淘汰方式分“强制淘汰”和“引导淘汰”两种方式解决。前者将通过《环保法》等一系列法律法规，以及安全生产、能源利用、技术方式等行业文件来限定。一些不符合相关法律法规和行业政策要求的钢铁企业将被强制关停淘汰出局；而政策引导淘汰的，主要是已经主动退出市场，或者不符合地方发展规划，需要搬迁改造，以及主动进行兼并重组的企业。</w:t>
      </w:r>
    </w:p>
    <w:p w:rsidR="000054D6" w:rsidRPr="000054D6" w:rsidRDefault="000054D6" w:rsidP="000054D6">
      <w:pPr>
        <w:spacing w:before="50" w:after="50" w:line="360" w:lineRule="exact"/>
        <w:rPr>
          <w:rFonts w:ascii="华文楷体" w:eastAsia="华文楷体" w:hAnsi="华文楷体"/>
          <w:b/>
          <w:color w:val="005096"/>
          <w:sz w:val="18"/>
          <w:szCs w:val="20"/>
        </w:rPr>
      </w:pPr>
      <w:r w:rsidRPr="00F27E5D">
        <w:rPr>
          <w:rFonts w:ascii="华文楷体" w:eastAsia="华文楷体" w:hAnsi="华文楷体" w:hint="eastAsia"/>
          <w:b/>
          <w:color w:val="005096"/>
          <w:sz w:val="18"/>
          <w:szCs w:val="20"/>
        </w:rPr>
        <w:t>表</w:t>
      </w:r>
      <w:r w:rsidR="0068201B">
        <w:rPr>
          <w:rFonts w:ascii="华文楷体" w:eastAsia="华文楷体" w:hAnsi="华文楷体" w:hint="eastAsia"/>
          <w:b/>
          <w:color w:val="005096"/>
          <w:sz w:val="18"/>
          <w:szCs w:val="20"/>
        </w:rPr>
        <w:t>4</w:t>
      </w:r>
      <w:r w:rsidRPr="00F27E5D">
        <w:rPr>
          <w:rFonts w:ascii="华文楷体" w:eastAsia="华文楷体" w:hAnsi="华文楷体" w:hint="eastAsia"/>
          <w:b/>
          <w:color w:val="005096"/>
          <w:sz w:val="18"/>
          <w:szCs w:val="20"/>
        </w:rPr>
        <w:t>：</w:t>
      </w:r>
      <w:r>
        <w:rPr>
          <w:rFonts w:ascii="华文楷体" w:eastAsia="华文楷体" w:hAnsi="华文楷体" w:hint="eastAsia"/>
          <w:b/>
          <w:color w:val="005096"/>
          <w:sz w:val="18"/>
          <w:szCs w:val="20"/>
        </w:rPr>
        <w:t>地方钢铁行业去产能目标</w:t>
      </w:r>
    </w:p>
    <w:tbl>
      <w:tblPr>
        <w:tblStyle w:val="-131"/>
        <w:tblW w:w="9747" w:type="dxa"/>
        <w:tblLook w:val="04A0"/>
      </w:tblPr>
      <w:tblGrid>
        <w:gridCol w:w="1526"/>
        <w:gridCol w:w="8221"/>
      </w:tblGrid>
      <w:tr w:rsidR="00B474CB" w:rsidRPr="00B474CB" w:rsidTr="00B474CB">
        <w:trPr>
          <w:cnfStyle w:val="100000000000"/>
        </w:trPr>
        <w:tc>
          <w:tcPr>
            <w:cnfStyle w:val="001000000000"/>
            <w:tcW w:w="1526" w:type="dxa"/>
          </w:tcPr>
          <w:p w:rsidR="00B474CB" w:rsidRPr="00B474CB" w:rsidRDefault="00B474CB" w:rsidP="000054D6">
            <w:pPr>
              <w:widowControl/>
              <w:spacing w:before="50" w:after="50" w:line="200" w:lineRule="atLeast"/>
              <w:jc w:val="left"/>
              <w:rPr>
                <w:rFonts w:ascii="华文楷体" w:eastAsia="华文楷体" w:hAnsi="华文楷体" w:cs="宋体"/>
                <w:color w:val="1F497D"/>
                <w:kern w:val="0"/>
                <w:sz w:val="16"/>
                <w:szCs w:val="16"/>
              </w:rPr>
            </w:pPr>
          </w:p>
        </w:tc>
        <w:tc>
          <w:tcPr>
            <w:tcW w:w="8221" w:type="dxa"/>
          </w:tcPr>
          <w:p w:rsidR="00B474CB" w:rsidRPr="00B474CB" w:rsidRDefault="00B474CB" w:rsidP="000054D6">
            <w:pPr>
              <w:widowControl/>
              <w:spacing w:before="50" w:after="50" w:line="200" w:lineRule="atLeast"/>
              <w:jc w:val="left"/>
              <w:cnfStyle w:val="100000000000"/>
              <w:rPr>
                <w:rFonts w:ascii="华文楷体" w:eastAsia="华文楷体" w:hAnsi="华文楷体" w:cs="宋体"/>
                <w:color w:val="1F497D"/>
                <w:kern w:val="0"/>
                <w:sz w:val="16"/>
                <w:szCs w:val="16"/>
              </w:rPr>
            </w:pPr>
            <w:r w:rsidRPr="00B474CB">
              <w:rPr>
                <w:rFonts w:ascii="华文楷体" w:eastAsia="华文楷体" w:hAnsi="华文楷体" w:cs="宋体" w:hint="eastAsia"/>
                <w:color w:val="1F497D"/>
                <w:kern w:val="0"/>
                <w:sz w:val="16"/>
                <w:szCs w:val="16"/>
              </w:rPr>
              <w:t>去产能目标</w:t>
            </w:r>
          </w:p>
        </w:tc>
      </w:tr>
      <w:tr w:rsidR="00B474CB" w:rsidRPr="00B474CB" w:rsidTr="00B474CB">
        <w:trPr>
          <w:cnfStyle w:val="000000100000"/>
        </w:trPr>
        <w:tc>
          <w:tcPr>
            <w:cnfStyle w:val="001000000000"/>
            <w:tcW w:w="1526" w:type="dxa"/>
          </w:tcPr>
          <w:p w:rsidR="00B474CB" w:rsidRPr="00B474CB" w:rsidRDefault="00B474CB" w:rsidP="000054D6">
            <w:pPr>
              <w:widowControl/>
              <w:spacing w:before="50" w:after="50" w:line="200" w:lineRule="atLeast"/>
              <w:jc w:val="left"/>
              <w:rPr>
                <w:rFonts w:ascii="华文楷体" w:eastAsia="华文楷体" w:hAnsi="华文楷体" w:cs="宋体"/>
                <w:color w:val="1F497D"/>
                <w:kern w:val="0"/>
                <w:sz w:val="16"/>
                <w:szCs w:val="16"/>
              </w:rPr>
            </w:pPr>
            <w:r w:rsidRPr="00B474CB">
              <w:rPr>
                <w:rFonts w:ascii="华文楷体" w:eastAsia="华文楷体" w:hAnsi="华文楷体" w:cs="宋体" w:hint="eastAsia"/>
                <w:color w:val="1F497D"/>
                <w:kern w:val="0"/>
                <w:sz w:val="16"/>
                <w:szCs w:val="16"/>
              </w:rPr>
              <w:t>河北</w:t>
            </w:r>
          </w:p>
        </w:tc>
        <w:tc>
          <w:tcPr>
            <w:tcW w:w="8221" w:type="dxa"/>
          </w:tcPr>
          <w:p w:rsidR="00B474CB" w:rsidRPr="00B474CB" w:rsidRDefault="00B474CB" w:rsidP="000054D6">
            <w:pPr>
              <w:widowControl/>
              <w:spacing w:before="50" w:after="50" w:line="200" w:lineRule="atLeast"/>
              <w:jc w:val="left"/>
              <w:cnfStyle w:val="000000100000"/>
              <w:rPr>
                <w:rFonts w:ascii="华文楷体" w:eastAsia="华文楷体" w:hAnsi="华文楷体" w:cs="宋体"/>
                <w:color w:val="1F497D"/>
                <w:kern w:val="0"/>
                <w:sz w:val="16"/>
                <w:szCs w:val="16"/>
              </w:rPr>
            </w:pPr>
            <w:r w:rsidRPr="00B474CB">
              <w:rPr>
                <w:rFonts w:ascii="华文楷体" w:eastAsia="华文楷体" w:hAnsi="华文楷体" w:cs="宋体" w:hint="eastAsia"/>
                <w:color w:val="1F497D"/>
                <w:kern w:val="0"/>
                <w:sz w:val="16"/>
                <w:szCs w:val="16"/>
              </w:rPr>
              <w:t>2016年内，将压减炼铁产能1000万吨、炼钢产能800万吨，</w:t>
            </w:r>
            <w:r w:rsidRPr="00B474CB">
              <w:rPr>
                <w:rFonts w:ascii="华文楷体" w:eastAsia="华文楷体" w:hAnsi="华文楷体" w:cs="宋体"/>
                <w:color w:val="1F497D"/>
                <w:kern w:val="0"/>
                <w:sz w:val="16"/>
                <w:szCs w:val="16"/>
              </w:rPr>
              <w:t>到2020年之前，将产能控制在2亿吨左右。</w:t>
            </w:r>
          </w:p>
        </w:tc>
      </w:tr>
      <w:tr w:rsidR="00B474CB" w:rsidRPr="00B474CB" w:rsidTr="00B474CB">
        <w:tc>
          <w:tcPr>
            <w:cnfStyle w:val="001000000000"/>
            <w:tcW w:w="1526" w:type="dxa"/>
          </w:tcPr>
          <w:p w:rsidR="00B474CB" w:rsidRPr="00B474CB" w:rsidRDefault="00B474CB" w:rsidP="000054D6">
            <w:pPr>
              <w:widowControl/>
              <w:spacing w:before="50" w:after="50" w:line="200" w:lineRule="atLeast"/>
              <w:jc w:val="left"/>
              <w:rPr>
                <w:rFonts w:ascii="华文楷体" w:eastAsia="华文楷体" w:hAnsi="华文楷体" w:cs="宋体"/>
                <w:color w:val="1F497D"/>
                <w:kern w:val="0"/>
                <w:sz w:val="16"/>
                <w:szCs w:val="16"/>
              </w:rPr>
            </w:pPr>
            <w:r w:rsidRPr="00B474CB">
              <w:rPr>
                <w:rFonts w:ascii="华文楷体" w:eastAsia="华文楷体" w:hAnsi="华文楷体" w:cs="宋体" w:hint="eastAsia"/>
                <w:color w:val="1F497D"/>
                <w:kern w:val="0"/>
                <w:sz w:val="16"/>
                <w:szCs w:val="16"/>
              </w:rPr>
              <w:t>山东</w:t>
            </w:r>
          </w:p>
        </w:tc>
        <w:tc>
          <w:tcPr>
            <w:tcW w:w="8221" w:type="dxa"/>
          </w:tcPr>
          <w:p w:rsidR="00B474CB" w:rsidRPr="00B474CB" w:rsidRDefault="00B474CB" w:rsidP="000054D6">
            <w:pPr>
              <w:widowControl/>
              <w:spacing w:before="50" w:after="50" w:line="200" w:lineRule="atLeast"/>
              <w:jc w:val="left"/>
              <w:cnfStyle w:val="000000000000"/>
              <w:rPr>
                <w:rFonts w:ascii="华文楷体" w:eastAsia="华文楷体" w:hAnsi="华文楷体" w:cs="宋体"/>
                <w:color w:val="1F497D"/>
                <w:kern w:val="0"/>
                <w:sz w:val="16"/>
                <w:szCs w:val="16"/>
              </w:rPr>
            </w:pPr>
            <w:r w:rsidRPr="00B474CB">
              <w:rPr>
                <w:rFonts w:ascii="华文楷体" w:eastAsia="华文楷体" w:hAnsi="华文楷体" w:cs="宋体" w:hint="eastAsia"/>
                <w:color w:val="1F497D"/>
                <w:kern w:val="0"/>
                <w:sz w:val="16"/>
                <w:szCs w:val="16"/>
              </w:rPr>
              <w:t>十三五期间淘汰炼钢产能380万吨。</w:t>
            </w:r>
          </w:p>
        </w:tc>
      </w:tr>
      <w:tr w:rsidR="00B474CB" w:rsidRPr="00B474CB" w:rsidTr="00B474CB">
        <w:trPr>
          <w:cnfStyle w:val="000000100000"/>
        </w:trPr>
        <w:tc>
          <w:tcPr>
            <w:cnfStyle w:val="001000000000"/>
            <w:tcW w:w="1526" w:type="dxa"/>
          </w:tcPr>
          <w:p w:rsidR="00B474CB" w:rsidRPr="00B474CB" w:rsidRDefault="00B474CB" w:rsidP="000054D6">
            <w:pPr>
              <w:widowControl/>
              <w:spacing w:before="50" w:after="50" w:line="200" w:lineRule="atLeast"/>
              <w:jc w:val="left"/>
              <w:rPr>
                <w:rFonts w:ascii="华文楷体" w:eastAsia="华文楷体" w:hAnsi="华文楷体" w:cs="宋体"/>
                <w:color w:val="1F497D"/>
                <w:kern w:val="0"/>
                <w:sz w:val="16"/>
                <w:szCs w:val="16"/>
              </w:rPr>
            </w:pPr>
            <w:r w:rsidRPr="00B474CB">
              <w:rPr>
                <w:rFonts w:ascii="华文楷体" w:eastAsia="华文楷体" w:hAnsi="华文楷体" w:cs="宋体" w:hint="eastAsia"/>
                <w:color w:val="1F497D"/>
                <w:kern w:val="0"/>
                <w:sz w:val="16"/>
                <w:szCs w:val="16"/>
              </w:rPr>
              <w:t>江苏</w:t>
            </w:r>
          </w:p>
        </w:tc>
        <w:tc>
          <w:tcPr>
            <w:tcW w:w="8221" w:type="dxa"/>
          </w:tcPr>
          <w:p w:rsidR="00B474CB" w:rsidRPr="00B474CB" w:rsidRDefault="00B474CB" w:rsidP="000054D6">
            <w:pPr>
              <w:widowControl/>
              <w:spacing w:before="50" w:after="50" w:line="200" w:lineRule="atLeast"/>
              <w:jc w:val="left"/>
              <w:cnfStyle w:val="000000100000"/>
              <w:rPr>
                <w:rFonts w:ascii="华文楷体" w:eastAsia="华文楷体" w:hAnsi="华文楷体" w:cs="宋体"/>
                <w:color w:val="1F497D"/>
                <w:kern w:val="0"/>
                <w:sz w:val="16"/>
                <w:szCs w:val="16"/>
              </w:rPr>
            </w:pPr>
            <w:r w:rsidRPr="00B474CB">
              <w:rPr>
                <w:rFonts w:ascii="华文楷体" w:eastAsia="华文楷体" w:hAnsi="华文楷体" w:cs="宋体" w:hint="eastAsia"/>
                <w:color w:val="1F497D"/>
                <w:kern w:val="0"/>
                <w:sz w:val="16"/>
                <w:szCs w:val="16"/>
              </w:rPr>
              <w:t>2015年化解过剩产能目标任务，其中炼铁110万吨、炼钢150万吨。</w:t>
            </w:r>
          </w:p>
        </w:tc>
      </w:tr>
    </w:tbl>
    <w:p w:rsidR="00B474CB" w:rsidRPr="00187DCE" w:rsidRDefault="00B474CB" w:rsidP="00187DCE">
      <w:pPr>
        <w:rPr>
          <w:rFonts w:ascii="华文楷体" w:eastAsia="华文楷体" w:hAnsi="华文楷体"/>
          <w:sz w:val="16"/>
          <w:szCs w:val="16"/>
        </w:rPr>
      </w:pPr>
      <w:r w:rsidRPr="00187DCE">
        <w:rPr>
          <w:rFonts w:ascii="华文楷体" w:eastAsia="华文楷体" w:hAnsi="华文楷体" w:hint="eastAsia"/>
          <w:sz w:val="16"/>
          <w:szCs w:val="16"/>
        </w:rPr>
        <w:t>资料来源：互联网信息，民生证券研究院</w:t>
      </w:r>
    </w:p>
    <w:p w:rsidR="00B474CB" w:rsidRPr="000054D6" w:rsidRDefault="00B474CB" w:rsidP="00B474CB">
      <w:pPr>
        <w:widowControl/>
        <w:spacing w:before="50" w:after="50" w:line="200" w:lineRule="atLeast"/>
        <w:jc w:val="left"/>
        <w:rPr>
          <w:rFonts w:ascii="楷体" w:eastAsia="楷体" w:hAnsi="楷体"/>
          <w:szCs w:val="21"/>
        </w:rPr>
      </w:pPr>
    </w:p>
    <w:p w:rsidR="008159F4" w:rsidRPr="000133FF" w:rsidRDefault="008A03C8" w:rsidP="008159F4">
      <w:pPr>
        <w:pStyle w:val="aff2"/>
        <w:numPr>
          <w:ilvl w:val="0"/>
          <w:numId w:val="18"/>
        </w:numPr>
        <w:spacing w:line="360" w:lineRule="auto"/>
        <w:ind w:rightChars="1000" w:right="2100" w:firstLineChars="0"/>
        <w:rPr>
          <w:rFonts w:ascii="楷体" w:eastAsia="楷体" w:hAnsi="楷体"/>
          <w:b/>
          <w:szCs w:val="21"/>
        </w:rPr>
      </w:pPr>
      <w:r w:rsidRPr="008159F4">
        <w:rPr>
          <w:rFonts w:ascii="楷体" w:eastAsia="楷体" w:hAnsi="楷体" w:hint="eastAsia"/>
          <w:b/>
          <w:szCs w:val="21"/>
        </w:rPr>
        <w:t>去产能的就业</w:t>
      </w:r>
      <w:r w:rsidR="00745533" w:rsidRPr="008159F4">
        <w:rPr>
          <w:rFonts w:ascii="楷体" w:eastAsia="楷体" w:hAnsi="楷体" w:hint="eastAsia"/>
          <w:b/>
          <w:szCs w:val="21"/>
        </w:rPr>
        <w:t>冲击</w:t>
      </w:r>
    </w:p>
    <w:p w:rsidR="00E137FC" w:rsidRPr="00E137FC" w:rsidRDefault="00E137FC" w:rsidP="00E131A3">
      <w:pPr>
        <w:spacing w:line="360" w:lineRule="auto"/>
        <w:ind w:rightChars="1000" w:right="2100" w:firstLine="420"/>
        <w:rPr>
          <w:rFonts w:ascii="楷体" w:eastAsia="楷体" w:hAnsi="楷体"/>
          <w:szCs w:val="21"/>
        </w:rPr>
      </w:pPr>
      <w:r w:rsidRPr="00E137FC">
        <w:rPr>
          <w:rFonts w:ascii="楷体" w:eastAsia="楷体" w:hAnsi="楷体" w:hint="eastAsia"/>
          <w:szCs w:val="21"/>
        </w:rPr>
        <w:t>目前我国钢铁平均人均年产粗钢约为300吨/人，如果压缩1亿吨产能，将有33.33万人面临失业；压缩1.5亿吨产能，将有50万人面临失业。</w:t>
      </w:r>
    </w:p>
    <w:p w:rsidR="00E137FC" w:rsidRPr="00E137FC" w:rsidRDefault="00E137FC" w:rsidP="00E137FC">
      <w:pPr>
        <w:spacing w:line="360" w:lineRule="auto"/>
        <w:ind w:rightChars="1000" w:right="2100"/>
        <w:rPr>
          <w:rFonts w:ascii="楷体" w:eastAsia="楷体" w:hAnsi="楷体"/>
          <w:szCs w:val="21"/>
        </w:rPr>
      </w:pPr>
      <w:r w:rsidRPr="00E137FC">
        <w:rPr>
          <w:rFonts w:ascii="楷体" w:eastAsia="楷体" w:hAnsi="楷体" w:hint="eastAsia"/>
          <w:szCs w:val="21"/>
        </w:rPr>
        <w:t xml:space="preserve">另外参考: </w:t>
      </w:r>
    </w:p>
    <w:p w:rsidR="00F86083" w:rsidRDefault="00E137FC" w:rsidP="00E131A3">
      <w:pPr>
        <w:spacing w:line="360" w:lineRule="auto"/>
        <w:ind w:rightChars="1000" w:right="2100" w:firstLine="360"/>
        <w:rPr>
          <w:rFonts w:ascii="楷体" w:eastAsia="楷体" w:hAnsi="楷体"/>
          <w:szCs w:val="21"/>
        </w:rPr>
      </w:pPr>
      <w:r w:rsidRPr="00E137FC">
        <w:rPr>
          <w:rFonts w:ascii="楷体" w:eastAsia="楷体" w:hAnsi="楷体" w:hint="eastAsia"/>
          <w:szCs w:val="21"/>
        </w:rPr>
        <w:t>中国冶金工业规划研究院院长李新创预计，钢铁行业减产可能造成40万工人失业，上游和下游行业还会有更多从业者受到影响。</w:t>
      </w:r>
    </w:p>
    <w:p w:rsidR="00E137FC" w:rsidRPr="00E137FC" w:rsidRDefault="00E137FC" w:rsidP="00E137FC">
      <w:pPr>
        <w:spacing w:line="360" w:lineRule="auto"/>
        <w:ind w:rightChars="1000" w:right="2100"/>
        <w:rPr>
          <w:rFonts w:ascii="楷体" w:eastAsia="楷体" w:hAnsi="楷体"/>
          <w:szCs w:val="21"/>
        </w:rPr>
      </w:pPr>
    </w:p>
    <w:p w:rsidR="004444C1" w:rsidRPr="004E304E" w:rsidRDefault="00617EA9" w:rsidP="004444C1">
      <w:pPr>
        <w:pStyle w:val="aff2"/>
        <w:numPr>
          <w:ilvl w:val="0"/>
          <w:numId w:val="17"/>
        </w:numPr>
        <w:spacing w:line="360" w:lineRule="auto"/>
        <w:ind w:rightChars="1000" w:right="2100" w:firstLineChars="0"/>
        <w:rPr>
          <w:rFonts w:ascii="楷体" w:eastAsia="楷体" w:hAnsi="楷体"/>
          <w:b/>
          <w:szCs w:val="21"/>
        </w:rPr>
      </w:pPr>
      <w:r>
        <w:rPr>
          <w:rFonts w:ascii="楷体" w:eastAsia="楷体" w:hAnsi="楷体" w:hint="eastAsia"/>
          <w:b/>
          <w:szCs w:val="21"/>
        </w:rPr>
        <w:t>受益</w:t>
      </w:r>
      <w:r w:rsidR="00CF55AB" w:rsidRPr="007144C9">
        <w:rPr>
          <w:rFonts w:ascii="楷体" w:eastAsia="楷体" w:hAnsi="楷体"/>
          <w:b/>
          <w:szCs w:val="21"/>
        </w:rPr>
        <w:t>公司</w:t>
      </w:r>
      <w:r>
        <w:rPr>
          <w:rFonts w:ascii="楷体" w:eastAsia="楷体" w:hAnsi="楷体" w:hint="eastAsia"/>
          <w:b/>
          <w:szCs w:val="21"/>
        </w:rPr>
        <w:t>和风险</w:t>
      </w:r>
    </w:p>
    <w:p w:rsidR="00D349EA" w:rsidRPr="00D349EA" w:rsidRDefault="00D349EA" w:rsidP="00270D81">
      <w:pPr>
        <w:spacing w:line="360" w:lineRule="auto"/>
        <w:ind w:rightChars="1000" w:right="2100" w:firstLine="360"/>
        <w:rPr>
          <w:rFonts w:ascii="楷体" w:eastAsia="楷体" w:hAnsi="楷体"/>
          <w:szCs w:val="21"/>
        </w:rPr>
      </w:pPr>
      <w:r w:rsidRPr="00D349EA">
        <w:rPr>
          <w:rFonts w:ascii="楷体" w:eastAsia="楷体" w:hAnsi="楷体" w:hint="eastAsia"/>
          <w:szCs w:val="21"/>
        </w:rPr>
        <w:t>我国钢铁公司众多，但是</w:t>
      </w:r>
      <w:proofErr w:type="gramStart"/>
      <w:r w:rsidRPr="00D349EA">
        <w:rPr>
          <w:rFonts w:ascii="楷体" w:eastAsia="楷体" w:hAnsi="楷体" w:hint="eastAsia"/>
          <w:szCs w:val="21"/>
        </w:rPr>
        <w:t>大部分钢企为</w:t>
      </w:r>
      <w:proofErr w:type="gramEnd"/>
      <w:r w:rsidRPr="00D349EA">
        <w:rPr>
          <w:rFonts w:ascii="楷体" w:eastAsia="楷体" w:hAnsi="楷体" w:hint="eastAsia"/>
          <w:szCs w:val="21"/>
        </w:rPr>
        <w:t>中小企业，生产能力落后。上市公司的人均粗钢年产量为512吨/人，但是全国范围内人均粗钢年产量仅为300吨/人。小公司的生产效率低，产品多属中低端，研发投入少，研究及创新能力仍然是大型国企领先。</w:t>
      </w:r>
    </w:p>
    <w:p w:rsidR="00D349EA" w:rsidRPr="00D349EA" w:rsidRDefault="00D349EA" w:rsidP="00270D81">
      <w:pPr>
        <w:spacing w:line="360" w:lineRule="auto"/>
        <w:ind w:rightChars="1000" w:right="2100" w:firstLine="360"/>
        <w:rPr>
          <w:rFonts w:ascii="楷体" w:eastAsia="楷体" w:hAnsi="楷体"/>
          <w:szCs w:val="21"/>
        </w:rPr>
      </w:pPr>
      <w:r w:rsidRPr="00D349EA">
        <w:rPr>
          <w:rFonts w:ascii="楷体" w:eastAsia="楷体" w:hAnsi="楷体" w:hint="eastAsia"/>
          <w:szCs w:val="21"/>
        </w:rPr>
        <w:t>去产能的提出，大</w:t>
      </w:r>
      <w:proofErr w:type="gramStart"/>
      <w:r w:rsidRPr="00D349EA">
        <w:rPr>
          <w:rFonts w:ascii="楷体" w:eastAsia="楷体" w:hAnsi="楷体" w:hint="eastAsia"/>
          <w:szCs w:val="21"/>
        </w:rPr>
        <w:t>型钢企将成为</w:t>
      </w:r>
      <w:proofErr w:type="gramEnd"/>
      <w:r w:rsidRPr="00D349EA">
        <w:rPr>
          <w:rFonts w:ascii="楷体" w:eastAsia="楷体" w:hAnsi="楷体" w:hint="eastAsia"/>
          <w:szCs w:val="21"/>
        </w:rPr>
        <w:t>主要受益对象，特别在高端领域拥有竞争优势的龙头企业，例如宝钢股份，</w:t>
      </w:r>
      <w:proofErr w:type="gramStart"/>
      <w:r w:rsidRPr="00D349EA">
        <w:rPr>
          <w:rFonts w:ascii="楷体" w:eastAsia="楷体" w:hAnsi="楷体" w:hint="eastAsia"/>
          <w:szCs w:val="21"/>
        </w:rPr>
        <w:t>河钢股份</w:t>
      </w:r>
      <w:proofErr w:type="gramEnd"/>
      <w:r w:rsidRPr="00D349EA">
        <w:rPr>
          <w:rFonts w:ascii="楷体" w:eastAsia="楷体" w:hAnsi="楷体" w:hint="eastAsia"/>
          <w:szCs w:val="21"/>
        </w:rPr>
        <w:t>，武钢股份，</w:t>
      </w:r>
      <w:proofErr w:type="gramStart"/>
      <w:r w:rsidRPr="00D349EA">
        <w:rPr>
          <w:rFonts w:ascii="楷体" w:eastAsia="楷体" w:hAnsi="楷体" w:hint="eastAsia"/>
          <w:szCs w:val="21"/>
        </w:rPr>
        <w:t>华菱钢铁</w:t>
      </w:r>
      <w:proofErr w:type="gramEnd"/>
      <w:r w:rsidRPr="00D349EA">
        <w:rPr>
          <w:rFonts w:ascii="楷体" w:eastAsia="楷体" w:hAnsi="楷体" w:hint="eastAsia"/>
          <w:szCs w:val="21"/>
        </w:rPr>
        <w:t>，柳钢股份，包钢股份，南钢股份，首钢股份，安阳钢铁，</w:t>
      </w:r>
      <w:proofErr w:type="gramStart"/>
      <w:r w:rsidRPr="00D349EA">
        <w:rPr>
          <w:rFonts w:ascii="楷体" w:eastAsia="楷体" w:hAnsi="楷体" w:hint="eastAsia"/>
          <w:szCs w:val="21"/>
        </w:rPr>
        <w:t>华菱钢铁</w:t>
      </w:r>
      <w:proofErr w:type="gramEnd"/>
      <w:r w:rsidRPr="00D349EA">
        <w:rPr>
          <w:rFonts w:ascii="楷体" w:eastAsia="楷体" w:hAnsi="楷体" w:hint="eastAsia"/>
          <w:szCs w:val="21"/>
        </w:rPr>
        <w:t>，本钢板材等。</w:t>
      </w:r>
    </w:p>
    <w:p w:rsidR="00D349EA" w:rsidRPr="00D349EA" w:rsidRDefault="00D349EA" w:rsidP="00270D81">
      <w:pPr>
        <w:spacing w:line="360" w:lineRule="auto"/>
        <w:ind w:rightChars="1000" w:right="2100" w:firstLine="360"/>
        <w:rPr>
          <w:rFonts w:ascii="楷体" w:eastAsia="楷体" w:hAnsi="楷体"/>
          <w:szCs w:val="21"/>
        </w:rPr>
      </w:pPr>
      <w:r w:rsidRPr="00D349EA">
        <w:rPr>
          <w:rFonts w:ascii="楷体" w:eastAsia="楷体" w:hAnsi="楷体" w:hint="eastAsia"/>
          <w:szCs w:val="21"/>
        </w:rPr>
        <w:t>此外，对于需求转型的钢企及特钢企业也会成为受益者。例如，久立</w:t>
      </w:r>
      <w:proofErr w:type="gramStart"/>
      <w:r w:rsidRPr="00D349EA">
        <w:rPr>
          <w:rFonts w:ascii="楷体" w:eastAsia="楷体" w:hAnsi="楷体" w:hint="eastAsia"/>
          <w:szCs w:val="21"/>
        </w:rPr>
        <w:t>特</w:t>
      </w:r>
      <w:proofErr w:type="gramEnd"/>
      <w:r w:rsidRPr="00D349EA">
        <w:rPr>
          <w:rFonts w:ascii="楷体" w:eastAsia="楷体" w:hAnsi="楷体" w:hint="eastAsia"/>
          <w:szCs w:val="21"/>
        </w:rPr>
        <w:t>材，抚顺特钢，</w:t>
      </w:r>
      <w:r w:rsidRPr="00D349EA">
        <w:rPr>
          <w:rFonts w:ascii="楷体" w:eastAsia="楷体" w:hAnsi="楷体" w:hint="eastAsia"/>
          <w:szCs w:val="21"/>
        </w:rPr>
        <w:lastRenderedPageBreak/>
        <w:t>太钢不锈，方大特钢，</w:t>
      </w:r>
      <w:proofErr w:type="gramStart"/>
      <w:r w:rsidRPr="00D349EA">
        <w:rPr>
          <w:rFonts w:ascii="楷体" w:eastAsia="楷体" w:hAnsi="楷体" w:hint="eastAsia"/>
          <w:szCs w:val="21"/>
        </w:rPr>
        <w:t>三钢闽光</w:t>
      </w:r>
      <w:proofErr w:type="gramEnd"/>
      <w:r w:rsidRPr="00D349EA">
        <w:rPr>
          <w:rFonts w:ascii="楷体" w:eastAsia="楷体" w:hAnsi="楷体" w:hint="eastAsia"/>
          <w:szCs w:val="21"/>
        </w:rPr>
        <w:t>等。</w:t>
      </w:r>
    </w:p>
    <w:p w:rsidR="00D349EA" w:rsidRPr="00D349EA" w:rsidRDefault="00D349EA" w:rsidP="00270D81">
      <w:pPr>
        <w:spacing w:line="360" w:lineRule="auto"/>
        <w:ind w:rightChars="1000" w:right="2100" w:firstLine="360"/>
        <w:rPr>
          <w:rFonts w:ascii="楷体" w:eastAsia="楷体" w:hAnsi="楷体"/>
          <w:szCs w:val="21"/>
        </w:rPr>
      </w:pPr>
      <w:r w:rsidRPr="00D349EA">
        <w:rPr>
          <w:rFonts w:ascii="楷体" w:eastAsia="楷体" w:hAnsi="楷体" w:hint="eastAsia"/>
          <w:szCs w:val="21"/>
        </w:rPr>
        <w:t>寻求转型的钢企：南钢股份，</w:t>
      </w:r>
      <w:proofErr w:type="gramStart"/>
      <w:r w:rsidRPr="00D349EA">
        <w:rPr>
          <w:rFonts w:ascii="楷体" w:eastAsia="楷体" w:hAnsi="楷体" w:hint="eastAsia"/>
          <w:szCs w:val="21"/>
        </w:rPr>
        <w:t>酒钢宏兴</w:t>
      </w:r>
      <w:proofErr w:type="gramEnd"/>
      <w:r w:rsidRPr="00D349EA">
        <w:rPr>
          <w:rFonts w:ascii="楷体" w:eastAsia="楷体" w:hAnsi="楷体" w:hint="eastAsia"/>
          <w:szCs w:val="21"/>
        </w:rPr>
        <w:t>，新日恒力</w:t>
      </w:r>
    </w:p>
    <w:p w:rsidR="0088294A" w:rsidRDefault="00D349EA" w:rsidP="00270D81">
      <w:pPr>
        <w:spacing w:line="360" w:lineRule="auto"/>
        <w:ind w:rightChars="1000" w:right="2100" w:firstLine="360"/>
        <w:rPr>
          <w:rFonts w:ascii="楷体" w:eastAsia="楷体" w:hAnsi="楷体"/>
          <w:szCs w:val="21"/>
        </w:rPr>
      </w:pPr>
      <w:r w:rsidRPr="00D349EA">
        <w:rPr>
          <w:rFonts w:ascii="楷体" w:eastAsia="楷体" w:hAnsi="楷体" w:hint="eastAsia"/>
          <w:szCs w:val="21"/>
        </w:rPr>
        <w:t>风险压力大的企业：负债率高，流动性差，产品结构不佳，盈利能力弱的企业，例如八一钢铁，重庆钢铁，西宁特钢，</w:t>
      </w:r>
      <w:proofErr w:type="gramStart"/>
      <w:r w:rsidRPr="00D349EA">
        <w:rPr>
          <w:rFonts w:ascii="楷体" w:eastAsia="楷体" w:hAnsi="楷体" w:hint="eastAsia"/>
          <w:szCs w:val="21"/>
        </w:rPr>
        <w:t>韶</w:t>
      </w:r>
      <w:proofErr w:type="gramEnd"/>
      <w:r w:rsidRPr="00D349EA">
        <w:rPr>
          <w:rFonts w:ascii="楷体" w:eastAsia="楷体" w:hAnsi="楷体" w:hint="eastAsia"/>
          <w:szCs w:val="21"/>
        </w:rPr>
        <w:t>钢松山</w:t>
      </w:r>
    </w:p>
    <w:p w:rsidR="001E65EC" w:rsidRPr="00D349EA" w:rsidRDefault="001E65EC" w:rsidP="00D349EA">
      <w:pPr>
        <w:spacing w:line="360" w:lineRule="auto"/>
        <w:ind w:rightChars="1000" w:right="2100"/>
        <w:rPr>
          <w:rFonts w:ascii="楷体" w:eastAsia="楷体" w:hAnsi="楷体"/>
          <w:szCs w:val="21"/>
        </w:rPr>
      </w:pPr>
    </w:p>
    <w:p w:rsidR="00BB2FE5" w:rsidRPr="002E7483" w:rsidRDefault="00BB2FE5" w:rsidP="00603E16">
      <w:pPr>
        <w:pStyle w:val="aff2"/>
        <w:numPr>
          <w:ilvl w:val="0"/>
          <w:numId w:val="14"/>
        </w:numPr>
        <w:spacing w:line="360" w:lineRule="auto"/>
        <w:ind w:rightChars="1000" w:right="2100" w:firstLineChars="0"/>
        <w:rPr>
          <w:rFonts w:ascii="楷体" w:eastAsia="楷体" w:hAnsi="楷体"/>
          <w:b/>
          <w:color w:val="0070C0"/>
          <w:sz w:val="22"/>
          <w:szCs w:val="21"/>
        </w:rPr>
      </w:pPr>
      <w:r w:rsidRPr="002E7483">
        <w:rPr>
          <w:rFonts w:ascii="楷体" w:eastAsia="楷体" w:hAnsi="楷体"/>
          <w:b/>
          <w:color w:val="0070C0"/>
          <w:sz w:val="22"/>
          <w:szCs w:val="21"/>
        </w:rPr>
        <w:t>煤炭行业</w:t>
      </w:r>
    </w:p>
    <w:p w:rsidR="005143F4" w:rsidRPr="005143F4" w:rsidRDefault="005143F4" w:rsidP="005143F4">
      <w:pPr>
        <w:pStyle w:val="aff2"/>
        <w:numPr>
          <w:ilvl w:val="0"/>
          <w:numId w:val="23"/>
        </w:numPr>
        <w:spacing w:line="360" w:lineRule="auto"/>
        <w:ind w:rightChars="1000" w:right="2100" w:firstLineChars="0"/>
        <w:rPr>
          <w:rFonts w:ascii="楷体" w:eastAsia="楷体" w:hAnsi="楷体"/>
          <w:b/>
          <w:szCs w:val="21"/>
        </w:rPr>
      </w:pPr>
      <w:r>
        <w:rPr>
          <w:rFonts w:ascii="楷体" w:eastAsia="楷体" w:hAnsi="楷体" w:hint="eastAsia"/>
          <w:b/>
          <w:szCs w:val="21"/>
        </w:rPr>
        <w:t>产能利用情况</w:t>
      </w:r>
    </w:p>
    <w:p w:rsidR="005143F4" w:rsidRPr="00347225" w:rsidRDefault="005143F4" w:rsidP="005143F4">
      <w:pPr>
        <w:pStyle w:val="aff2"/>
        <w:numPr>
          <w:ilvl w:val="0"/>
          <w:numId w:val="24"/>
        </w:numPr>
        <w:spacing w:line="360" w:lineRule="auto"/>
        <w:ind w:rightChars="1000" w:right="2100" w:firstLineChars="0"/>
        <w:rPr>
          <w:rFonts w:ascii="楷体" w:eastAsia="楷体" w:hAnsi="楷体"/>
          <w:b/>
          <w:szCs w:val="21"/>
        </w:rPr>
      </w:pPr>
      <w:r w:rsidRPr="00347225">
        <w:rPr>
          <w:rFonts w:ascii="楷体" w:eastAsia="楷体" w:hAnsi="楷体" w:hint="eastAsia"/>
          <w:b/>
          <w:szCs w:val="21"/>
        </w:rPr>
        <w:t>全球煤炭进入下行周期：从“黑金”到“铁锈”</w:t>
      </w:r>
    </w:p>
    <w:p w:rsidR="005143F4" w:rsidRPr="00347225" w:rsidRDefault="005143F4" w:rsidP="005143F4">
      <w:pPr>
        <w:spacing w:line="360" w:lineRule="auto"/>
        <w:ind w:rightChars="1000" w:right="2100" w:firstLine="420"/>
        <w:rPr>
          <w:rFonts w:ascii="楷体" w:eastAsia="楷体" w:hAnsi="楷体"/>
          <w:szCs w:val="21"/>
        </w:rPr>
      </w:pPr>
      <w:r w:rsidRPr="00347225">
        <w:rPr>
          <w:rFonts w:ascii="楷体" w:eastAsia="楷体" w:hAnsi="楷体" w:hint="eastAsia"/>
          <w:szCs w:val="21"/>
        </w:rPr>
        <w:t>全球煤炭市场过剩。受全球金融危机、中国经济放缓以及能源结构调整等方面的冲击，产能过剩问题日益突出。截止2014年世界煤炭产量大约82亿</w:t>
      </w:r>
      <w:r w:rsidRPr="005143F4">
        <w:rPr>
          <w:rFonts w:ascii="楷体" w:eastAsia="楷体" w:hAnsi="楷体" w:hint="eastAsia"/>
          <w:szCs w:val="21"/>
        </w:rPr>
        <w:t>吨，需求量为75亿吨，其中，中国煤炭消费量全球份额达到51%，产量达47%，全球最大的煤炭市场。中国煤炭市场低迷导致全球煤炭市场景气度持续下滑。</w:t>
      </w:r>
    </w:p>
    <w:p w:rsidR="005143F4" w:rsidRDefault="005143F4" w:rsidP="005143F4">
      <w:pPr>
        <w:spacing w:line="360" w:lineRule="auto"/>
        <w:ind w:rightChars="1000" w:right="2100" w:firstLine="420"/>
        <w:rPr>
          <w:rFonts w:ascii="楷体" w:eastAsia="楷体" w:hAnsi="楷体"/>
          <w:szCs w:val="21"/>
        </w:rPr>
      </w:pPr>
      <w:r w:rsidRPr="00347225">
        <w:rPr>
          <w:rFonts w:ascii="楷体" w:eastAsia="楷体" w:hAnsi="楷体" w:hint="eastAsia"/>
          <w:szCs w:val="21"/>
        </w:rPr>
        <w:t>煤炭作为典型的产能过剩的行业，从2012年下半年结束黄金十年进入下行周期以来，价格不断下探，2015年尤甚，平均价格跌幅近30%，跌幅进一步扩大，价格基本跌回到十年前的水平。</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97"/>
        <w:gridCol w:w="286"/>
        <w:gridCol w:w="141"/>
        <w:gridCol w:w="143"/>
        <w:gridCol w:w="4838"/>
        <w:gridCol w:w="144"/>
      </w:tblGrid>
      <w:tr w:rsidR="005143F4" w:rsidRPr="00347225" w:rsidTr="00CA06C8">
        <w:trPr>
          <w:gridAfter w:val="1"/>
          <w:wAfter w:w="144" w:type="dxa"/>
          <w:trHeight w:hRule="exact" w:val="551"/>
          <w:jc w:val="center"/>
        </w:trPr>
        <w:tc>
          <w:tcPr>
            <w:tcW w:w="4697" w:type="dxa"/>
            <w:tcBorders>
              <w:top w:val="nil"/>
              <w:left w:val="nil"/>
              <w:bottom w:val="single" w:sz="8" w:space="0" w:color="005096"/>
              <w:right w:val="nil"/>
            </w:tcBorders>
            <w:vAlign w:val="bottom"/>
          </w:tcPr>
          <w:p w:rsidR="005143F4" w:rsidRPr="00347225" w:rsidRDefault="005143F4" w:rsidP="00CA06C8">
            <w:pPr>
              <w:spacing w:line="360" w:lineRule="exact"/>
              <w:rPr>
                <w:b/>
                <w:color w:val="005096"/>
                <w:sz w:val="18"/>
                <w:szCs w:val="20"/>
              </w:rPr>
            </w:pPr>
            <w:r>
              <w:rPr>
                <w:rFonts w:hint="eastAsia"/>
                <w:b/>
                <w:color w:val="005096"/>
                <w:sz w:val="18"/>
                <w:szCs w:val="20"/>
              </w:rPr>
              <w:t>图</w:t>
            </w:r>
            <w:r w:rsidRPr="00347225">
              <w:rPr>
                <w:rFonts w:hint="eastAsia"/>
                <w:b/>
                <w:color w:val="005096"/>
                <w:sz w:val="18"/>
                <w:szCs w:val="20"/>
              </w:rPr>
              <w:t xml:space="preserve"> </w:t>
            </w:r>
            <w:r>
              <w:rPr>
                <w:b/>
                <w:color w:val="005096"/>
                <w:sz w:val="18"/>
                <w:szCs w:val="20"/>
              </w:rPr>
              <w:t>20</w:t>
            </w:r>
            <w:r>
              <w:rPr>
                <w:rFonts w:hint="eastAsia"/>
                <w:b/>
                <w:color w:val="005096"/>
                <w:sz w:val="18"/>
                <w:szCs w:val="20"/>
              </w:rPr>
              <w:t>：</w:t>
            </w:r>
            <w:r w:rsidRPr="00347225">
              <w:rPr>
                <w:rFonts w:hint="eastAsia"/>
                <w:b/>
                <w:color w:val="005096"/>
                <w:sz w:val="18"/>
                <w:szCs w:val="20"/>
              </w:rPr>
              <w:t>全球煤炭供需概括（亿吨）</w:t>
            </w:r>
          </w:p>
        </w:tc>
        <w:tc>
          <w:tcPr>
            <w:tcW w:w="427" w:type="dxa"/>
            <w:gridSpan w:val="2"/>
            <w:tcBorders>
              <w:top w:val="nil"/>
              <w:left w:val="nil"/>
              <w:bottom w:val="nil"/>
              <w:right w:val="nil"/>
            </w:tcBorders>
            <w:vAlign w:val="bottom"/>
          </w:tcPr>
          <w:p w:rsidR="005143F4" w:rsidRPr="00347225" w:rsidRDefault="005143F4" w:rsidP="00CA06C8">
            <w:pPr>
              <w:spacing w:line="360" w:lineRule="exact"/>
              <w:rPr>
                <w:rFonts w:cs="Arial"/>
                <w:color w:val="005096"/>
                <w:sz w:val="18"/>
                <w:szCs w:val="18"/>
              </w:rPr>
            </w:pPr>
            <w:r w:rsidRPr="00347225">
              <w:rPr>
                <w:rFonts w:cs="Arial" w:hint="eastAsia"/>
                <w:color w:val="005096"/>
                <w:sz w:val="18"/>
                <w:szCs w:val="18"/>
              </w:rPr>
              <w:t xml:space="preserve">   </w:t>
            </w:r>
          </w:p>
          <w:p w:rsidR="005143F4" w:rsidRPr="00347225" w:rsidRDefault="005143F4" w:rsidP="00CA06C8">
            <w:pPr>
              <w:spacing w:line="360" w:lineRule="exact"/>
              <w:rPr>
                <w:rFonts w:cs="Arial"/>
                <w:color w:val="005096"/>
                <w:sz w:val="18"/>
                <w:szCs w:val="18"/>
              </w:rPr>
            </w:pPr>
          </w:p>
        </w:tc>
        <w:tc>
          <w:tcPr>
            <w:tcW w:w="4981" w:type="dxa"/>
            <w:gridSpan w:val="2"/>
            <w:tcBorders>
              <w:top w:val="nil"/>
              <w:left w:val="nil"/>
              <w:bottom w:val="single" w:sz="8" w:space="0" w:color="005096"/>
              <w:right w:val="nil"/>
            </w:tcBorders>
            <w:vAlign w:val="bottom"/>
            <w:hideMark/>
          </w:tcPr>
          <w:p w:rsidR="005143F4" w:rsidRPr="00347225" w:rsidRDefault="005143F4" w:rsidP="00CA06C8">
            <w:pPr>
              <w:spacing w:line="360" w:lineRule="exact"/>
              <w:rPr>
                <w:rFonts w:cs="Arial"/>
                <w:b/>
                <w:color w:val="005096"/>
                <w:sz w:val="18"/>
                <w:szCs w:val="18"/>
              </w:rPr>
            </w:pPr>
            <w:r>
              <w:rPr>
                <w:rFonts w:hint="eastAsia"/>
                <w:b/>
                <w:color w:val="005096"/>
                <w:sz w:val="18"/>
                <w:szCs w:val="20"/>
              </w:rPr>
              <w:t>图</w:t>
            </w:r>
            <w:r w:rsidRPr="00347225">
              <w:rPr>
                <w:rFonts w:hint="eastAsia"/>
                <w:b/>
                <w:color w:val="005096"/>
                <w:sz w:val="18"/>
                <w:szCs w:val="20"/>
              </w:rPr>
              <w:t xml:space="preserve"> </w:t>
            </w:r>
            <w:r>
              <w:rPr>
                <w:b/>
                <w:color w:val="005096"/>
                <w:sz w:val="18"/>
                <w:szCs w:val="20"/>
              </w:rPr>
              <w:t>21</w:t>
            </w:r>
            <w:r>
              <w:rPr>
                <w:rFonts w:hint="eastAsia"/>
                <w:b/>
                <w:color w:val="005096"/>
                <w:sz w:val="18"/>
                <w:szCs w:val="20"/>
              </w:rPr>
              <w:t>：</w:t>
            </w:r>
            <w:r w:rsidRPr="00347225">
              <w:rPr>
                <w:b/>
                <w:color w:val="005096"/>
                <w:sz w:val="18"/>
                <w:szCs w:val="20"/>
              </w:rPr>
              <w:t>国内和国际煤价走势</w:t>
            </w:r>
          </w:p>
        </w:tc>
      </w:tr>
      <w:tr w:rsidR="005143F4" w:rsidRPr="00347225" w:rsidTr="00CA06C8">
        <w:trPr>
          <w:trHeight w:hRule="exact" w:val="3027"/>
          <w:jc w:val="center"/>
        </w:trPr>
        <w:tc>
          <w:tcPr>
            <w:tcW w:w="4983" w:type="dxa"/>
            <w:gridSpan w:val="2"/>
            <w:tcBorders>
              <w:top w:val="single" w:sz="8" w:space="0" w:color="005096"/>
              <w:left w:val="nil"/>
              <w:bottom w:val="single" w:sz="8" w:space="0" w:color="005096"/>
              <w:right w:val="nil"/>
            </w:tcBorders>
            <w:hideMark/>
          </w:tcPr>
          <w:p w:rsidR="005143F4" w:rsidRPr="00347225" w:rsidRDefault="005143F4" w:rsidP="00CA06C8">
            <w:pPr>
              <w:autoSpaceDE w:val="0"/>
              <w:autoSpaceDN w:val="0"/>
              <w:ind w:leftChars="-86" w:hangingChars="86" w:hanging="181"/>
              <w:jc w:val="center"/>
              <w:rPr>
                <w:rFonts w:ascii="华文楷体" w:eastAsia="华文楷体" w:hAnsi="华文楷体"/>
                <w:b/>
                <w:sz w:val="24"/>
                <w:szCs w:val="22"/>
              </w:rPr>
            </w:pPr>
            <w:r w:rsidRPr="00347225">
              <w:rPr>
                <w:noProof/>
              </w:rPr>
              <w:drawing>
                <wp:inline distT="0" distB="0" distL="0" distR="0">
                  <wp:extent cx="3011805" cy="1807210"/>
                  <wp:effectExtent l="0" t="0" r="0" b="0"/>
                  <wp:docPr id="4" name="图表 12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284" w:type="dxa"/>
            <w:gridSpan w:val="2"/>
            <w:tcBorders>
              <w:top w:val="nil"/>
              <w:left w:val="nil"/>
              <w:bottom w:val="nil"/>
              <w:right w:val="nil"/>
            </w:tcBorders>
          </w:tcPr>
          <w:p w:rsidR="005143F4" w:rsidRPr="00347225" w:rsidRDefault="005143F4" w:rsidP="00CA06C8">
            <w:pPr>
              <w:widowControl/>
              <w:jc w:val="left"/>
              <w:rPr>
                <w:rFonts w:ascii="华文楷体" w:eastAsia="华文楷体" w:hAnsi="华文楷体"/>
                <w:szCs w:val="22"/>
              </w:rPr>
            </w:pPr>
            <w:r w:rsidRPr="00347225">
              <w:rPr>
                <w:rFonts w:ascii="华文楷体" w:eastAsia="华文楷体" w:hAnsi="华文楷体" w:hint="eastAsia"/>
                <w:szCs w:val="22"/>
              </w:rPr>
              <w:t xml:space="preserve"> </w:t>
            </w:r>
          </w:p>
        </w:tc>
        <w:tc>
          <w:tcPr>
            <w:tcW w:w="4982" w:type="dxa"/>
            <w:gridSpan w:val="2"/>
            <w:tcBorders>
              <w:top w:val="single" w:sz="8" w:space="0" w:color="005096"/>
              <w:left w:val="nil"/>
              <w:bottom w:val="single" w:sz="8" w:space="0" w:color="005096"/>
              <w:right w:val="nil"/>
            </w:tcBorders>
            <w:hideMark/>
          </w:tcPr>
          <w:p w:rsidR="005143F4" w:rsidRPr="00347225" w:rsidRDefault="005143F4" w:rsidP="00CA06C8">
            <w:pPr>
              <w:widowControl/>
              <w:ind w:leftChars="-85" w:hangingChars="85" w:hanging="178"/>
              <w:jc w:val="left"/>
              <w:rPr>
                <w:rFonts w:ascii="宋体" w:eastAsia="宋体" w:hAnsi="宋体" w:cs="宋体"/>
                <w:kern w:val="0"/>
                <w:sz w:val="24"/>
              </w:rPr>
            </w:pPr>
            <w:r>
              <w:rPr>
                <w:rFonts w:ascii="楷体" w:eastAsia="楷体" w:hAnsi="楷体"/>
                <w:noProof/>
                <w:szCs w:val="21"/>
              </w:rPr>
              <w:drawing>
                <wp:anchor distT="0" distB="0" distL="114300" distR="114300" simplePos="0" relativeHeight="251677184" behindDoc="0" locked="0" layoutInCell="1" allowOverlap="1">
                  <wp:simplePos x="0" y="0"/>
                  <wp:positionH relativeFrom="column">
                    <wp:posOffset>-15240</wp:posOffset>
                  </wp:positionH>
                  <wp:positionV relativeFrom="paragraph">
                    <wp:posOffset>12065</wp:posOffset>
                  </wp:positionV>
                  <wp:extent cx="3067050" cy="1826895"/>
                  <wp:effectExtent l="0" t="0" r="0" b="0"/>
                  <wp:wrapSquare wrapText="bothSides"/>
                  <wp:docPr id="5" name="图片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 name="98CCDB8.tmp"/>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7050" cy="1826895"/>
                          </a:xfrm>
                          <a:prstGeom prst="rect">
                            <a:avLst/>
                          </a:prstGeom>
                        </pic:spPr>
                      </pic:pic>
                    </a:graphicData>
                  </a:graphic>
                </wp:anchor>
              </w:drawing>
            </w:r>
          </w:p>
          <w:p w:rsidR="005143F4" w:rsidRPr="00347225" w:rsidRDefault="005143F4" w:rsidP="00CA06C8">
            <w:pPr>
              <w:jc w:val="center"/>
              <w:rPr>
                <w:rFonts w:ascii="华文楷体" w:eastAsia="华文楷体" w:hAnsi="华文楷体"/>
                <w:szCs w:val="22"/>
              </w:rPr>
            </w:pPr>
          </w:p>
        </w:tc>
      </w:tr>
    </w:tbl>
    <w:p w:rsidR="005143F4" w:rsidRPr="00347225" w:rsidRDefault="005143F4" w:rsidP="005143F4">
      <w:pPr>
        <w:spacing w:afterLines="50" w:line="360" w:lineRule="exact"/>
        <w:ind w:leftChars="-372" w:left="-781" w:firstLine="781"/>
        <w:rPr>
          <w:sz w:val="16"/>
          <w:szCs w:val="16"/>
        </w:rPr>
      </w:pPr>
      <w:r w:rsidRPr="00347225">
        <w:rPr>
          <w:rFonts w:hint="eastAsia"/>
          <w:sz w:val="16"/>
          <w:szCs w:val="16"/>
        </w:rPr>
        <w:t>资料来源：</w:t>
      </w:r>
      <w:r w:rsidRPr="00347225">
        <w:rPr>
          <w:rFonts w:hint="eastAsia"/>
          <w:sz w:val="16"/>
          <w:szCs w:val="16"/>
        </w:rPr>
        <w:t>WIND</w:t>
      </w:r>
      <w:r w:rsidRPr="00347225">
        <w:rPr>
          <w:rFonts w:hint="eastAsia"/>
          <w:sz w:val="16"/>
          <w:szCs w:val="16"/>
        </w:rPr>
        <w:t>，民生证券研究院</w:t>
      </w:r>
      <w:r w:rsidRPr="00347225">
        <w:rPr>
          <w:rFonts w:hint="eastAsia"/>
          <w:sz w:val="16"/>
          <w:szCs w:val="16"/>
        </w:rPr>
        <w:t xml:space="preserve">                     </w:t>
      </w:r>
      <w:r w:rsidRPr="00347225">
        <w:rPr>
          <w:sz w:val="16"/>
          <w:szCs w:val="16"/>
        </w:rPr>
        <w:t xml:space="preserve">            </w:t>
      </w:r>
      <w:r w:rsidRPr="00347225">
        <w:rPr>
          <w:rFonts w:hint="eastAsia"/>
          <w:sz w:val="16"/>
          <w:szCs w:val="16"/>
        </w:rPr>
        <w:t>资料来源：</w:t>
      </w:r>
      <w:r w:rsidRPr="00347225">
        <w:rPr>
          <w:rFonts w:hint="eastAsia"/>
          <w:sz w:val="16"/>
          <w:szCs w:val="16"/>
        </w:rPr>
        <w:t>WIND</w:t>
      </w:r>
      <w:r w:rsidRPr="00347225">
        <w:rPr>
          <w:rFonts w:hint="eastAsia"/>
          <w:sz w:val="16"/>
          <w:szCs w:val="16"/>
        </w:rPr>
        <w:t>，民生证券研究院</w:t>
      </w:r>
    </w:p>
    <w:p w:rsidR="005143F4" w:rsidRPr="00347225" w:rsidRDefault="005143F4" w:rsidP="005143F4">
      <w:pPr>
        <w:spacing w:line="360" w:lineRule="auto"/>
        <w:ind w:rightChars="1000" w:right="2100"/>
        <w:rPr>
          <w:rFonts w:ascii="楷体" w:eastAsia="楷体" w:hAnsi="楷体"/>
          <w:szCs w:val="21"/>
        </w:rPr>
      </w:pPr>
    </w:p>
    <w:p w:rsidR="005143F4" w:rsidRPr="00E211DE" w:rsidRDefault="005143F4" w:rsidP="005143F4">
      <w:pPr>
        <w:pStyle w:val="aff2"/>
        <w:numPr>
          <w:ilvl w:val="0"/>
          <w:numId w:val="24"/>
        </w:numPr>
        <w:spacing w:line="360" w:lineRule="auto"/>
        <w:ind w:rightChars="1000" w:right="2100" w:firstLineChars="0"/>
        <w:rPr>
          <w:rFonts w:ascii="楷体" w:eastAsia="楷体" w:hAnsi="楷体"/>
          <w:b/>
          <w:szCs w:val="21"/>
        </w:rPr>
      </w:pPr>
      <w:r w:rsidRPr="00E211DE">
        <w:rPr>
          <w:rFonts w:ascii="楷体" w:eastAsia="楷体" w:hAnsi="楷体" w:hint="eastAsia"/>
          <w:b/>
          <w:szCs w:val="21"/>
        </w:rPr>
        <w:t>供需失衡，煤炭行业成为“僵尸企业”的重灾区</w:t>
      </w:r>
    </w:p>
    <w:p w:rsidR="005143F4" w:rsidRPr="00E211DE" w:rsidRDefault="005143F4" w:rsidP="005143F4">
      <w:pPr>
        <w:spacing w:line="360" w:lineRule="auto"/>
        <w:ind w:rightChars="1000" w:right="2100" w:firstLine="420"/>
        <w:rPr>
          <w:rFonts w:ascii="楷体" w:eastAsia="楷体" w:hAnsi="楷体"/>
          <w:szCs w:val="21"/>
        </w:rPr>
      </w:pPr>
      <w:r w:rsidRPr="00E211DE">
        <w:rPr>
          <w:rFonts w:ascii="楷体" w:eastAsia="楷体" w:hAnsi="楷体" w:hint="eastAsia"/>
          <w:szCs w:val="21"/>
        </w:rPr>
        <w:t>供需失衡不断加剧，预计2015年国内煤炭供应量超过需求量4.2亿吨。产能过剩严重，价格不断下行，行业亏损严重，据统计，截止2015年底，行业超过80%的企业出现亏损。2015年前三季度，全国90家大型煤炭企业的利润只有9.7亿元，同比下降97.7%（去年同期盈利427亿元）；由财政部监测的国有及国有控股煤炭企业累计亏损28亿元（去年同期盈利398亿元）。</w:t>
      </w:r>
    </w:p>
    <w:p w:rsidR="005143F4" w:rsidRDefault="005143F4" w:rsidP="005143F4">
      <w:pPr>
        <w:spacing w:line="360" w:lineRule="auto"/>
        <w:ind w:rightChars="1000" w:right="2100" w:firstLine="420"/>
        <w:rPr>
          <w:rFonts w:ascii="楷体" w:eastAsia="楷体" w:hAnsi="楷体"/>
          <w:szCs w:val="21"/>
        </w:rPr>
      </w:pPr>
      <w:r w:rsidRPr="00E211DE">
        <w:rPr>
          <w:rFonts w:ascii="楷体" w:eastAsia="楷体" w:hAnsi="楷体" w:hint="eastAsia"/>
          <w:szCs w:val="21"/>
        </w:rPr>
        <w:t>煤炭行业以国有企业占主导，在煤炭企业上市公司中，国有企业的市值占整个煤炭上市企业市值的90%以上。不少大型煤炭国有煤炭集团负债率基本超过80%以上，是地方GDP</w:t>
      </w:r>
      <w:r w:rsidRPr="00E211DE">
        <w:rPr>
          <w:rFonts w:ascii="楷体" w:eastAsia="楷体" w:hAnsi="楷体" w:hint="eastAsia"/>
          <w:szCs w:val="21"/>
        </w:rPr>
        <w:lastRenderedPageBreak/>
        <w:t>的重要来源，在当地吸纳了大量的就业人口，承担了大量的社会负担。部分企业受人员安置和债务问题的掣肘，甚至出现亏损也不停产，煤炭行业可谓是“僵尸企业”的重灾区。</w:t>
      </w:r>
    </w:p>
    <w:tbl>
      <w:tblPr>
        <w:tblW w:w="7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5"/>
        <w:gridCol w:w="2237"/>
        <w:gridCol w:w="141"/>
      </w:tblGrid>
      <w:tr w:rsidR="005143F4" w:rsidRPr="00911BDE" w:rsidTr="00CA06C8">
        <w:trPr>
          <w:trHeight w:hRule="exact" w:val="454"/>
        </w:trPr>
        <w:tc>
          <w:tcPr>
            <w:tcW w:w="4675" w:type="dxa"/>
            <w:tcBorders>
              <w:top w:val="nil"/>
              <w:left w:val="nil"/>
              <w:bottom w:val="single" w:sz="8" w:space="0" w:color="005096"/>
              <w:right w:val="nil"/>
            </w:tcBorders>
            <w:vAlign w:val="bottom"/>
          </w:tcPr>
          <w:p w:rsidR="005143F4" w:rsidRPr="00911BDE" w:rsidRDefault="005143F4" w:rsidP="00CA06C8">
            <w:pPr>
              <w:spacing w:line="360" w:lineRule="exact"/>
              <w:rPr>
                <w:rFonts w:cs="Arial"/>
                <w:b/>
                <w:color w:val="005096"/>
                <w:sz w:val="18"/>
                <w:szCs w:val="18"/>
              </w:rPr>
            </w:pPr>
            <w:bookmarkStart w:id="3" w:name="_Toc437005889"/>
            <w:r w:rsidRPr="00911BDE">
              <w:rPr>
                <w:rFonts w:hint="eastAsia"/>
                <w:b/>
                <w:color w:val="005096"/>
                <w:sz w:val="18"/>
                <w:szCs w:val="20"/>
              </w:rPr>
              <w:t>图</w:t>
            </w:r>
            <w:r>
              <w:rPr>
                <w:rFonts w:hint="eastAsia"/>
                <w:b/>
                <w:color w:val="005096"/>
                <w:sz w:val="18"/>
                <w:szCs w:val="20"/>
              </w:rPr>
              <w:t xml:space="preserve"> 22</w:t>
            </w:r>
            <w:r>
              <w:rPr>
                <w:rFonts w:hint="eastAsia"/>
                <w:b/>
                <w:color w:val="005096"/>
                <w:sz w:val="18"/>
                <w:szCs w:val="20"/>
              </w:rPr>
              <w:t>：</w:t>
            </w:r>
            <w:r w:rsidRPr="005143F4">
              <w:rPr>
                <w:rFonts w:hint="eastAsia"/>
                <w:b/>
                <w:color w:val="005096"/>
                <w:sz w:val="18"/>
                <w:szCs w:val="20"/>
              </w:rPr>
              <w:t>中国</w:t>
            </w:r>
            <w:bookmarkEnd w:id="3"/>
            <w:r w:rsidRPr="005143F4">
              <w:rPr>
                <w:rFonts w:hint="eastAsia"/>
                <w:b/>
                <w:color w:val="005096"/>
                <w:sz w:val="18"/>
                <w:szCs w:val="20"/>
              </w:rPr>
              <w:t>煤炭市场供需格局（亿吨）</w:t>
            </w:r>
          </w:p>
        </w:tc>
        <w:tc>
          <w:tcPr>
            <w:tcW w:w="2378" w:type="dxa"/>
            <w:gridSpan w:val="2"/>
            <w:tcBorders>
              <w:top w:val="nil"/>
              <w:left w:val="nil"/>
              <w:bottom w:val="nil"/>
              <w:right w:val="nil"/>
            </w:tcBorders>
            <w:vAlign w:val="bottom"/>
          </w:tcPr>
          <w:p w:rsidR="005143F4" w:rsidRPr="00911BDE" w:rsidRDefault="005143F4" w:rsidP="00CA06C8">
            <w:pPr>
              <w:spacing w:line="360" w:lineRule="exact"/>
              <w:rPr>
                <w:rFonts w:cs="Arial"/>
                <w:b/>
                <w:color w:val="005096"/>
                <w:sz w:val="18"/>
                <w:szCs w:val="18"/>
              </w:rPr>
            </w:pPr>
          </w:p>
        </w:tc>
      </w:tr>
      <w:tr w:rsidR="005143F4" w:rsidRPr="00911BDE" w:rsidTr="00CA06C8">
        <w:trPr>
          <w:gridAfter w:val="1"/>
          <w:wAfter w:w="141" w:type="dxa"/>
          <w:trHeight w:hRule="exact" w:val="3276"/>
        </w:trPr>
        <w:tc>
          <w:tcPr>
            <w:tcW w:w="6912" w:type="dxa"/>
            <w:gridSpan w:val="2"/>
            <w:tcBorders>
              <w:top w:val="single" w:sz="8" w:space="0" w:color="005096"/>
              <w:left w:val="nil"/>
              <w:bottom w:val="single" w:sz="8" w:space="0" w:color="005096"/>
              <w:right w:val="nil"/>
            </w:tcBorders>
          </w:tcPr>
          <w:p w:rsidR="005143F4" w:rsidRPr="00911BDE" w:rsidRDefault="005143F4" w:rsidP="00CA06C8">
            <w:pPr>
              <w:autoSpaceDE w:val="0"/>
              <w:autoSpaceDN w:val="0"/>
              <w:jc w:val="center"/>
              <w:rPr>
                <w:rFonts w:ascii="华文楷体" w:eastAsia="华文楷体" w:hAnsi="华文楷体"/>
                <w:b/>
                <w:sz w:val="24"/>
                <w:szCs w:val="22"/>
              </w:rPr>
            </w:pPr>
            <w:r w:rsidRPr="00911BDE">
              <w:rPr>
                <w:noProof/>
              </w:rPr>
              <w:drawing>
                <wp:anchor distT="0" distB="0" distL="114300" distR="114300" simplePos="0" relativeHeight="251678208" behindDoc="1" locked="0" layoutInCell="1" allowOverlap="1">
                  <wp:simplePos x="0" y="0"/>
                  <wp:positionH relativeFrom="column">
                    <wp:posOffset>323215</wp:posOffset>
                  </wp:positionH>
                  <wp:positionV relativeFrom="paragraph">
                    <wp:posOffset>-1270</wp:posOffset>
                  </wp:positionV>
                  <wp:extent cx="3600450" cy="2127250"/>
                  <wp:effectExtent l="0" t="0" r="0" b="0"/>
                  <wp:wrapNone/>
                  <wp:docPr id="10" name="图表 12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tc>
      </w:tr>
    </w:tbl>
    <w:p w:rsidR="005143F4" w:rsidRPr="00911BDE" w:rsidRDefault="005143F4" w:rsidP="005143F4">
      <w:pPr>
        <w:spacing w:afterLines="50" w:line="360" w:lineRule="exact"/>
        <w:rPr>
          <w:sz w:val="16"/>
          <w:szCs w:val="16"/>
        </w:rPr>
      </w:pPr>
      <w:r w:rsidRPr="00911BDE">
        <w:rPr>
          <w:rFonts w:hint="eastAsia"/>
          <w:sz w:val="16"/>
          <w:szCs w:val="16"/>
        </w:rPr>
        <w:t>资料来源：</w:t>
      </w:r>
      <w:r w:rsidRPr="00911BDE">
        <w:rPr>
          <w:rFonts w:hint="eastAsia"/>
          <w:sz w:val="16"/>
          <w:szCs w:val="16"/>
        </w:rPr>
        <w:t>WIND</w:t>
      </w:r>
      <w:r w:rsidRPr="00911BDE">
        <w:rPr>
          <w:rFonts w:hint="eastAsia"/>
          <w:sz w:val="16"/>
          <w:szCs w:val="16"/>
        </w:rPr>
        <w:t>，民生证券研究院</w:t>
      </w:r>
    </w:p>
    <w:p w:rsidR="005143F4" w:rsidRDefault="005143F4" w:rsidP="005143F4">
      <w:pPr>
        <w:spacing w:line="360" w:lineRule="auto"/>
        <w:ind w:rightChars="1000" w:right="2100"/>
        <w:rPr>
          <w:rFonts w:ascii="楷体" w:eastAsia="楷体" w:hAnsi="楷体"/>
          <w:szCs w:val="21"/>
        </w:rPr>
      </w:pPr>
    </w:p>
    <w:p w:rsidR="005143F4" w:rsidRPr="005143F4" w:rsidRDefault="005143F4" w:rsidP="005143F4">
      <w:pPr>
        <w:pStyle w:val="aff2"/>
        <w:numPr>
          <w:ilvl w:val="0"/>
          <w:numId w:val="23"/>
        </w:numPr>
        <w:spacing w:line="360" w:lineRule="auto"/>
        <w:ind w:rightChars="1000" w:right="2100" w:firstLineChars="0"/>
        <w:rPr>
          <w:rFonts w:ascii="楷体" w:eastAsia="楷体" w:hAnsi="楷体"/>
          <w:b/>
          <w:szCs w:val="21"/>
        </w:rPr>
      </w:pPr>
      <w:r w:rsidRPr="005143F4">
        <w:rPr>
          <w:rFonts w:ascii="楷体" w:eastAsia="楷体" w:hAnsi="楷体" w:hint="eastAsia"/>
          <w:b/>
          <w:szCs w:val="21"/>
        </w:rPr>
        <w:t>煤炭业98年去产能回顾：历时</w:t>
      </w:r>
      <w:r w:rsidRPr="005143F4">
        <w:rPr>
          <w:rFonts w:ascii="楷体" w:eastAsia="楷体" w:hAnsi="楷体"/>
          <w:b/>
          <w:szCs w:val="21"/>
        </w:rPr>
        <w:t>3</w:t>
      </w:r>
      <w:r w:rsidRPr="005143F4">
        <w:rPr>
          <w:rFonts w:ascii="楷体" w:eastAsia="楷体" w:hAnsi="楷体" w:hint="eastAsia"/>
          <w:b/>
          <w:szCs w:val="21"/>
        </w:rPr>
        <w:t>年，行业景气度迎来反转。</w:t>
      </w:r>
    </w:p>
    <w:p w:rsidR="005143F4" w:rsidRDefault="005143F4" w:rsidP="005143F4">
      <w:pPr>
        <w:spacing w:line="360" w:lineRule="auto"/>
        <w:ind w:rightChars="1000" w:right="2100"/>
        <w:rPr>
          <w:rFonts w:ascii="楷体" w:eastAsia="楷体" w:hAnsi="楷体"/>
          <w:szCs w:val="21"/>
        </w:rPr>
      </w:pPr>
    </w:p>
    <w:p w:rsidR="005143F4" w:rsidRPr="00EB54C5" w:rsidRDefault="005143F4" w:rsidP="005143F4">
      <w:pPr>
        <w:pStyle w:val="aff2"/>
        <w:numPr>
          <w:ilvl w:val="0"/>
          <w:numId w:val="28"/>
        </w:numPr>
        <w:spacing w:line="360" w:lineRule="auto"/>
        <w:ind w:rightChars="1000" w:right="2100" w:firstLineChars="0"/>
        <w:rPr>
          <w:rFonts w:ascii="楷体" w:eastAsia="楷体" w:hAnsi="楷体"/>
          <w:b/>
          <w:szCs w:val="21"/>
        </w:rPr>
      </w:pPr>
      <w:r w:rsidRPr="00EB54C5">
        <w:rPr>
          <w:rFonts w:ascii="楷体" w:eastAsia="楷体" w:hAnsi="楷体" w:hint="eastAsia"/>
          <w:b/>
          <w:szCs w:val="21"/>
        </w:rPr>
        <w:t>九十年代煤炭去产能的背景：社会商品全面过剩叠加洪涝灾害</w:t>
      </w:r>
    </w:p>
    <w:p w:rsidR="005143F4" w:rsidRDefault="005143F4" w:rsidP="005143F4">
      <w:pPr>
        <w:spacing w:line="360" w:lineRule="auto"/>
        <w:ind w:rightChars="1000" w:right="2100" w:firstLine="420"/>
        <w:rPr>
          <w:rFonts w:ascii="楷体" w:eastAsia="楷体" w:hAnsi="楷体"/>
          <w:szCs w:val="21"/>
        </w:rPr>
      </w:pPr>
      <w:r w:rsidRPr="00EB54C5">
        <w:rPr>
          <w:rFonts w:ascii="楷体" w:eastAsia="楷体" w:hAnsi="楷体" w:hint="eastAsia"/>
          <w:szCs w:val="21"/>
        </w:rPr>
        <w:t>中国经济在保持较长时间发展之后，到1997年下半年，社会商品出现全面的过剩，特别是亚洲金融危机的冲击，中国经济增速开始放缓，中国GDP增速从1996年的9.6%下降到1997年的8.8 %，1998年GDP增速进一步减缓，加之1998年发生特大洪涝灾害，部分的电厂的负荷率不足30%，导致煤炭需求的下滑，供需失衡问题开始凸显。</w:t>
      </w:r>
    </w:p>
    <w:p w:rsidR="005143F4" w:rsidRDefault="005143F4" w:rsidP="005143F4">
      <w:pPr>
        <w:spacing w:line="360" w:lineRule="auto"/>
        <w:ind w:rightChars="1000" w:right="2100"/>
        <w:rPr>
          <w:rFonts w:ascii="楷体" w:eastAsia="楷体" w:hAnsi="楷体"/>
          <w:szCs w:val="21"/>
        </w:rPr>
      </w:pPr>
    </w:p>
    <w:p w:rsidR="005143F4" w:rsidRPr="00EB54C5" w:rsidRDefault="005143F4" w:rsidP="005143F4">
      <w:pPr>
        <w:pStyle w:val="aff2"/>
        <w:numPr>
          <w:ilvl w:val="0"/>
          <w:numId w:val="28"/>
        </w:numPr>
        <w:spacing w:line="360" w:lineRule="auto"/>
        <w:ind w:rightChars="1000" w:right="2100" w:firstLineChars="0"/>
        <w:rPr>
          <w:rFonts w:ascii="楷体" w:eastAsia="楷体" w:hAnsi="楷体"/>
          <w:b/>
          <w:szCs w:val="21"/>
        </w:rPr>
      </w:pPr>
      <w:r w:rsidRPr="00EB54C5">
        <w:rPr>
          <w:rFonts w:ascii="楷体" w:eastAsia="楷体" w:hAnsi="楷体" w:hint="eastAsia"/>
          <w:b/>
          <w:szCs w:val="21"/>
        </w:rPr>
        <w:t>煤炭去产能以建立现代企业制度为目标</w:t>
      </w:r>
    </w:p>
    <w:p w:rsidR="005143F4" w:rsidRPr="00C316C2" w:rsidRDefault="005143F4" w:rsidP="005143F4">
      <w:pPr>
        <w:spacing w:line="360" w:lineRule="auto"/>
        <w:ind w:rightChars="1000" w:right="2100" w:firstLine="420"/>
        <w:rPr>
          <w:rFonts w:ascii="楷体" w:eastAsia="楷体" w:hAnsi="楷体"/>
          <w:szCs w:val="21"/>
        </w:rPr>
      </w:pPr>
      <w:r w:rsidRPr="00C316C2">
        <w:rPr>
          <w:rFonts w:ascii="楷体" w:eastAsia="楷体" w:hAnsi="楷体" w:hint="eastAsia"/>
          <w:szCs w:val="21"/>
        </w:rPr>
        <w:t xml:space="preserve">1998年年底，国家对煤炭产业结构进行了一次 重大调整，以建立现代企业制度为目标的公司制改革全面展开，压缩过剩产能，帮助煤炭国有企业脱困。 </w:t>
      </w:r>
    </w:p>
    <w:p w:rsidR="005143F4" w:rsidRPr="00C316C2" w:rsidRDefault="005143F4" w:rsidP="005143F4">
      <w:pPr>
        <w:spacing w:line="360" w:lineRule="auto"/>
        <w:ind w:rightChars="1000" w:right="2100" w:firstLine="420"/>
        <w:rPr>
          <w:rFonts w:ascii="楷体" w:eastAsia="楷体" w:hAnsi="楷体"/>
          <w:szCs w:val="21"/>
        </w:rPr>
      </w:pPr>
      <w:r w:rsidRPr="00C316C2">
        <w:rPr>
          <w:rFonts w:ascii="楷体" w:eastAsia="楷体" w:hAnsi="楷体" w:hint="eastAsia"/>
          <w:szCs w:val="21"/>
        </w:rPr>
        <w:t>国内原煤生产总量下降，煤炭社会库存大幅度下降，煤炭供需关系出现基本平衡。1998年底，国务院决定关闭非法和布局不合理煤矿，到2000年底，全国已累计关闭各类小煤矿4.7万处、压产3.5亿吨，对落后的产能进行了大规模的出清。据资料，2000年全国生产原煤9.98亿吨，比1997年减少3.27亿吨，下降24.7%。2000年底，全国煤炭社会库存1.4亿吨，比1997年底减少0.6亿吨，其中煤矿库存由1997年底的0.95亿吨减少到2000年底的0.53亿吨。</w:t>
      </w:r>
    </w:p>
    <w:p w:rsidR="005143F4" w:rsidRDefault="005143F4" w:rsidP="005143F4">
      <w:pPr>
        <w:spacing w:line="360" w:lineRule="auto"/>
        <w:ind w:rightChars="1000" w:right="2100" w:firstLine="420"/>
        <w:rPr>
          <w:rFonts w:ascii="楷体" w:eastAsia="楷体" w:hAnsi="楷体"/>
          <w:szCs w:val="21"/>
        </w:rPr>
      </w:pPr>
      <w:r w:rsidRPr="00C316C2">
        <w:rPr>
          <w:rFonts w:ascii="楷体" w:eastAsia="楷体" w:hAnsi="楷体" w:hint="eastAsia"/>
          <w:szCs w:val="21"/>
        </w:rPr>
        <w:t xml:space="preserve">历时近3年的煤炭行业去产能，整个行业的盈利状况得到大幅改善。2001年煤炭全行业扭转了连续多年的亏损局面，实现利润41.7亿元。其中，国有及国有控股煤炭企业实现利润28.9亿元，同比减亏增盈31.9亿元。 </w:t>
      </w:r>
    </w:p>
    <w:p w:rsidR="005143F4" w:rsidRPr="00D22E36" w:rsidRDefault="005143F4" w:rsidP="005143F4">
      <w:pPr>
        <w:spacing w:line="360" w:lineRule="exact"/>
        <w:rPr>
          <w:b/>
          <w:color w:val="005096"/>
          <w:sz w:val="18"/>
          <w:szCs w:val="20"/>
        </w:rPr>
      </w:pPr>
      <w:r w:rsidRPr="00D22E36">
        <w:rPr>
          <w:rFonts w:hint="eastAsia"/>
          <w:b/>
          <w:color w:val="005096"/>
          <w:sz w:val="18"/>
          <w:szCs w:val="20"/>
        </w:rPr>
        <w:lastRenderedPageBreak/>
        <w:t>表</w:t>
      </w:r>
      <w:r>
        <w:rPr>
          <w:b/>
          <w:color w:val="005096"/>
          <w:sz w:val="18"/>
          <w:szCs w:val="20"/>
        </w:rPr>
        <w:t xml:space="preserve"> 6</w:t>
      </w:r>
      <w:r>
        <w:rPr>
          <w:rFonts w:hint="eastAsia"/>
          <w:b/>
          <w:color w:val="005096"/>
          <w:sz w:val="18"/>
          <w:szCs w:val="20"/>
        </w:rPr>
        <w:t>：</w:t>
      </w:r>
      <w:r w:rsidRPr="00D22E36">
        <w:rPr>
          <w:rFonts w:hint="eastAsia"/>
          <w:b/>
          <w:color w:val="005096"/>
          <w:sz w:val="18"/>
          <w:szCs w:val="20"/>
        </w:rPr>
        <w:t xml:space="preserve"> </w:t>
      </w:r>
      <w:r w:rsidRPr="00D22E36">
        <w:rPr>
          <w:b/>
          <w:color w:val="005096"/>
          <w:sz w:val="18"/>
          <w:szCs w:val="20"/>
        </w:rPr>
        <w:t xml:space="preserve"> </w:t>
      </w:r>
      <w:r w:rsidRPr="005143F4">
        <w:rPr>
          <w:rFonts w:hint="eastAsia"/>
          <w:b/>
          <w:color w:val="005096"/>
          <w:sz w:val="18"/>
          <w:szCs w:val="20"/>
        </w:rPr>
        <w:t>九十年代煤炭行业去产能的相关政策文件</w:t>
      </w:r>
    </w:p>
    <w:tbl>
      <w:tblPr>
        <w:tblW w:w="8885" w:type="dxa"/>
        <w:tblLook w:val="04A0"/>
      </w:tblPr>
      <w:tblGrid>
        <w:gridCol w:w="5245"/>
        <w:gridCol w:w="3640"/>
      </w:tblGrid>
      <w:tr w:rsidR="005143F4" w:rsidRPr="00D22E36" w:rsidTr="00CA06C8">
        <w:trPr>
          <w:trHeight w:val="188"/>
        </w:trPr>
        <w:tc>
          <w:tcPr>
            <w:tcW w:w="5245" w:type="dxa"/>
            <w:tcBorders>
              <w:top w:val="single" w:sz="4" w:space="0" w:color="4F81BD"/>
              <w:left w:val="nil"/>
              <w:bottom w:val="single" w:sz="4" w:space="0" w:color="4F81BD"/>
              <w:right w:val="nil"/>
            </w:tcBorders>
            <w:shd w:val="clear" w:color="auto" w:fill="auto"/>
            <w:vAlign w:val="center"/>
            <w:hideMark/>
          </w:tcPr>
          <w:p w:rsidR="005143F4" w:rsidRPr="00D22E36" w:rsidRDefault="005143F4" w:rsidP="00CA06C8">
            <w:pPr>
              <w:widowControl/>
              <w:spacing w:before="50" w:after="50" w:line="200" w:lineRule="atLeast"/>
              <w:jc w:val="left"/>
              <w:rPr>
                <w:rFonts w:ascii="华文楷体" w:eastAsia="华文楷体" w:hAnsi="华文楷体" w:cs="宋体"/>
                <w:b/>
                <w:bCs/>
                <w:color w:val="1F497D"/>
                <w:kern w:val="0"/>
                <w:sz w:val="18"/>
                <w:szCs w:val="16"/>
              </w:rPr>
            </w:pPr>
            <w:r w:rsidRPr="00D22E36">
              <w:rPr>
                <w:rFonts w:ascii="华文楷体" w:eastAsia="华文楷体" w:hAnsi="华文楷体" w:cs="宋体" w:hint="eastAsia"/>
                <w:b/>
                <w:bCs/>
                <w:color w:val="1F497D"/>
                <w:kern w:val="0"/>
                <w:sz w:val="18"/>
                <w:szCs w:val="16"/>
              </w:rPr>
              <w:t>相关政策、文件</w:t>
            </w:r>
          </w:p>
        </w:tc>
        <w:tc>
          <w:tcPr>
            <w:tcW w:w="3640" w:type="dxa"/>
            <w:tcBorders>
              <w:top w:val="single" w:sz="4" w:space="0" w:color="4F81BD"/>
              <w:left w:val="nil"/>
              <w:bottom w:val="single" w:sz="4" w:space="0" w:color="4F81BD"/>
              <w:right w:val="nil"/>
            </w:tcBorders>
            <w:shd w:val="clear" w:color="auto" w:fill="auto"/>
            <w:vAlign w:val="center"/>
            <w:hideMark/>
          </w:tcPr>
          <w:p w:rsidR="005143F4" w:rsidRPr="00D22E36" w:rsidRDefault="005143F4" w:rsidP="00CA06C8">
            <w:pPr>
              <w:widowControl/>
              <w:spacing w:before="50" w:after="50" w:line="200" w:lineRule="atLeast"/>
              <w:jc w:val="left"/>
              <w:rPr>
                <w:rFonts w:ascii="华文楷体" w:eastAsia="华文楷体" w:hAnsi="华文楷体" w:cs="宋体"/>
                <w:b/>
                <w:bCs/>
                <w:color w:val="1F497D"/>
                <w:kern w:val="0"/>
                <w:sz w:val="18"/>
                <w:szCs w:val="16"/>
              </w:rPr>
            </w:pPr>
            <w:r w:rsidRPr="00D22E36">
              <w:rPr>
                <w:rFonts w:ascii="华文楷体" w:eastAsia="华文楷体" w:hAnsi="华文楷体" w:cs="宋体" w:hint="eastAsia"/>
                <w:b/>
                <w:bCs/>
                <w:color w:val="1F497D"/>
                <w:kern w:val="0"/>
                <w:sz w:val="18"/>
                <w:szCs w:val="16"/>
              </w:rPr>
              <w:t>内容</w:t>
            </w:r>
          </w:p>
        </w:tc>
      </w:tr>
      <w:tr w:rsidR="005143F4" w:rsidRPr="00D22E36" w:rsidTr="00CA06C8">
        <w:trPr>
          <w:trHeight w:val="376"/>
        </w:trPr>
        <w:tc>
          <w:tcPr>
            <w:tcW w:w="5245" w:type="dxa"/>
            <w:tcBorders>
              <w:top w:val="nil"/>
              <w:left w:val="nil"/>
              <w:bottom w:val="nil"/>
              <w:right w:val="nil"/>
            </w:tcBorders>
            <w:shd w:val="clear" w:color="DCE6F1" w:fill="DCE6F1"/>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1998年12月，国务院颁发的国办（1998）43号文即《关于关闭非法和布局不合理煤矿有关问题的通知》。</w:t>
            </w:r>
          </w:p>
        </w:tc>
        <w:tc>
          <w:tcPr>
            <w:tcW w:w="3640" w:type="dxa"/>
            <w:tcBorders>
              <w:top w:val="nil"/>
              <w:left w:val="nil"/>
              <w:bottom w:val="nil"/>
              <w:right w:val="nil"/>
            </w:tcBorders>
            <w:shd w:val="clear" w:color="DCE6F1" w:fill="DCE6F1"/>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该《通知》要求煤炭行业关井压产。到1999年底，关井2.58 万处，压产2.5亿t，即1999年全国的原煤产量控制目标为11亿t。</w:t>
            </w:r>
          </w:p>
        </w:tc>
      </w:tr>
      <w:tr w:rsidR="005143F4" w:rsidRPr="00D22E36" w:rsidTr="00CA06C8">
        <w:trPr>
          <w:trHeight w:val="188"/>
        </w:trPr>
        <w:tc>
          <w:tcPr>
            <w:tcW w:w="5245" w:type="dxa"/>
            <w:tcBorders>
              <w:top w:val="nil"/>
              <w:left w:val="nil"/>
              <w:bottom w:val="nil"/>
              <w:right w:val="nil"/>
            </w:tcBorders>
            <w:shd w:val="clear" w:color="auto" w:fill="auto"/>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1999年12月，国家经贸委下发《关于下达2000年原煤生产总量控制目标通知》。</w:t>
            </w:r>
          </w:p>
        </w:tc>
        <w:tc>
          <w:tcPr>
            <w:tcW w:w="3640" w:type="dxa"/>
            <w:tcBorders>
              <w:top w:val="nil"/>
              <w:left w:val="nil"/>
              <w:bottom w:val="nil"/>
              <w:right w:val="nil"/>
            </w:tcBorders>
            <w:shd w:val="clear" w:color="auto" w:fill="auto"/>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确定2000年全国原煤产量控制目标为8.7亿t，并要求层层分解指标。</w:t>
            </w:r>
          </w:p>
        </w:tc>
      </w:tr>
      <w:tr w:rsidR="005143F4" w:rsidRPr="00D22E36" w:rsidTr="00CA06C8">
        <w:trPr>
          <w:trHeight w:val="376"/>
        </w:trPr>
        <w:tc>
          <w:tcPr>
            <w:tcW w:w="5245" w:type="dxa"/>
            <w:tcBorders>
              <w:top w:val="nil"/>
              <w:left w:val="nil"/>
              <w:bottom w:val="nil"/>
              <w:right w:val="nil"/>
            </w:tcBorders>
            <w:shd w:val="clear" w:color="DCE6F1" w:fill="DCE6F1"/>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2001年1月，国家经贸委下发《关于2001年煤炭行业总量调控和关井压产工作的的通知 》。</w:t>
            </w:r>
          </w:p>
        </w:tc>
        <w:tc>
          <w:tcPr>
            <w:tcW w:w="3640" w:type="dxa"/>
            <w:tcBorders>
              <w:top w:val="nil"/>
              <w:left w:val="nil"/>
              <w:bottom w:val="nil"/>
              <w:right w:val="nil"/>
            </w:tcBorders>
            <w:shd w:val="clear" w:color="DCE6F1" w:fill="DCE6F1"/>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确定2001年全国原煤产量控制目标为</w:t>
            </w:r>
            <w:proofErr w:type="gramStart"/>
            <w:r w:rsidRPr="00D22E36">
              <w:rPr>
                <w:rFonts w:ascii="华文楷体" w:eastAsia="华文楷体" w:hAnsi="华文楷体" w:cs="宋体" w:hint="eastAsia"/>
                <w:color w:val="1F497D"/>
                <w:kern w:val="0"/>
                <w:sz w:val="18"/>
                <w:szCs w:val="16"/>
              </w:rPr>
              <w:t>为</w:t>
            </w:r>
            <w:proofErr w:type="gramEnd"/>
            <w:r w:rsidRPr="00D22E36">
              <w:rPr>
                <w:rFonts w:ascii="华文楷体" w:eastAsia="华文楷体" w:hAnsi="华文楷体" w:cs="宋体" w:hint="eastAsia"/>
                <w:color w:val="1F497D"/>
                <w:kern w:val="0"/>
                <w:sz w:val="18"/>
                <w:szCs w:val="16"/>
              </w:rPr>
              <w:t>9.5亿t，并提出要关闭国有煤矿的矿办小井和</w:t>
            </w:r>
            <w:proofErr w:type="gramStart"/>
            <w:r w:rsidRPr="00D22E36">
              <w:rPr>
                <w:rFonts w:ascii="华文楷体" w:eastAsia="华文楷体" w:hAnsi="华文楷体" w:cs="宋体" w:hint="eastAsia"/>
                <w:color w:val="1F497D"/>
                <w:kern w:val="0"/>
                <w:sz w:val="18"/>
                <w:szCs w:val="16"/>
              </w:rPr>
              <w:t>要</w:t>
            </w:r>
            <w:proofErr w:type="gramEnd"/>
            <w:r w:rsidRPr="00D22E36">
              <w:rPr>
                <w:rFonts w:ascii="华文楷体" w:eastAsia="华文楷体" w:hAnsi="华文楷体" w:cs="宋体" w:hint="eastAsia"/>
                <w:color w:val="1F497D"/>
                <w:kern w:val="0"/>
                <w:sz w:val="18"/>
                <w:szCs w:val="16"/>
              </w:rPr>
              <w:t xml:space="preserve"> 继续关井压产。</w:t>
            </w:r>
          </w:p>
        </w:tc>
      </w:tr>
      <w:tr w:rsidR="005143F4" w:rsidRPr="00D22E36" w:rsidTr="00CA06C8">
        <w:trPr>
          <w:trHeight w:val="376"/>
        </w:trPr>
        <w:tc>
          <w:tcPr>
            <w:tcW w:w="5245" w:type="dxa"/>
            <w:tcBorders>
              <w:top w:val="nil"/>
              <w:left w:val="nil"/>
              <w:bottom w:val="nil"/>
              <w:right w:val="nil"/>
            </w:tcBorders>
            <w:shd w:val="clear" w:color="auto" w:fill="auto"/>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 xml:space="preserve"> 2000年国家有关部门制定了做好矿山企业关闭破产的政策规定和 操作办法。</w:t>
            </w:r>
          </w:p>
        </w:tc>
        <w:tc>
          <w:tcPr>
            <w:tcW w:w="3640" w:type="dxa"/>
            <w:tcBorders>
              <w:top w:val="nil"/>
              <w:left w:val="nil"/>
              <w:bottom w:val="nil"/>
              <w:right w:val="nil"/>
            </w:tcBorders>
            <w:shd w:val="clear" w:color="auto" w:fill="auto"/>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国家煤炭工业局提出了破产14个国有重点煤炭企业、关 闭40个国有重点煤矿的“1440”工程。</w:t>
            </w:r>
          </w:p>
        </w:tc>
      </w:tr>
      <w:tr w:rsidR="005143F4" w:rsidRPr="00D22E36" w:rsidTr="00CA06C8">
        <w:trPr>
          <w:trHeight w:val="566"/>
        </w:trPr>
        <w:tc>
          <w:tcPr>
            <w:tcW w:w="5245" w:type="dxa"/>
            <w:tcBorders>
              <w:top w:val="nil"/>
              <w:left w:val="nil"/>
              <w:bottom w:val="nil"/>
              <w:right w:val="nil"/>
            </w:tcBorders>
            <w:shd w:val="clear" w:color="DCE6F1" w:fill="DCE6F1"/>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2001年6月，国务院办公厅发出《关于做好关闭国有煤矿矿办小井和乡镇煤矿停产整顿 的紧急通知》的25号明电。</w:t>
            </w:r>
          </w:p>
        </w:tc>
        <w:tc>
          <w:tcPr>
            <w:tcW w:w="3640" w:type="dxa"/>
            <w:tcBorders>
              <w:top w:val="nil"/>
              <w:left w:val="nil"/>
              <w:bottom w:val="nil"/>
              <w:right w:val="nil"/>
            </w:tcBorders>
            <w:shd w:val="clear" w:color="DCE6F1" w:fill="DCE6F1"/>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凡国有煤矿矿区内的小煤矿，一律予以关闭；凡采矿许可 证、煤炭生产许可证、营业执照和矿长资格证（简称“四证”）不全的，一律关闭等。</w:t>
            </w:r>
          </w:p>
        </w:tc>
      </w:tr>
      <w:tr w:rsidR="005143F4" w:rsidRPr="00D22E36" w:rsidTr="00CA06C8">
        <w:trPr>
          <w:trHeight w:val="376"/>
        </w:trPr>
        <w:tc>
          <w:tcPr>
            <w:tcW w:w="5245" w:type="dxa"/>
            <w:tcBorders>
              <w:top w:val="nil"/>
              <w:left w:val="nil"/>
              <w:bottom w:val="nil"/>
              <w:right w:val="nil"/>
            </w:tcBorders>
            <w:shd w:val="clear" w:color="auto" w:fill="auto"/>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2001年9月，国务院办公厅发出《关于进一步做好关闭整顿小煤矿和煤矿安全生产工作的通知》。</w:t>
            </w:r>
          </w:p>
        </w:tc>
        <w:tc>
          <w:tcPr>
            <w:tcW w:w="3640" w:type="dxa"/>
            <w:tcBorders>
              <w:top w:val="nil"/>
              <w:left w:val="nil"/>
              <w:bottom w:val="nil"/>
              <w:right w:val="nil"/>
            </w:tcBorders>
            <w:shd w:val="clear" w:color="auto" w:fill="auto"/>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《通知》在要求加快小煤矿“四个一律关闭”的关闭进度同时，从加强行政监管 方面出台了新措施。</w:t>
            </w:r>
          </w:p>
        </w:tc>
      </w:tr>
      <w:tr w:rsidR="005143F4" w:rsidRPr="00D22E36" w:rsidTr="00CA06C8">
        <w:trPr>
          <w:trHeight w:val="136"/>
        </w:trPr>
        <w:tc>
          <w:tcPr>
            <w:tcW w:w="5245" w:type="dxa"/>
            <w:tcBorders>
              <w:top w:val="nil"/>
              <w:left w:val="nil"/>
              <w:bottom w:val="single" w:sz="4" w:space="0" w:color="4F81BD"/>
              <w:right w:val="nil"/>
            </w:tcBorders>
            <w:shd w:val="clear" w:color="DCE6F1" w:fill="DCE6F1"/>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2001年，国家经贸委发布了《煤炭工业“十五”规划》。</w:t>
            </w:r>
          </w:p>
        </w:tc>
        <w:tc>
          <w:tcPr>
            <w:tcW w:w="3640" w:type="dxa"/>
            <w:tcBorders>
              <w:top w:val="nil"/>
              <w:left w:val="nil"/>
              <w:bottom w:val="single" w:sz="4" w:space="0" w:color="4F81BD"/>
              <w:right w:val="nil"/>
            </w:tcBorders>
            <w:shd w:val="clear" w:color="DCE6F1" w:fill="DCE6F1"/>
            <w:vAlign w:val="center"/>
            <w:hideMark/>
          </w:tcPr>
          <w:p w:rsidR="005143F4" w:rsidRPr="00D22E36"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D22E36">
              <w:rPr>
                <w:rFonts w:ascii="华文楷体" w:eastAsia="华文楷体" w:hAnsi="华文楷体" w:cs="宋体" w:hint="eastAsia"/>
                <w:color w:val="1F497D"/>
                <w:kern w:val="0"/>
                <w:sz w:val="18"/>
                <w:szCs w:val="16"/>
              </w:rPr>
              <w:t>“十五”时期 要通过实施大集团、科教兴煤、洁净煤技术开发与应用和综合经营四大战略和四类最小井型 规模限制</w:t>
            </w:r>
          </w:p>
        </w:tc>
      </w:tr>
    </w:tbl>
    <w:p w:rsidR="005143F4" w:rsidRPr="00D22E36" w:rsidRDefault="005143F4" w:rsidP="005143F4">
      <w:pPr>
        <w:spacing w:afterLines="50" w:line="360" w:lineRule="exact"/>
        <w:rPr>
          <w:sz w:val="16"/>
          <w:szCs w:val="16"/>
        </w:rPr>
      </w:pPr>
      <w:r w:rsidRPr="00D22E36">
        <w:rPr>
          <w:rFonts w:hint="eastAsia"/>
          <w:sz w:val="16"/>
          <w:szCs w:val="16"/>
        </w:rPr>
        <w:t>资料来源：民生证券研究院</w:t>
      </w:r>
      <w:r w:rsidRPr="00D22E36">
        <w:rPr>
          <w:rFonts w:hint="eastAsia"/>
          <w:sz w:val="16"/>
          <w:szCs w:val="16"/>
        </w:rPr>
        <w:t xml:space="preserve">  </w:t>
      </w:r>
    </w:p>
    <w:p w:rsidR="005143F4" w:rsidRPr="00D22E36" w:rsidRDefault="005143F4" w:rsidP="005143F4">
      <w:pPr>
        <w:spacing w:line="360" w:lineRule="auto"/>
        <w:ind w:rightChars="1000" w:right="2100"/>
        <w:rPr>
          <w:rFonts w:ascii="楷体" w:eastAsia="楷体" w:hAnsi="楷体"/>
          <w:szCs w:val="21"/>
        </w:rPr>
      </w:pPr>
    </w:p>
    <w:p w:rsidR="005143F4" w:rsidRPr="00511359" w:rsidRDefault="005143F4" w:rsidP="005143F4">
      <w:pPr>
        <w:pStyle w:val="aff2"/>
        <w:numPr>
          <w:ilvl w:val="0"/>
          <w:numId w:val="28"/>
        </w:numPr>
        <w:spacing w:line="360" w:lineRule="auto"/>
        <w:ind w:rightChars="1000" w:right="2100" w:firstLineChars="0"/>
        <w:rPr>
          <w:rFonts w:ascii="楷体" w:eastAsia="楷体" w:hAnsi="楷体"/>
          <w:b/>
          <w:szCs w:val="21"/>
        </w:rPr>
      </w:pPr>
      <w:r w:rsidRPr="00511359">
        <w:rPr>
          <w:rFonts w:ascii="楷体" w:eastAsia="楷体" w:hAnsi="楷体" w:hint="eastAsia"/>
          <w:b/>
          <w:szCs w:val="21"/>
        </w:rPr>
        <w:t>98年“去产能”冲击有限</w:t>
      </w:r>
    </w:p>
    <w:p w:rsidR="005143F4" w:rsidRDefault="005143F4" w:rsidP="005143F4">
      <w:pPr>
        <w:spacing w:line="360" w:lineRule="auto"/>
        <w:ind w:rightChars="1000" w:right="2100" w:firstLine="420"/>
        <w:rPr>
          <w:rFonts w:ascii="楷体" w:eastAsia="楷体" w:hAnsi="楷体"/>
          <w:szCs w:val="21"/>
        </w:rPr>
      </w:pPr>
      <w:r w:rsidRPr="00C316C2">
        <w:rPr>
          <w:rFonts w:ascii="楷体" w:eastAsia="楷体" w:hAnsi="楷体" w:hint="eastAsia"/>
          <w:szCs w:val="21"/>
        </w:rPr>
        <w:t>九十年代大规模推进的产能出清导致超过2000万人失业，但在国家强力干预和支持的情况下，对人员安置和债务等问题进行了妥善处理，社会并未出现较大的冲击。对于煤炭行业的企业破产重组方式、人员安置以及债务问题进行了有效化解，随着产能出清和需求端的拉动，煤炭行业自2002年开始进入了“黄金十年”。</w:t>
      </w:r>
    </w:p>
    <w:p w:rsidR="005143F4" w:rsidRPr="00526DDF" w:rsidRDefault="005143F4" w:rsidP="005143F4">
      <w:pPr>
        <w:spacing w:line="360" w:lineRule="auto"/>
        <w:ind w:rightChars="1000" w:right="2100"/>
        <w:rPr>
          <w:rFonts w:ascii="楷体" w:eastAsia="楷体" w:hAnsi="楷体"/>
          <w:b/>
          <w:szCs w:val="21"/>
        </w:rPr>
      </w:pPr>
    </w:p>
    <w:p w:rsidR="005143F4" w:rsidRPr="00C316C2" w:rsidRDefault="005143F4" w:rsidP="005143F4">
      <w:pPr>
        <w:spacing w:line="360" w:lineRule="auto"/>
        <w:ind w:rightChars="1000" w:right="2100" w:firstLine="420"/>
        <w:rPr>
          <w:rFonts w:ascii="楷体" w:eastAsia="楷体" w:hAnsi="楷体"/>
          <w:szCs w:val="21"/>
        </w:rPr>
      </w:pPr>
      <w:r w:rsidRPr="00526DDF">
        <w:rPr>
          <w:rFonts w:ascii="楷体" w:eastAsia="楷体" w:hAnsi="楷体" w:hint="eastAsia"/>
          <w:b/>
          <w:szCs w:val="21"/>
        </w:rPr>
        <w:t>重组方式、人员安置问题：</w:t>
      </w:r>
      <w:r w:rsidRPr="00C316C2">
        <w:rPr>
          <w:rFonts w:ascii="楷体" w:eastAsia="楷体" w:hAnsi="楷体" w:hint="eastAsia"/>
          <w:szCs w:val="21"/>
        </w:rPr>
        <w:t xml:space="preserve">在98年对煤炭企业破产清算后，主要采取了三种重组方式。一是将经营业绩较好的单位独立出来，成立独立的企业；二是被并入其他企业，吸纳其就业人口；三是由职工出资购买有效资产，组成股份制或股份合作制的中小型企业。 </w:t>
      </w:r>
    </w:p>
    <w:p w:rsidR="005143F4" w:rsidRDefault="005143F4" w:rsidP="005143F4">
      <w:pPr>
        <w:spacing w:line="360" w:lineRule="auto"/>
        <w:ind w:rightChars="1000" w:right="2100"/>
        <w:rPr>
          <w:rFonts w:ascii="楷体" w:eastAsia="楷体" w:hAnsi="楷体"/>
          <w:szCs w:val="21"/>
        </w:rPr>
      </w:pPr>
      <w:r w:rsidRPr="00C316C2">
        <w:rPr>
          <w:rFonts w:ascii="楷体" w:eastAsia="楷体" w:hAnsi="楷体" w:hint="eastAsia"/>
          <w:szCs w:val="21"/>
        </w:rPr>
        <w:t>98年破产清算破产企业职工的出路，除以上几个就业的途径，部分年龄较大的，可以提前退休，中央财政先后4次拨付煤炭企业拖欠养老金补贴34.6亿元；还有部分领取一次性</w:t>
      </w:r>
      <w:proofErr w:type="gramStart"/>
      <w:r w:rsidRPr="00C316C2">
        <w:rPr>
          <w:rFonts w:ascii="楷体" w:eastAsia="楷体" w:hAnsi="楷体" w:hint="eastAsia"/>
          <w:szCs w:val="21"/>
        </w:rPr>
        <w:t>补偿金另谋职</w:t>
      </w:r>
      <w:proofErr w:type="gramEnd"/>
      <w:r w:rsidRPr="00C316C2">
        <w:rPr>
          <w:rFonts w:ascii="楷体" w:eastAsia="楷体" w:hAnsi="楷体" w:hint="eastAsia"/>
          <w:szCs w:val="21"/>
        </w:rPr>
        <w:t>业。通过以上途径，大量下岗职工完成了再就业。</w:t>
      </w:r>
    </w:p>
    <w:p w:rsidR="005143F4" w:rsidRPr="00C316C2" w:rsidRDefault="005143F4" w:rsidP="005143F4">
      <w:pPr>
        <w:spacing w:line="360" w:lineRule="auto"/>
        <w:ind w:rightChars="1000" w:right="2100"/>
        <w:rPr>
          <w:rFonts w:ascii="楷体" w:eastAsia="楷体" w:hAnsi="楷体"/>
          <w:szCs w:val="21"/>
        </w:rPr>
      </w:pPr>
    </w:p>
    <w:p w:rsidR="005143F4" w:rsidRPr="00C316C2" w:rsidRDefault="005143F4" w:rsidP="005143F4">
      <w:pPr>
        <w:spacing w:line="360" w:lineRule="auto"/>
        <w:ind w:rightChars="1000" w:right="2100" w:firstLine="420"/>
        <w:rPr>
          <w:rFonts w:ascii="楷体" w:eastAsia="楷体" w:hAnsi="楷体"/>
          <w:szCs w:val="21"/>
        </w:rPr>
      </w:pPr>
      <w:r w:rsidRPr="005143F4">
        <w:rPr>
          <w:rFonts w:ascii="楷体" w:eastAsia="楷体" w:hAnsi="楷体" w:hint="eastAsia"/>
          <w:b/>
          <w:szCs w:val="21"/>
        </w:rPr>
        <w:t>债务问题：</w:t>
      </w:r>
      <w:r w:rsidRPr="005143F4">
        <w:rPr>
          <w:rFonts w:ascii="楷体" w:eastAsia="楷体" w:hAnsi="楷体" w:hint="eastAsia"/>
          <w:szCs w:val="21"/>
        </w:rPr>
        <w:t>据相关资料，在九十年代煤炭去产能过程中，为化解煤炭行业的债务问题，</w:t>
      </w:r>
      <w:r w:rsidRPr="005143F4">
        <w:rPr>
          <w:rFonts w:ascii="楷体" w:eastAsia="楷体" w:hAnsi="楷体" w:hint="eastAsia"/>
          <w:szCs w:val="21"/>
        </w:rPr>
        <w:lastRenderedPageBreak/>
        <w:t>国家积极推进煤炭企业债转股和对资源枯竭矿井实施关闭破产，从源头削减公司债务。到2001年底，国家正式批准了65个煤矿关闭破产项目，核</w:t>
      </w:r>
      <w:r w:rsidRPr="00C316C2">
        <w:rPr>
          <w:rFonts w:ascii="楷体" w:eastAsia="楷体" w:hAnsi="楷体" w:hint="eastAsia"/>
          <w:szCs w:val="21"/>
        </w:rPr>
        <w:t>销银行贷款和资产管理公司债权87亿元。国务院已正式批准51户煤炭企业债转股，转股额575亿元。通过实施债转股，国有重点煤矿资产负债率将下降到45％左右，每年减少利息支出约40亿元。</w:t>
      </w:r>
    </w:p>
    <w:p w:rsidR="005143F4" w:rsidRDefault="005143F4" w:rsidP="005143F4">
      <w:pPr>
        <w:spacing w:line="360" w:lineRule="auto"/>
        <w:ind w:rightChars="1000" w:right="2100" w:firstLine="360"/>
        <w:rPr>
          <w:rFonts w:ascii="楷体" w:eastAsia="楷体" w:hAnsi="楷体"/>
          <w:szCs w:val="21"/>
        </w:rPr>
      </w:pPr>
      <w:r w:rsidRPr="00C316C2">
        <w:rPr>
          <w:rFonts w:ascii="楷体" w:eastAsia="楷体" w:hAnsi="楷体" w:hint="eastAsia"/>
          <w:szCs w:val="21"/>
        </w:rPr>
        <w:t>国家整体对于过剩行业的债务处理，主要成立四大资产管理公司AMC剥离银行坏账、核销坏账以及通过多种手段补充银行资本金，减缓坏账风险的冲击。</w:t>
      </w:r>
    </w:p>
    <w:p w:rsidR="005143F4" w:rsidRPr="009E6533" w:rsidRDefault="005143F4" w:rsidP="005143F4">
      <w:pPr>
        <w:spacing w:line="360" w:lineRule="auto"/>
        <w:ind w:rightChars="1000" w:right="2100"/>
        <w:rPr>
          <w:rFonts w:ascii="楷体" w:eastAsia="楷体" w:hAnsi="楷体"/>
          <w:szCs w:val="21"/>
        </w:rPr>
      </w:pPr>
    </w:p>
    <w:p w:rsidR="005143F4" w:rsidRPr="005143F4" w:rsidRDefault="005143F4" w:rsidP="005143F4">
      <w:pPr>
        <w:pStyle w:val="aff2"/>
        <w:numPr>
          <w:ilvl w:val="0"/>
          <w:numId w:val="23"/>
        </w:numPr>
        <w:spacing w:line="360" w:lineRule="auto"/>
        <w:ind w:rightChars="1000" w:right="2100" w:firstLineChars="0"/>
        <w:rPr>
          <w:rFonts w:ascii="楷体" w:eastAsia="楷体" w:hAnsi="楷体"/>
          <w:b/>
          <w:szCs w:val="21"/>
        </w:rPr>
      </w:pPr>
      <w:r w:rsidRPr="005143F4">
        <w:rPr>
          <w:rFonts w:ascii="楷体" w:eastAsia="楷体" w:hAnsi="楷体" w:hint="eastAsia"/>
          <w:b/>
          <w:szCs w:val="21"/>
        </w:rPr>
        <w:t>去产能两大掣肘：人员安置和债务问题</w:t>
      </w:r>
    </w:p>
    <w:p w:rsidR="005143F4" w:rsidRPr="005143F4" w:rsidRDefault="005143F4" w:rsidP="005143F4">
      <w:pPr>
        <w:spacing w:line="360" w:lineRule="auto"/>
        <w:ind w:rightChars="1000" w:right="2100"/>
        <w:rPr>
          <w:rFonts w:ascii="楷体" w:eastAsia="楷体" w:hAnsi="楷体"/>
          <w:szCs w:val="21"/>
        </w:rPr>
      </w:pPr>
    </w:p>
    <w:p w:rsidR="005143F4" w:rsidRPr="005143F4" w:rsidRDefault="005143F4" w:rsidP="005143F4">
      <w:pPr>
        <w:pStyle w:val="aff2"/>
        <w:numPr>
          <w:ilvl w:val="0"/>
          <w:numId w:val="26"/>
        </w:numPr>
        <w:spacing w:line="360" w:lineRule="auto"/>
        <w:ind w:rightChars="1000" w:right="2100" w:firstLineChars="0"/>
        <w:rPr>
          <w:rFonts w:ascii="楷体" w:eastAsia="楷体" w:hAnsi="楷体"/>
          <w:b/>
          <w:szCs w:val="21"/>
        </w:rPr>
      </w:pPr>
      <w:r w:rsidRPr="005143F4">
        <w:rPr>
          <w:rFonts w:ascii="楷体" w:eastAsia="楷体" w:hAnsi="楷体" w:hint="eastAsia"/>
          <w:b/>
          <w:szCs w:val="21"/>
        </w:rPr>
        <w:t>未来分流人员100万，千亿专项资金提供有力保障</w:t>
      </w:r>
    </w:p>
    <w:p w:rsidR="005143F4" w:rsidRPr="008304ED" w:rsidRDefault="005143F4" w:rsidP="005143F4">
      <w:pPr>
        <w:spacing w:line="360" w:lineRule="auto"/>
        <w:ind w:rightChars="1000" w:right="2100" w:firstLine="420"/>
        <w:rPr>
          <w:rFonts w:ascii="楷体" w:eastAsia="楷体" w:hAnsi="楷体"/>
          <w:szCs w:val="21"/>
        </w:rPr>
      </w:pPr>
      <w:r w:rsidRPr="005143F4">
        <w:rPr>
          <w:rFonts w:ascii="楷体" w:eastAsia="楷体" w:hAnsi="楷体" w:hint="eastAsia"/>
          <w:szCs w:val="21"/>
        </w:rPr>
        <w:t>据华夏</w:t>
      </w:r>
      <w:proofErr w:type="gramStart"/>
      <w:r w:rsidRPr="005143F4">
        <w:rPr>
          <w:rFonts w:ascii="楷体" w:eastAsia="楷体" w:hAnsi="楷体" w:hint="eastAsia"/>
          <w:szCs w:val="21"/>
        </w:rPr>
        <w:t>能源网</w:t>
      </w:r>
      <w:proofErr w:type="gramEnd"/>
      <w:r w:rsidRPr="005143F4">
        <w:rPr>
          <w:rFonts w:ascii="楷体" w:eastAsia="楷体" w:hAnsi="楷体" w:hint="eastAsia"/>
          <w:szCs w:val="21"/>
        </w:rPr>
        <w:t>的数据，我国煤炭行业的就业人口大约580万</w:t>
      </w:r>
      <w:r w:rsidRPr="008304ED">
        <w:rPr>
          <w:rFonts w:ascii="楷体" w:eastAsia="楷体" w:hAnsi="楷体" w:hint="eastAsia"/>
          <w:szCs w:val="21"/>
        </w:rPr>
        <w:t>人，承载了大量的就业人口，包括相关高耗能行业的就业总人数超过数千万人，是我国制定相关行业重大政策时不得不考虑的问题。</w:t>
      </w:r>
    </w:p>
    <w:p w:rsidR="005143F4" w:rsidRPr="008304ED" w:rsidRDefault="005143F4" w:rsidP="005143F4">
      <w:pPr>
        <w:spacing w:line="360" w:lineRule="auto"/>
        <w:ind w:rightChars="1000" w:right="2100" w:firstLine="420"/>
        <w:rPr>
          <w:rFonts w:ascii="楷体" w:eastAsia="楷体" w:hAnsi="楷体"/>
          <w:szCs w:val="21"/>
        </w:rPr>
      </w:pPr>
      <w:proofErr w:type="gramStart"/>
      <w:r w:rsidRPr="008304ED">
        <w:rPr>
          <w:rFonts w:ascii="楷体" w:eastAsia="楷体" w:hAnsi="楷体" w:hint="eastAsia"/>
          <w:szCs w:val="21"/>
        </w:rPr>
        <w:t>国家发改委</w:t>
      </w:r>
      <w:proofErr w:type="gramEnd"/>
      <w:r w:rsidRPr="008304ED">
        <w:rPr>
          <w:rFonts w:ascii="楷体" w:eastAsia="楷体" w:hAnsi="楷体" w:hint="eastAsia"/>
          <w:szCs w:val="21"/>
        </w:rPr>
        <w:t>等部门正就煤炭去产能征求意见，未来三年，中国将关闭4300家煤矿（总产能约为每年7亿吨），分流人员100万人，即分流整个行业就业人口的17%，将会对企业、乃至整个行业或社会带来冲击。近期，国家千亿企业结构调整专项资金的设立，将主要用于过剩行业（主要是煤炭、钢铁行业）的人员安置问题，这将会大大化解国家在去产能方面的顾虑。</w:t>
      </w:r>
    </w:p>
    <w:p w:rsidR="005143F4" w:rsidRDefault="005143F4" w:rsidP="005143F4">
      <w:pPr>
        <w:spacing w:line="360" w:lineRule="auto"/>
        <w:ind w:rightChars="1000" w:right="2100" w:firstLine="420"/>
        <w:rPr>
          <w:rFonts w:ascii="楷体" w:eastAsia="楷体" w:hAnsi="楷体"/>
          <w:szCs w:val="21"/>
        </w:rPr>
      </w:pPr>
      <w:r w:rsidRPr="008304ED">
        <w:rPr>
          <w:rFonts w:ascii="楷体" w:eastAsia="楷体" w:hAnsi="楷体" w:hint="eastAsia"/>
          <w:szCs w:val="21"/>
        </w:rPr>
        <w:t>目前行业内人员分流力度较大的企业，</w:t>
      </w:r>
      <w:proofErr w:type="gramStart"/>
      <w:r w:rsidRPr="008304ED">
        <w:rPr>
          <w:rFonts w:ascii="楷体" w:eastAsia="楷体" w:hAnsi="楷体" w:hint="eastAsia"/>
          <w:szCs w:val="21"/>
        </w:rPr>
        <w:t>例如龙煤集团</w:t>
      </w:r>
      <w:proofErr w:type="gramEnd"/>
      <w:r w:rsidRPr="008304ED">
        <w:rPr>
          <w:rFonts w:ascii="楷体" w:eastAsia="楷体" w:hAnsi="楷体" w:hint="eastAsia"/>
          <w:szCs w:val="21"/>
        </w:rPr>
        <w:t>，要求全面完成3个</w:t>
      </w:r>
      <w:proofErr w:type="gramStart"/>
      <w:r w:rsidRPr="008304ED">
        <w:rPr>
          <w:rFonts w:ascii="楷体" w:eastAsia="楷体" w:hAnsi="楷体" w:hint="eastAsia"/>
          <w:szCs w:val="21"/>
        </w:rPr>
        <w:t>月分</w:t>
      </w:r>
      <w:proofErr w:type="gramEnd"/>
      <w:r w:rsidRPr="008304ED">
        <w:rPr>
          <w:rFonts w:ascii="楷体" w:eastAsia="楷体" w:hAnsi="楷体" w:hint="eastAsia"/>
          <w:szCs w:val="21"/>
        </w:rPr>
        <w:t>流10万人目标，分流人员占注册员工总数的40%。</w:t>
      </w:r>
      <w:proofErr w:type="gramStart"/>
      <w:r w:rsidRPr="008304ED">
        <w:rPr>
          <w:rFonts w:ascii="楷体" w:eastAsia="楷体" w:hAnsi="楷体" w:hint="eastAsia"/>
          <w:szCs w:val="21"/>
        </w:rPr>
        <w:t>根据龙煤集团</w:t>
      </w:r>
      <w:proofErr w:type="gramEnd"/>
      <w:r w:rsidRPr="008304ED">
        <w:rPr>
          <w:rFonts w:ascii="楷体" w:eastAsia="楷体" w:hAnsi="楷体" w:hint="eastAsia"/>
          <w:szCs w:val="21"/>
        </w:rPr>
        <w:t>首批的人员分流目标，首批将分流2.25万人，主要去向是省属国有的相关企业。</w:t>
      </w:r>
    </w:p>
    <w:p w:rsidR="005143F4" w:rsidRPr="000054D6" w:rsidRDefault="005143F4" w:rsidP="005143F4">
      <w:pPr>
        <w:spacing w:before="50" w:after="50" w:line="360" w:lineRule="exact"/>
        <w:rPr>
          <w:rFonts w:ascii="华文楷体" w:eastAsia="华文楷体" w:hAnsi="华文楷体"/>
          <w:b/>
          <w:color w:val="005096"/>
          <w:sz w:val="18"/>
          <w:szCs w:val="20"/>
        </w:rPr>
      </w:pPr>
      <w:r w:rsidRPr="00720F85">
        <w:rPr>
          <w:rFonts w:ascii="华文楷体" w:eastAsia="华文楷体" w:hAnsi="华文楷体" w:hint="eastAsia"/>
          <w:b/>
          <w:color w:val="005096"/>
          <w:sz w:val="18"/>
          <w:szCs w:val="20"/>
        </w:rPr>
        <w:t>表</w:t>
      </w:r>
      <w:r>
        <w:rPr>
          <w:rFonts w:ascii="华文楷体" w:eastAsia="华文楷体" w:hAnsi="华文楷体" w:hint="eastAsia"/>
          <w:b/>
          <w:color w:val="005096"/>
          <w:sz w:val="18"/>
          <w:szCs w:val="20"/>
        </w:rPr>
        <w:t xml:space="preserve"> 5：</w:t>
      </w:r>
      <w:proofErr w:type="gramStart"/>
      <w:r w:rsidRPr="00720F85">
        <w:rPr>
          <w:rFonts w:ascii="华文楷体" w:eastAsia="华文楷体" w:hAnsi="华文楷体" w:hint="eastAsia"/>
          <w:b/>
          <w:color w:val="005096"/>
          <w:sz w:val="18"/>
          <w:szCs w:val="20"/>
        </w:rPr>
        <w:t>龙煤集团</w:t>
      </w:r>
      <w:proofErr w:type="gramEnd"/>
      <w:r w:rsidRPr="00720F85">
        <w:rPr>
          <w:rFonts w:ascii="华文楷体" w:eastAsia="华文楷体" w:hAnsi="华文楷体" w:hint="eastAsia"/>
          <w:b/>
          <w:color w:val="005096"/>
          <w:sz w:val="18"/>
          <w:szCs w:val="20"/>
        </w:rPr>
        <w:t>首批人员分流目标表</w:t>
      </w:r>
    </w:p>
    <w:tbl>
      <w:tblPr>
        <w:tblStyle w:val="-131"/>
        <w:tblW w:w="6345" w:type="dxa"/>
        <w:tblLook w:val="04A0"/>
      </w:tblPr>
      <w:tblGrid>
        <w:gridCol w:w="623"/>
        <w:gridCol w:w="1047"/>
        <w:gridCol w:w="1149"/>
        <w:gridCol w:w="1149"/>
        <w:gridCol w:w="1149"/>
        <w:gridCol w:w="1228"/>
      </w:tblGrid>
      <w:tr w:rsidR="005143F4" w:rsidRPr="00E310B0" w:rsidTr="00CA06C8">
        <w:trPr>
          <w:cnfStyle w:val="100000000000"/>
        </w:trPr>
        <w:tc>
          <w:tcPr>
            <w:cnfStyle w:val="001000000000"/>
            <w:tcW w:w="623" w:type="dxa"/>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bookmarkStart w:id="4" w:name="OLE_LINK1"/>
            <w:r w:rsidRPr="00E310B0">
              <w:rPr>
                <w:rFonts w:ascii="华文楷体" w:eastAsia="华文楷体" w:hAnsi="华文楷体" w:cs="宋体"/>
                <w:color w:val="1F497D"/>
                <w:kern w:val="0"/>
                <w:sz w:val="18"/>
                <w:szCs w:val="16"/>
              </w:rPr>
              <w:t>行业</w:t>
            </w:r>
          </w:p>
        </w:tc>
        <w:tc>
          <w:tcPr>
            <w:tcW w:w="1047" w:type="dxa"/>
          </w:tcPr>
          <w:p w:rsidR="005143F4" w:rsidRPr="00E310B0" w:rsidRDefault="005143F4" w:rsidP="00CA06C8">
            <w:pPr>
              <w:widowControl/>
              <w:spacing w:before="50" w:after="50" w:line="200" w:lineRule="atLeast"/>
              <w:jc w:val="left"/>
              <w:cnfStyle w:val="100000000000"/>
              <w:rPr>
                <w:rFonts w:ascii="华文楷体" w:eastAsia="华文楷体" w:hAnsi="华文楷体" w:cs="宋体"/>
                <w:color w:val="1F497D"/>
                <w:kern w:val="0"/>
                <w:sz w:val="18"/>
                <w:szCs w:val="16"/>
              </w:rPr>
            </w:pPr>
            <w:r w:rsidRPr="00E310B0">
              <w:rPr>
                <w:rFonts w:ascii="华文楷体" w:eastAsia="华文楷体" w:hAnsi="华文楷体" w:cs="宋体"/>
                <w:color w:val="1F497D"/>
                <w:kern w:val="0"/>
                <w:sz w:val="18"/>
                <w:szCs w:val="16"/>
              </w:rPr>
              <w:t>总计</w:t>
            </w:r>
          </w:p>
        </w:tc>
        <w:tc>
          <w:tcPr>
            <w:tcW w:w="1149" w:type="dxa"/>
          </w:tcPr>
          <w:p w:rsidR="005143F4" w:rsidRPr="00E310B0" w:rsidRDefault="005143F4" w:rsidP="00CA06C8">
            <w:pPr>
              <w:widowControl/>
              <w:spacing w:before="50" w:after="50" w:line="200" w:lineRule="atLeast"/>
              <w:jc w:val="left"/>
              <w:cnfStyle w:val="100000000000"/>
              <w:rPr>
                <w:rFonts w:ascii="华文楷体" w:eastAsia="华文楷体" w:hAnsi="华文楷体" w:cs="宋体"/>
                <w:color w:val="1F497D"/>
                <w:kern w:val="0"/>
                <w:sz w:val="18"/>
                <w:szCs w:val="16"/>
              </w:rPr>
            </w:pPr>
            <w:proofErr w:type="gramStart"/>
            <w:r w:rsidRPr="00E310B0">
              <w:rPr>
                <w:rFonts w:ascii="华文楷体" w:eastAsia="华文楷体" w:hAnsi="华文楷体" w:cs="宋体" w:hint="eastAsia"/>
                <w:color w:val="1F497D"/>
                <w:kern w:val="0"/>
                <w:sz w:val="18"/>
                <w:szCs w:val="16"/>
              </w:rPr>
              <w:t>鸡矿公司</w:t>
            </w:r>
            <w:proofErr w:type="gramEnd"/>
          </w:p>
        </w:tc>
        <w:tc>
          <w:tcPr>
            <w:tcW w:w="1149" w:type="dxa"/>
          </w:tcPr>
          <w:p w:rsidR="005143F4" w:rsidRPr="00E310B0" w:rsidRDefault="005143F4" w:rsidP="00CA06C8">
            <w:pPr>
              <w:widowControl/>
              <w:spacing w:before="50" w:after="50" w:line="200" w:lineRule="atLeast"/>
              <w:jc w:val="left"/>
              <w:cnfStyle w:val="100000000000"/>
              <w:rPr>
                <w:rFonts w:ascii="华文楷体" w:eastAsia="华文楷体" w:hAnsi="华文楷体" w:cs="宋体"/>
                <w:color w:val="1F497D"/>
                <w:kern w:val="0"/>
                <w:sz w:val="18"/>
                <w:szCs w:val="16"/>
              </w:rPr>
            </w:pPr>
            <w:proofErr w:type="gramStart"/>
            <w:r w:rsidRPr="00E310B0">
              <w:rPr>
                <w:rFonts w:ascii="华文楷体" w:eastAsia="华文楷体" w:hAnsi="华文楷体" w:cs="宋体" w:hint="eastAsia"/>
                <w:color w:val="1F497D"/>
                <w:kern w:val="0"/>
                <w:sz w:val="18"/>
                <w:szCs w:val="16"/>
              </w:rPr>
              <w:t>鹤矿公司</w:t>
            </w:r>
            <w:proofErr w:type="gramEnd"/>
          </w:p>
        </w:tc>
        <w:tc>
          <w:tcPr>
            <w:tcW w:w="1149" w:type="dxa"/>
          </w:tcPr>
          <w:p w:rsidR="005143F4" w:rsidRPr="00E310B0" w:rsidRDefault="005143F4" w:rsidP="00CA06C8">
            <w:pPr>
              <w:widowControl/>
              <w:spacing w:before="50" w:after="50" w:line="200" w:lineRule="atLeast"/>
              <w:jc w:val="left"/>
              <w:cnfStyle w:val="100000000000"/>
              <w:rPr>
                <w:rFonts w:ascii="华文楷体" w:eastAsia="华文楷体" w:hAnsi="华文楷体" w:cs="宋体"/>
                <w:color w:val="1F497D"/>
                <w:kern w:val="0"/>
                <w:sz w:val="18"/>
                <w:szCs w:val="16"/>
              </w:rPr>
            </w:pPr>
            <w:proofErr w:type="gramStart"/>
            <w:r w:rsidRPr="00E310B0">
              <w:rPr>
                <w:rFonts w:ascii="华文楷体" w:eastAsia="华文楷体" w:hAnsi="华文楷体" w:cs="宋体" w:hint="eastAsia"/>
                <w:color w:val="1F497D"/>
                <w:kern w:val="0"/>
                <w:sz w:val="18"/>
                <w:szCs w:val="16"/>
              </w:rPr>
              <w:t>双矿公司</w:t>
            </w:r>
            <w:proofErr w:type="gramEnd"/>
          </w:p>
        </w:tc>
        <w:tc>
          <w:tcPr>
            <w:tcW w:w="1228" w:type="dxa"/>
          </w:tcPr>
          <w:p w:rsidR="005143F4" w:rsidRPr="00E310B0" w:rsidRDefault="005143F4" w:rsidP="00CA06C8">
            <w:pPr>
              <w:widowControl/>
              <w:spacing w:before="50" w:after="50" w:line="200" w:lineRule="atLeast"/>
              <w:jc w:val="left"/>
              <w:cnfStyle w:val="1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七矿公司</w:t>
            </w:r>
          </w:p>
        </w:tc>
      </w:tr>
      <w:tr w:rsidR="005143F4" w:rsidRPr="00E310B0" w:rsidTr="00CA06C8">
        <w:trPr>
          <w:cnfStyle w:val="000000100000"/>
        </w:trPr>
        <w:tc>
          <w:tcPr>
            <w:cnfStyle w:val="001000000000"/>
            <w:tcW w:w="623" w:type="dxa"/>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color w:val="1F497D"/>
                <w:kern w:val="0"/>
                <w:sz w:val="18"/>
                <w:szCs w:val="16"/>
              </w:rPr>
              <w:t>总计</w:t>
            </w:r>
          </w:p>
        </w:tc>
        <w:tc>
          <w:tcPr>
            <w:tcW w:w="1047"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22500</w:t>
            </w: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5500</w:t>
            </w: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6000</w:t>
            </w: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5500</w:t>
            </w:r>
          </w:p>
        </w:tc>
        <w:tc>
          <w:tcPr>
            <w:tcW w:w="1228"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5500</w:t>
            </w:r>
          </w:p>
        </w:tc>
      </w:tr>
      <w:tr w:rsidR="005143F4" w:rsidRPr="00E310B0" w:rsidTr="00CA06C8">
        <w:tc>
          <w:tcPr>
            <w:cnfStyle w:val="001000000000"/>
            <w:tcW w:w="623" w:type="dxa"/>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color w:val="1F497D"/>
                <w:kern w:val="0"/>
                <w:sz w:val="18"/>
                <w:szCs w:val="16"/>
              </w:rPr>
              <w:t>农垦</w:t>
            </w:r>
          </w:p>
        </w:tc>
        <w:tc>
          <w:tcPr>
            <w:tcW w:w="1047"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4000</w:t>
            </w:r>
          </w:p>
        </w:tc>
        <w:tc>
          <w:tcPr>
            <w:tcW w:w="1149"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1000</w:t>
            </w:r>
          </w:p>
        </w:tc>
        <w:tc>
          <w:tcPr>
            <w:tcW w:w="1149"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p>
        </w:tc>
        <w:tc>
          <w:tcPr>
            <w:tcW w:w="1149"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1000</w:t>
            </w:r>
          </w:p>
        </w:tc>
        <w:tc>
          <w:tcPr>
            <w:tcW w:w="1228"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2000</w:t>
            </w:r>
          </w:p>
        </w:tc>
      </w:tr>
      <w:tr w:rsidR="005143F4" w:rsidRPr="00E310B0" w:rsidTr="00CA06C8">
        <w:trPr>
          <w:cnfStyle w:val="000000100000"/>
        </w:trPr>
        <w:tc>
          <w:tcPr>
            <w:cnfStyle w:val="001000000000"/>
            <w:tcW w:w="623" w:type="dxa"/>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color w:val="1F497D"/>
                <w:kern w:val="0"/>
                <w:sz w:val="18"/>
                <w:szCs w:val="16"/>
              </w:rPr>
              <w:t>森工</w:t>
            </w:r>
          </w:p>
        </w:tc>
        <w:tc>
          <w:tcPr>
            <w:tcW w:w="1047"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2500</w:t>
            </w: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1000</w:t>
            </w: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500</w:t>
            </w:r>
          </w:p>
        </w:tc>
        <w:tc>
          <w:tcPr>
            <w:tcW w:w="1228"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1000</w:t>
            </w:r>
          </w:p>
        </w:tc>
      </w:tr>
      <w:tr w:rsidR="005143F4" w:rsidRPr="00E310B0" w:rsidTr="00CA06C8">
        <w:tc>
          <w:tcPr>
            <w:cnfStyle w:val="001000000000"/>
            <w:tcW w:w="623" w:type="dxa"/>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color w:val="1F497D"/>
                <w:kern w:val="0"/>
                <w:sz w:val="18"/>
                <w:szCs w:val="16"/>
              </w:rPr>
              <w:t>林业</w:t>
            </w:r>
          </w:p>
        </w:tc>
        <w:tc>
          <w:tcPr>
            <w:tcW w:w="1047"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6500</w:t>
            </w:r>
          </w:p>
        </w:tc>
        <w:tc>
          <w:tcPr>
            <w:tcW w:w="1149"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2000</w:t>
            </w:r>
          </w:p>
        </w:tc>
        <w:tc>
          <w:tcPr>
            <w:tcW w:w="1149"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3000</w:t>
            </w:r>
          </w:p>
        </w:tc>
        <w:tc>
          <w:tcPr>
            <w:tcW w:w="1149"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500</w:t>
            </w:r>
          </w:p>
        </w:tc>
        <w:tc>
          <w:tcPr>
            <w:tcW w:w="1228" w:type="dxa"/>
          </w:tcPr>
          <w:p w:rsidR="005143F4" w:rsidRPr="00E310B0" w:rsidRDefault="005143F4" w:rsidP="00CA06C8">
            <w:pPr>
              <w:widowControl/>
              <w:spacing w:before="50" w:after="50" w:line="200" w:lineRule="atLeast"/>
              <w:jc w:val="left"/>
              <w:cnfStyle w:val="0000000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1000</w:t>
            </w:r>
          </w:p>
        </w:tc>
      </w:tr>
      <w:tr w:rsidR="005143F4" w:rsidRPr="00E310B0" w:rsidTr="00CA06C8">
        <w:trPr>
          <w:cnfStyle w:val="000000100000"/>
        </w:trPr>
        <w:tc>
          <w:tcPr>
            <w:cnfStyle w:val="001000000000"/>
            <w:tcW w:w="623" w:type="dxa"/>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proofErr w:type="gramStart"/>
            <w:r w:rsidRPr="00E310B0">
              <w:rPr>
                <w:rFonts w:ascii="华文楷体" w:eastAsia="华文楷体" w:hAnsi="华文楷体" w:cs="宋体"/>
                <w:color w:val="1F497D"/>
                <w:kern w:val="0"/>
                <w:sz w:val="18"/>
                <w:szCs w:val="16"/>
              </w:rPr>
              <w:t>煤域</w:t>
            </w:r>
            <w:proofErr w:type="gramEnd"/>
          </w:p>
        </w:tc>
        <w:tc>
          <w:tcPr>
            <w:tcW w:w="1047"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9500</w:t>
            </w: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2500</w:t>
            </w: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2000</w:t>
            </w:r>
          </w:p>
        </w:tc>
        <w:tc>
          <w:tcPr>
            <w:tcW w:w="1149"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3500</w:t>
            </w:r>
          </w:p>
        </w:tc>
        <w:tc>
          <w:tcPr>
            <w:tcW w:w="1228" w:type="dxa"/>
          </w:tcPr>
          <w:p w:rsidR="005143F4" w:rsidRPr="00E310B0" w:rsidRDefault="005143F4" w:rsidP="00CA06C8">
            <w:pPr>
              <w:widowControl/>
              <w:spacing w:before="50" w:after="50" w:line="200" w:lineRule="atLeast"/>
              <w:jc w:val="left"/>
              <w:cnfStyle w:val="000000100000"/>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1500</w:t>
            </w:r>
          </w:p>
        </w:tc>
      </w:tr>
    </w:tbl>
    <w:bookmarkEnd w:id="4"/>
    <w:p w:rsidR="005143F4" w:rsidRPr="000054D6" w:rsidRDefault="005143F4" w:rsidP="005143F4">
      <w:pPr>
        <w:widowControl/>
        <w:spacing w:before="50" w:after="50" w:line="200" w:lineRule="atLeast"/>
        <w:jc w:val="left"/>
        <w:rPr>
          <w:rFonts w:ascii="楷体" w:eastAsia="楷体" w:hAnsi="楷体"/>
          <w:szCs w:val="21"/>
        </w:rPr>
      </w:pPr>
      <w:r w:rsidRPr="004540BC">
        <w:rPr>
          <w:rFonts w:ascii="华文楷体" w:eastAsia="华文楷体" w:hAnsi="华文楷体" w:hint="eastAsia"/>
          <w:sz w:val="16"/>
          <w:szCs w:val="16"/>
        </w:rPr>
        <w:t>数据来源：公开资料，民生证券研究院</w:t>
      </w:r>
    </w:p>
    <w:p w:rsidR="005143F4" w:rsidRPr="00720F85" w:rsidRDefault="005143F4" w:rsidP="005143F4">
      <w:pPr>
        <w:spacing w:line="360" w:lineRule="auto"/>
        <w:ind w:rightChars="1000" w:right="2100"/>
        <w:rPr>
          <w:rFonts w:ascii="楷体" w:eastAsia="楷体" w:hAnsi="楷体"/>
          <w:szCs w:val="21"/>
        </w:rPr>
      </w:pPr>
    </w:p>
    <w:p w:rsidR="005143F4" w:rsidRPr="00A61ECE" w:rsidRDefault="005143F4" w:rsidP="005143F4">
      <w:pPr>
        <w:pStyle w:val="aff2"/>
        <w:numPr>
          <w:ilvl w:val="0"/>
          <w:numId w:val="26"/>
        </w:numPr>
        <w:spacing w:line="360" w:lineRule="auto"/>
        <w:ind w:rightChars="1000" w:right="2100" w:firstLineChars="0"/>
        <w:rPr>
          <w:rFonts w:ascii="楷体" w:eastAsia="楷体" w:hAnsi="楷体"/>
          <w:b/>
          <w:szCs w:val="21"/>
        </w:rPr>
      </w:pPr>
      <w:r w:rsidRPr="00A61ECE">
        <w:rPr>
          <w:rFonts w:ascii="楷体" w:eastAsia="楷体" w:hAnsi="楷体" w:hint="eastAsia"/>
          <w:b/>
          <w:szCs w:val="21"/>
        </w:rPr>
        <w:t>行业负债率逐年攀升，化解债务问题是去产能的关键。</w:t>
      </w:r>
    </w:p>
    <w:p w:rsidR="005143F4" w:rsidRDefault="005143F4" w:rsidP="005143F4">
      <w:pPr>
        <w:spacing w:line="360" w:lineRule="auto"/>
        <w:ind w:rightChars="1000" w:right="2100" w:firstLine="420"/>
        <w:rPr>
          <w:rFonts w:ascii="楷体" w:eastAsia="楷体" w:hAnsi="楷体"/>
          <w:szCs w:val="21"/>
        </w:rPr>
      </w:pPr>
      <w:proofErr w:type="gramStart"/>
      <w:r w:rsidRPr="00A61ECE">
        <w:rPr>
          <w:rFonts w:ascii="楷体" w:eastAsia="楷体" w:hAnsi="楷体" w:hint="eastAsia"/>
          <w:szCs w:val="21"/>
        </w:rPr>
        <w:t>上市煤企的</w:t>
      </w:r>
      <w:proofErr w:type="gramEnd"/>
      <w:r w:rsidRPr="00A61ECE">
        <w:rPr>
          <w:rFonts w:ascii="楷体" w:eastAsia="楷体" w:hAnsi="楷体" w:hint="eastAsia"/>
          <w:szCs w:val="21"/>
        </w:rPr>
        <w:t>负债率逐年攀升。截止2015年上半年，整个</w:t>
      </w:r>
      <w:proofErr w:type="gramStart"/>
      <w:r w:rsidRPr="00A61ECE">
        <w:rPr>
          <w:rFonts w:ascii="楷体" w:eastAsia="楷体" w:hAnsi="楷体" w:hint="eastAsia"/>
          <w:szCs w:val="21"/>
        </w:rPr>
        <w:t>上市煤企负债</w:t>
      </w:r>
      <w:proofErr w:type="gramEnd"/>
      <w:r w:rsidRPr="00A61ECE">
        <w:rPr>
          <w:rFonts w:ascii="楷体" w:eastAsia="楷体" w:hAnsi="楷体" w:hint="eastAsia"/>
          <w:szCs w:val="21"/>
        </w:rPr>
        <w:t>率平均为53%。虽然负债</w:t>
      </w:r>
      <w:proofErr w:type="gramStart"/>
      <w:r w:rsidRPr="00A61ECE">
        <w:rPr>
          <w:rFonts w:ascii="楷体" w:eastAsia="楷体" w:hAnsi="楷体" w:hint="eastAsia"/>
          <w:szCs w:val="21"/>
        </w:rPr>
        <w:t>率整体</w:t>
      </w:r>
      <w:proofErr w:type="gramEnd"/>
      <w:r w:rsidRPr="00A61ECE">
        <w:rPr>
          <w:rFonts w:ascii="楷体" w:eastAsia="楷体" w:hAnsi="楷体" w:hint="eastAsia"/>
          <w:szCs w:val="21"/>
        </w:rPr>
        <w:t>看似不高，但分化比较严重，部分上市企业甚至达到80%以上（例如</w:t>
      </w:r>
      <w:proofErr w:type="gramStart"/>
      <w:r w:rsidRPr="00A61ECE">
        <w:rPr>
          <w:rFonts w:ascii="楷体" w:eastAsia="楷体" w:hAnsi="楷体" w:hint="eastAsia"/>
          <w:szCs w:val="21"/>
        </w:rPr>
        <w:t>山煤国际</w:t>
      </w:r>
      <w:proofErr w:type="gramEnd"/>
      <w:r w:rsidRPr="00A61ECE">
        <w:rPr>
          <w:rFonts w:ascii="楷体" w:eastAsia="楷体" w:hAnsi="楷体" w:hint="eastAsia"/>
          <w:szCs w:val="21"/>
        </w:rPr>
        <w:t>达到81%，云维股份95%），面临较大的负债压力。随着</w:t>
      </w:r>
      <w:proofErr w:type="gramStart"/>
      <w:r w:rsidRPr="00A61ECE">
        <w:rPr>
          <w:rFonts w:ascii="楷体" w:eastAsia="楷体" w:hAnsi="楷体" w:hint="eastAsia"/>
          <w:szCs w:val="21"/>
        </w:rPr>
        <w:t>上市煤企的</w:t>
      </w:r>
      <w:proofErr w:type="gramEnd"/>
      <w:r w:rsidRPr="00A61ECE">
        <w:rPr>
          <w:rFonts w:ascii="楷体" w:eastAsia="楷体" w:hAnsi="楷体" w:hint="eastAsia"/>
          <w:szCs w:val="21"/>
        </w:rPr>
        <w:t>经营现金</w:t>
      </w:r>
      <w:proofErr w:type="gramStart"/>
      <w:r w:rsidRPr="00A61ECE">
        <w:rPr>
          <w:rFonts w:ascii="楷体" w:eastAsia="楷体" w:hAnsi="楷体" w:hint="eastAsia"/>
          <w:szCs w:val="21"/>
        </w:rPr>
        <w:t>流日益</w:t>
      </w:r>
      <w:proofErr w:type="gramEnd"/>
      <w:r w:rsidRPr="00A61ECE">
        <w:rPr>
          <w:rFonts w:ascii="楷体" w:eastAsia="楷体" w:hAnsi="楷体" w:hint="eastAsia"/>
          <w:szCs w:val="21"/>
        </w:rPr>
        <w:t>趋</w:t>
      </w:r>
      <w:r w:rsidRPr="00A61ECE">
        <w:rPr>
          <w:rFonts w:ascii="楷体" w:eastAsia="楷体" w:hAnsi="楷体" w:hint="eastAsia"/>
          <w:szCs w:val="21"/>
        </w:rPr>
        <w:lastRenderedPageBreak/>
        <w:t>紧，面对不断上升的负债率，偿债能力有所不足。数据显示，目前煤炭行业平均资产负债率已经达到67.7%，处于16年来最高水平。实际上市公司背靠的集团负债率更高，一般在80%以上，负债率超过90%的煤炭企业也不少见。大型的煤炭企业以间接融资为主，如果强行破产清算，会造成大量的银行坏账，</w:t>
      </w:r>
      <w:r w:rsidRPr="005143F4">
        <w:rPr>
          <w:rFonts w:ascii="楷体" w:eastAsia="楷体" w:hAnsi="楷体" w:hint="eastAsia"/>
          <w:szCs w:val="21"/>
        </w:rPr>
        <w:t>加大地方财政和金融风险。</w:t>
      </w: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47"/>
        <w:gridCol w:w="271"/>
        <w:gridCol w:w="268"/>
        <w:gridCol w:w="67"/>
        <w:gridCol w:w="4513"/>
        <w:gridCol w:w="137"/>
      </w:tblGrid>
      <w:tr w:rsidR="005143F4" w:rsidRPr="00FC7922" w:rsidTr="00CA06C8">
        <w:trPr>
          <w:gridAfter w:val="1"/>
          <w:wAfter w:w="137" w:type="dxa"/>
          <w:trHeight w:hRule="exact" w:val="362"/>
        </w:trPr>
        <w:tc>
          <w:tcPr>
            <w:tcW w:w="4447" w:type="dxa"/>
            <w:tcBorders>
              <w:top w:val="nil"/>
              <w:left w:val="nil"/>
              <w:bottom w:val="single" w:sz="8" w:space="0" w:color="005096"/>
              <w:right w:val="nil"/>
            </w:tcBorders>
            <w:vAlign w:val="bottom"/>
          </w:tcPr>
          <w:p w:rsidR="005143F4" w:rsidRPr="00FC7922" w:rsidRDefault="005143F4" w:rsidP="00CA06C8">
            <w:pPr>
              <w:spacing w:line="360" w:lineRule="exact"/>
              <w:rPr>
                <w:b/>
                <w:color w:val="005096"/>
                <w:sz w:val="18"/>
                <w:szCs w:val="20"/>
              </w:rPr>
            </w:pPr>
            <w:bookmarkStart w:id="5" w:name="_Toc429571751"/>
            <w:r>
              <w:rPr>
                <w:rFonts w:hint="eastAsia"/>
                <w:b/>
                <w:color w:val="005096"/>
                <w:sz w:val="18"/>
                <w:szCs w:val="20"/>
              </w:rPr>
              <w:t>图</w:t>
            </w:r>
            <w:r w:rsidRPr="00FC7922">
              <w:rPr>
                <w:rFonts w:hint="eastAsia"/>
                <w:b/>
                <w:color w:val="005096"/>
                <w:sz w:val="18"/>
                <w:szCs w:val="20"/>
              </w:rPr>
              <w:t xml:space="preserve"> </w:t>
            </w:r>
            <w:r>
              <w:rPr>
                <w:b/>
                <w:color w:val="005096"/>
                <w:sz w:val="18"/>
                <w:szCs w:val="20"/>
              </w:rPr>
              <w:t>23:</w:t>
            </w:r>
            <w:r w:rsidRPr="00FC7922">
              <w:rPr>
                <w:b/>
                <w:color w:val="005096"/>
                <w:sz w:val="18"/>
                <w:szCs w:val="20"/>
              </w:rPr>
              <w:t>上市</w:t>
            </w:r>
            <w:proofErr w:type="gramStart"/>
            <w:r w:rsidRPr="00FC7922">
              <w:rPr>
                <w:b/>
                <w:color w:val="005096"/>
                <w:sz w:val="18"/>
                <w:szCs w:val="20"/>
              </w:rPr>
              <w:t>煤企</w:t>
            </w:r>
            <w:r w:rsidRPr="00FC7922">
              <w:rPr>
                <w:rFonts w:hint="eastAsia"/>
                <w:b/>
                <w:color w:val="005096"/>
                <w:sz w:val="18"/>
                <w:szCs w:val="20"/>
              </w:rPr>
              <w:t>负债率走势</w:t>
            </w:r>
            <w:proofErr w:type="gramEnd"/>
            <w:r w:rsidRPr="00FC7922">
              <w:rPr>
                <w:rFonts w:hint="eastAsia"/>
                <w:b/>
                <w:color w:val="005096"/>
                <w:sz w:val="18"/>
                <w:szCs w:val="20"/>
              </w:rPr>
              <w:t>图（</w:t>
            </w:r>
            <w:r w:rsidRPr="00FC7922">
              <w:rPr>
                <w:rFonts w:hint="eastAsia"/>
                <w:b/>
                <w:color w:val="005096"/>
                <w:sz w:val="18"/>
                <w:szCs w:val="20"/>
              </w:rPr>
              <w:t>%</w:t>
            </w:r>
            <w:r w:rsidRPr="00FC7922">
              <w:rPr>
                <w:rFonts w:hint="eastAsia"/>
                <w:b/>
                <w:color w:val="005096"/>
                <w:sz w:val="18"/>
                <w:szCs w:val="20"/>
              </w:rPr>
              <w:t>）</w:t>
            </w:r>
            <w:bookmarkEnd w:id="5"/>
          </w:p>
          <w:p w:rsidR="005143F4" w:rsidRPr="00FC7922" w:rsidRDefault="005143F4" w:rsidP="00CA06C8">
            <w:pPr>
              <w:spacing w:line="360" w:lineRule="exact"/>
              <w:ind w:right="2100"/>
              <w:rPr>
                <w:rFonts w:ascii="Arial" w:eastAsia="黑体" w:hAnsi="Arial"/>
                <w:b/>
                <w:sz w:val="20"/>
                <w:szCs w:val="20"/>
              </w:rPr>
            </w:pPr>
          </w:p>
        </w:tc>
        <w:tc>
          <w:tcPr>
            <w:tcW w:w="606" w:type="dxa"/>
            <w:gridSpan w:val="3"/>
            <w:tcBorders>
              <w:top w:val="nil"/>
              <w:left w:val="nil"/>
              <w:bottom w:val="nil"/>
              <w:right w:val="nil"/>
            </w:tcBorders>
            <w:vAlign w:val="bottom"/>
          </w:tcPr>
          <w:p w:rsidR="005143F4" w:rsidRPr="00FC7922" w:rsidRDefault="005143F4" w:rsidP="00CA06C8">
            <w:pPr>
              <w:spacing w:line="360" w:lineRule="exact"/>
              <w:rPr>
                <w:rFonts w:ascii="楷体" w:eastAsia="楷体" w:hAnsi="楷体"/>
                <w:b/>
                <w:color w:val="005096"/>
                <w:sz w:val="18"/>
                <w:szCs w:val="20"/>
              </w:rPr>
            </w:pPr>
          </w:p>
        </w:tc>
        <w:tc>
          <w:tcPr>
            <w:tcW w:w="4513" w:type="dxa"/>
            <w:tcBorders>
              <w:top w:val="nil"/>
              <w:left w:val="nil"/>
              <w:bottom w:val="single" w:sz="8" w:space="0" w:color="005096"/>
              <w:right w:val="nil"/>
            </w:tcBorders>
            <w:vAlign w:val="bottom"/>
          </w:tcPr>
          <w:p w:rsidR="005143F4" w:rsidRPr="00FC7922" w:rsidRDefault="005143F4" w:rsidP="00CA06C8">
            <w:pPr>
              <w:spacing w:line="360" w:lineRule="exact"/>
              <w:rPr>
                <w:b/>
                <w:color w:val="005096"/>
                <w:sz w:val="18"/>
                <w:szCs w:val="20"/>
              </w:rPr>
            </w:pPr>
            <w:bookmarkStart w:id="6" w:name="_Toc429571752"/>
            <w:r>
              <w:rPr>
                <w:rFonts w:hint="eastAsia"/>
                <w:b/>
                <w:color w:val="005096"/>
                <w:sz w:val="18"/>
                <w:szCs w:val="20"/>
              </w:rPr>
              <w:t>图</w:t>
            </w:r>
            <w:r w:rsidRPr="00FC7922">
              <w:rPr>
                <w:rFonts w:hint="eastAsia"/>
                <w:b/>
                <w:color w:val="005096"/>
                <w:sz w:val="18"/>
                <w:szCs w:val="20"/>
              </w:rPr>
              <w:t xml:space="preserve"> </w:t>
            </w:r>
            <w:r>
              <w:rPr>
                <w:b/>
                <w:color w:val="005096"/>
                <w:sz w:val="18"/>
                <w:szCs w:val="20"/>
              </w:rPr>
              <w:t>24</w:t>
            </w:r>
            <w:r>
              <w:rPr>
                <w:rFonts w:hint="eastAsia"/>
                <w:b/>
                <w:color w:val="005096"/>
                <w:sz w:val="18"/>
                <w:szCs w:val="20"/>
              </w:rPr>
              <w:t>：</w:t>
            </w:r>
            <w:r w:rsidRPr="00FC7922">
              <w:rPr>
                <w:rFonts w:hint="eastAsia"/>
                <w:b/>
                <w:noProof/>
                <w:color w:val="005096"/>
                <w:sz w:val="18"/>
                <w:szCs w:val="20"/>
              </w:rPr>
              <w:t>上市煤企偿债能力</w:t>
            </w:r>
            <w:bookmarkEnd w:id="6"/>
            <w:r w:rsidRPr="00FC7922">
              <w:rPr>
                <w:rFonts w:hint="eastAsia"/>
                <w:b/>
                <w:noProof/>
                <w:color w:val="005096"/>
                <w:sz w:val="18"/>
                <w:szCs w:val="20"/>
              </w:rPr>
              <w:t>走势</w:t>
            </w:r>
          </w:p>
        </w:tc>
      </w:tr>
      <w:tr w:rsidR="005143F4" w:rsidRPr="00FC7922" w:rsidTr="00CA06C8">
        <w:trPr>
          <w:trHeight w:hRule="exact" w:val="2961"/>
        </w:trPr>
        <w:tc>
          <w:tcPr>
            <w:tcW w:w="4718" w:type="dxa"/>
            <w:gridSpan w:val="2"/>
            <w:tcBorders>
              <w:top w:val="single" w:sz="8" w:space="0" w:color="005096"/>
              <w:left w:val="nil"/>
              <w:bottom w:val="single" w:sz="8" w:space="0" w:color="005096"/>
              <w:right w:val="nil"/>
            </w:tcBorders>
          </w:tcPr>
          <w:p w:rsidR="005143F4" w:rsidRPr="00FC7922" w:rsidRDefault="005143F4" w:rsidP="00CA06C8">
            <w:pPr>
              <w:autoSpaceDE w:val="0"/>
              <w:autoSpaceDN w:val="0"/>
              <w:spacing w:beforeLines="50" w:afterLines="50" w:line="360" w:lineRule="auto"/>
              <w:rPr>
                <w:rFonts w:ascii="楷体" w:eastAsia="楷体" w:hAnsi="楷体"/>
                <w:sz w:val="24"/>
              </w:rPr>
            </w:pPr>
            <w:r w:rsidRPr="00FC7922">
              <w:rPr>
                <w:noProof/>
              </w:rPr>
              <w:drawing>
                <wp:inline distT="0" distB="0" distL="0" distR="0">
                  <wp:extent cx="2819400" cy="1606550"/>
                  <wp:effectExtent l="0" t="0" r="0" b="0"/>
                  <wp:docPr id="13" name="图表 12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68" w:type="dxa"/>
            <w:tcBorders>
              <w:top w:val="nil"/>
              <w:left w:val="nil"/>
              <w:bottom w:val="nil"/>
              <w:right w:val="nil"/>
            </w:tcBorders>
          </w:tcPr>
          <w:p w:rsidR="005143F4" w:rsidRPr="00FC7922" w:rsidRDefault="005143F4" w:rsidP="00CA06C8">
            <w:pPr>
              <w:autoSpaceDE w:val="0"/>
              <w:autoSpaceDN w:val="0"/>
              <w:spacing w:beforeLines="50" w:afterLines="50" w:line="360" w:lineRule="auto"/>
              <w:rPr>
                <w:rFonts w:ascii="楷体" w:eastAsia="楷体" w:hAnsi="楷体"/>
                <w:sz w:val="24"/>
              </w:rPr>
            </w:pPr>
          </w:p>
        </w:tc>
        <w:tc>
          <w:tcPr>
            <w:tcW w:w="4717" w:type="dxa"/>
            <w:gridSpan w:val="3"/>
            <w:tcBorders>
              <w:top w:val="single" w:sz="8" w:space="0" w:color="005096"/>
              <w:left w:val="nil"/>
              <w:bottom w:val="single" w:sz="8" w:space="0" w:color="005096"/>
              <w:right w:val="nil"/>
            </w:tcBorders>
          </w:tcPr>
          <w:p w:rsidR="005143F4" w:rsidRPr="00FC7922" w:rsidRDefault="005143F4" w:rsidP="00CA06C8">
            <w:pPr>
              <w:keepNext/>
              <w:autoSpaceDE w:val="0"/>
              <w:autoSpaceDN w:val="0"/>
              <w:spacing w:beforeLines="50" w:afterLines="50" w:line="360" w:lineRule="auto"/>
              <w:rPr>
                <w:rFonts w:ascii="楷体" w:eastAsia="楷体" w:hAnsi="楷体"/>
                <w:sz w:val="24"/>
              </w:rPr>
            </w:pPr>
            <w:r w:rsidRPr="00FC7922">
              <w:rPr>
                <w:noProof/>
              </w:rPr>
              <w:drawing>
                <wp:inline distT="0" distB="0" distL="0" distR="0">
                  <wp:extent cx="2895600" cy="1595755"/>
                  <wp:effectExtent l="0" t="0" r="0" b="4445"/>
                  <wp:docPr id="18" name="图表 12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5143F4" w:rsidRPr="00FC7922" w:rsidRDefault="005143F4" w:rsidP="005143F4">
      <w:pPr>
        <w:spacing w:afterLines="50" w:line="360" w:lineRule="exact"/>
        <w:rPr>
          <w:sz w:val="16"/>
          <w:szCs w:val="16"/>
        </w:rPr>
      </w:pPr>
      <w:r w:rsidRPr="00FC7922">
        <w:rPr>
          <w:rFonts w:hint="eastAsia"/>
          <w:sz w:val="16"/>
          <w:szCs w:val="16"/>
        </w:rPr>
        <w:t>资料来源：</w:t>
      </w:r>
      <w:r w:rsidRPr="00FC7922">
        <w:rPr>
          <w:rFonts w:hint="eastAsia"/>
          <w:sz w:val="16"/>
          <w:szCs w:val="16"/>
        </w:rPr>
        <w:t>WIND</w:t>
      </w:r>
      <w:r w:rsidRPr="00FC7922">
        <w:rPr>
          <w:rFonts w:hint="eastAsia"/>
          <w:sz w:val="16"/>
          <w:szCs w:val="16"/>
        </w:rPr>
        <w:t>，民生证券研究院</w:t>
      </w:r>
      <w:r w:rsidRPr="00FC7922">
        <w:rPr>
          <w:rFonts w:hint="eastAsia"/>
          <w:sz w:val="16"/>
          <w:szCs w:val="16"/>
        </w:rPr>
        <w:t xml:space="preserve">                              </w:t>
      </w:r>
      <w:r w:rsidRPr="00FC7922">
        <w:rPr>
          <w:sz w:val="16"/>
          <w:szCs w:val="16"/>
        </w:rPr>
        <w:t xml:space="preserve">    </w:t>
      </w:r>
      <w:r w:rsidRPr="00FC7922">
        <w:rPr>
          <w:rFonts w:hint="eastAsia"/>
          <w:sz w:val="16"/>
          <w:szCs w:val="16"/>
        </w:rPr>
        <w:t>资料来源：</w:t>
      </w:r>
      <w:r w:rsidRPr="00FC7922">
        <w:rPr>
          <w:rFonts w:hint="eastAsia"/>
          <w:sz w:val="16"/>
          <w:szCs w:val="16"/>
        </w:rPr>
        <w:t>WIND</w:t>
      </w:r>
      <w:r w:rsidRPr="00FC7922">
        <w:rPr>
          <w:rFonts w:hint="eastAsia"/>
          <w:sz w:val="16"/>
          <w:szCs w:val="16"/>
        </w:rPr>
        <w:t>，民生证券研究院</w:t>
      </w:r>
    </w:p>
    <w:p w:rsidR="005143F4" w:rsidRDefault="005143F4" w:rsidP="005143F4">
      <w:pPr>
        <w:spacing w:line="360" w:lineRule="auto"/>
        <w:ind w:rightChars="1000" w:right="2100"/>
        <w:rPr>
          <w:rFonts w:ascii="楷体" w:eastAsia="楷体" w:hAnsi="楷体"/>
          <w:szCs w:val="21"/>
        </w:rPr>
      </w:pPr>
    </w:p>
    <w:p w:rsidR="005143F4" w:rsidRPr="00AB2FF0" w:rsidRDefault="005143F4" w:rsidP="005143F4">
      <w:pPr>
        <w:pStyle w:val="aff2"/>
        <w:numPr>
          <w:ilvl w:val="0"/>
          <w:numId w:val="26"/>
        </w:numPr>
        <w:spacing w:line="360" w:lineRule="auto"/>
        <w:ind w:rightChars="1000" w:right="2100" w:firstLineChars="0"/>
        <w:rPr>
          <w:rFonts w:ascii="楷体" w:eastAsia="楷体" w:hAnsi="楷体"/>
          <w:b/>
          <w:szCs w:val="21"/>
        </w:rPr>
      </w:pPr>
      <w:r w:rsidRPr="00AB2FF0">
        <w:rPr>
          <w:rFonts w:ascii="楷体" w:eastAsia="楷体" w:hAnsi="楷体" w:hint="eastAsia"/>
          <w:b/>
          <w:szCs w:val="21"/>
        </w:rPr>
        <w:t>煤炭行业未来三年关停产能7亿吨，供需格局有望得到大幅改善。</w:t>
      </w:r>
    </w:p>
    <w:p w:rsidR="005143F4" w:rsidRPr="00AB2FF0" w:rsidRDefault="005143F4" w:rsidP="005143F4">
      <w:pPr>
        <w:spacing w:line="360" w:lineRule="auto"/>
        <w:ind w:rightChars="1000" w:right="2100" w:firstLine="420"/>
        <w:rPr>
          <w:rFonts w:ascii="楷体" w:eastAsia="楷体" w:hAnsi="楷体"/>
          <w:szCs w:val="21"/>
        </w:rPr>
      </w:pPr>
      <w:r w:rsidRPr="00AB2FF0">
        <w:rPr>
          <w:rFonts w:ascii="楷体" w:eastAsia="楷体" w:hAnsi="楷体" w:hint="eastAsia"/>
          <w:szCs w:val="21"/>
        </w:rPr>
        <w:t>根据中煤协的数据的，截止2015年底，中国煤矿总产能为57亿吨，正常生产及改造煤矿39亿。根据煤炭行业协会统计未来仍将有5亿吨的在建产能将陆续投产；2015年的煤炭需求大约为35亿吨，</w:t>
      </w:r>
      <w:r w:rsidRPr="005143F4">
        <w:rPr>
          <w:rFonts w:ascii="楷体" w:eastAsia="楷体" w:hAnsi="楷体" w:hint="eastAsia"/>
          <w:szCs w:val="21"/>
        </w:rPr>
        <w:t>受经济结构和能源结构的调整，预计短期内煤炭需求仍将持续萎缩。</w:t>
      </w:r>
    </w:p>
    <w:p w:rsidR="005143F4" w:rsidRDefault="005143F4" w:rsidP="005143F4">
      <w:pPr>
        <w:spacing w:line="360" w:lineRule="auto"/>
        <w:ind w:rightChars="1000" w:right="2100" w:firstLine="420"/>
        <w:rPr>
          <w:rFonts w:ascii="楷体" w:eastAsia="楷体" w:hAnsi="楷体"/>
          <w:szCs w:val="21"/>
        </w:rPr>
      </w:pPr>
      <w:proofErr w:type="gramStart"/>
      <w:r w:rsidRPr="005143F4">
        <w:rPr>
          <w:rFonts w:ascii="楷体" w:eastAsia="楷体" w:hAnsi="楷体" w:hint="eastAsia"/>
          <w:szCs w:val="21"/>
        </w:rPr>
        <w:t>国家发改委</w:t>
      </w:r>
      <w:proofErr w:type="gramEnd"/>
      <w:r w:rsidRPr="005143F4">
        <w:rPr>
          <w:rFonts w:ascii="楷体" w:eastAsia="楷体" w:hAnsi="楷体" w:hint="eastAsia"/>
          <w:szCs w:val="21"/>
        </w:rPr>
        <w:t>等部门在就煤炭去产能征求意见中提出,未来三年，中国将关闭4300家煤矿，三年淘汰7亿吨煤炭产能; 国务院日前印发的《关于煤炭行业化解过剩产能实现脱困发展的意见》明确要利用3-</w:t>
      </w:r>
      <w:r w:rsidRPr="005143F4">
        <w:rPr>
          <w:rFonts w:ascii="楷体" w:eastAsia="楷体" w:hAnsi="楷体"/>
          <w:szCs w:val="21"/>
        </w:rPr>
        <w:t>5年</w:t>
      </w:r>
      <w:r w:rsidRPr="005143F4">
        <w:rPr>
          <w:rFonts w:ascii="楷体" w:eastAsia="楷体" w:hAnsi="楷体" w:hint="eastAsia"/>
          <w:szCs w:val="21"/>
        </w:rPr>
        <w:t>退出产能5亿吨左右、减量重组5亿吨左右，</w:t>
      </w:r>
      <w:r w:rsidRPr="005143F4">
        <w:rPr>
          <w:rFonts w:ascii="楷体" w:eastAsia="楷体" w:hAnsi="楷体"/>
          <w:szCs w:val="21"/>
        </w:rPr>
        <w:t>基本实现供需平衡</w:t>
      </w:r>
      <w:r w:rsidRPr="005143F4">
        <w:rPr>
          <w:rFonts w:ascii="楷体" w:eastAsia="楷体" w:hAnsi="楷体" w:hint="eastAsia"/>
          <w:szCs w:val="21"/>
        </w:rPr>
        <w:t>。假设未来</w:t>
      </w:r>
      <w:r w:rsidRPr="00AB2FF0">
        <w:rPr>
          <w:rFonts w:ascii="楷体" w:eastAsia="楷体" w:hAnsi="楷体" w:hint="eastAsia"/>
          <w:szCs w:val="21"/>
        </w:rPr>
        <w:t>三年价格持续低迷，10%的在产产能（3.9亿吨）受市场倒逼退出，加上关停7亿吨（包含有安全隐患、</w:t>
      </w:r>
      <w:r w:rsidRPr="005143F4">
        <w:rPr>
          <w:rFonts w:ascii="楷体" w:eastAsia="楷体" w:hAnsi="楷体" w:hint="eastAsia"/>
          <w:szCs w:val="21"/>
        </w:rPr>
        <w:t>劣质煤矿等）</w:t>
      </w:r>
      <w:r w:rsidRPr="00AB2FF0">
        <w:rPr>
          <w:rFonts w:ascii="楷体" w:eastAsia="楷体" w:hAnsi="楷体" w:hint="eastAsia"/>
          <w:szCs w:val="21"/>
        </w:rPr>
        <w:t>，产能将收缩10.9亿吨。即使后续的5亿吨产能陆续投产，仍较目前供应量将收缩5.9亿吨；如果未来三年需求按每年3%的速度缩减，三年需求共减少3.2亿吨左右。我们预计2015年供需差为4.2亿吨左右，随着煤炭去产能进程的推进，</w:t>
      </w:r>
      <w:r>
        <w:rPr>
          <w:rFonts w:ascii="楷体" w:eastAsia="楷体" w:hAnsi="楷体" w:hint="eastAsia"/>
          <w:szCs w:val="21"/>
        </w:rPr>
        <w:t>在</w:t>
      </w:r>
      <w:r w:rsidRPr="00AB2FF0">
        <w:rPr>
          <w:rFonts w:ascii="楷体" w:eastAsia="楷体" w:hAnsi="楷体" w:hint="eastAsia"/>
          <w:szCs w:val="21"/>
        </w:rPr>
        <w:t>维持社会库存不变的情况下，供需</w:t>
      </w:r>
      <w:proofErr w:type="gramStart"/>
      <w:r w:rsidRPr="00AB2FF0">
        <w:rPr>
          <w:rFonts w:ascii="楷体" w:eastAsia="楷体" w:hAnsi="楷体" w:hint="eastAsia"/>
          <w:szCs w:val="21"/>
        </w:rPr>
        <w:t>差未来</w:t>
      </w:r>
      <w:proofErr w:type="gramEnd"/>
      <w:r w:rsidRPr="00AB2FF0">
        <w:rPr>
          <w:rFonts w:ascii="楷体" w:eastAsia="楷体" w:hAnsi="楷体" w:hint="eastAsia"/>
          <w:szCs w:val="21"/>
        </w:rPr>
        <w:t>三年（2016年-2018年）将大幅收窄2.7亿吨至1.5</w:t>
      </w:r>
      <w:r>
        <w:rPr>
          <w:rFonts w:ascii="楷体" w:eastAsia="楷体" w:hAnsi="楷体" w:hint="eastAsia"/>
          <w:szCs w:val="21"/>
        </w:rPr>
        <w:t>亿吨，市场供需格局有望得到重大改善</w:t>
      </w:r>
      <w:r w:rsidRPr="005143F4">
        <w:rPr>
          <w:rFonts w:ascii="楷体" w:eastAsia="楷体" w:hAnsi="楷体" w:hint="eastAsia"/>
          <w:szCs w:val="21"/>
        </w:rPr>
        <w:t>，基本能完成《关于煤炭行业化解过剩产能实现脱困发展的意见》中利用3-</w:t>
      </w:r>
      <w:r w:rsidRPr="005143F4">
        <w:rPr>
          <w:rFonts w:ascii="楷体" w:eastAsia="楷体" w:hAnsi="楷体"/>
          <w:szCs w:val="21"/>
        </w:rPr>
        <w:t>5年基本实现供需平衡的目标。</w:t>
      </w:r>
    </w:p>
    <w:tbl>
      <w:tblPr>
        <w:tblW w:w="7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5"/>
        <w:gridCol w:w="2237"/>
        <w:gridCol w:w="141"/>
      </w:tblGrid>
      <w:tr w:rsidR="005143F4" w:rsidRPr="00AB2FF0" w:rsidTr="00CA06C8">
        <w:trPr>
          <w:trHeight w:hRule="exact" w:val="454"/>
        </w:trPr>
        <w:tc>
          <w:tcPr>
            <w:tcW w:w="4675" w:type="dxa"/>
            <w:tcBorders>
              <w:top w:val="nil"/>
              <w:left w:val="nil"/>
              <w:bottom w:val="single" w:sz="8" w:space="0" w:color="005096"/>
              <w:right w:val="nil"/>
            </w:tcBorders>
            <w:vAlign w:val="bottom"/>
          </w:tcPr>
          <w:p w:rsidR="005143F4" w:rsidRPr="00AB2FF0" w:rsidRDefault="005143F4" w:rsidP="00CA06C8">
            <w:pPr>
              <w:spacing w:line="360" w:lineRule="exact"/>
              <w:rPr>
                <w:rFonts w:cs="Arial"/>
                <w:b/>
                <w:color w:val="005096"/>
                <w:sz w:val="18"/>
                <w:szCs w:val="18"/>
              </w:rPr>
            </w:pPr>
            <w:r>
              <w:rPr>
                <w:rFonts w:hint="eastAsia"/>
                <w:b/>
                <w:color w:val="005096"/>
                <w:sz w:val="18"/>
                <w:szCs w:val="20"/>
              </w:rPr>
              <w:t>图</w:t>
            </w:r>
            <w:r>
              <w:rPr>
                <w:rFonts w:hint="eastAsia"/>
                <w:b/>
                <w:color w:val="005096"/>
                <w:sz w:val="18"/>
                <w:szCs w:val="20"/>
              </w:rPr>
              <w:t xml:space="preserve"> 25:</w:t>
            </w:r>
            <w:r w:rsidRPr="00AB2FF0">
              <w:rPr>
                <w:rFonts w:hint="eastAsia"/>
                <w:b/>
                <w:color w:val="005096"/>
                <w:sz w:val="18"/>
                <w:szCs w:val="20"/>
              </w:rPr>
              <w:t>中国煤炭产能分布</w:t>
            </w:r>
            <w:r w:rsidRPr="005143F4">
              <w:rPr>
                <w:rFonts w:hint="eastAsia"/>
                <w:b/>
                <w:color w:val="005096"/>
                <w:sz w:val="18"/>
                <w:szCs w:val="20"/>
              </w:rPr>
              <w:t>（吨）</w:t>
            </w:r>
          </w:p>
        </w:tc>
        <w:tc>
          <w:tcPr>
            <w:tcW w:w="2378" w:type="dxa"/>
            <w:gridSpan w:val="2"/>
            <w:tcBorders>
              <w:top w:val="nil"/>
              <w:left w:val="nil"/>
              <w:bottom w:val="nil"/>
              <w:right w:val="nil"/>
            </w:tcBorders>
            <w:vAlign w:val="bottom"/>
          </w:tcPr>
          <w:p w:rsidR="005143F4" w:rsidRPr="00AB2FF0" w:rsidRDefault="005143F4" w:rsidP="00CA06C8">
            <w:pPr>
              <w:spacing w:line="360" w:lineRule="exact"/>
              <w:rPr>
                <w:rFonts w:cs="Arial"/>
                <w:b/>
                <w:color w:val="005096"/>
                <w:sz w:val="18"/>
                <w:szCs w:val="18"/>
              </w:rPr>
            </w:pPr>
          </w:p>
        </w:tc>
      </w:tr>
      <w:tr w:rsidR="005143F4" w:rsidRPr="00AB2FF0" w:rsidTr="00CA06C8">
        <w:trPr>
          <w:gridAfter w:val="1"/>
          <w:wAfter w:w="141" w:type="dxa"/>
          <w:trHeight w:hRule="exact" w:val="2895"/>
        </w:trPr>
        <w:tc>
          <w:tcPr>
            <w:tcW w:w="6912" w:type="dxa"/>
            <w:gridSpan w:val="2"/>
            <w:tcBorders>
              <w:top w:val="single" w:sz="8" w:space="0" w:color="005096"/>
              <w:left w:val="nil"/>
              <w:bottom w:val="single" w:sz="8" w:space="0" w:color="005096"/>
              <w:right w:val="nil"/>
            </w:tcBorders>
          </w:tcPr>
          <w:p w:rsidR="005143F4" w:rsidRPr="00AB2FF0" w:rsidRDefault="005143F4" w:rsidP="00CA06C8">
            <w:pPr>
              <w:autoSpaceDE w:val="0"/>
              <w:autoSpaceDN w:val="0"/>
              <w:jc w:val="center"/>
              <w:rPr>
                <w:rFonts w:ascii="华文楷体" w:eastAsia="华文楷体" w:hAnsi="华文楷体"/>
                <w:b/>
                <w:sz w:val="24"/>
                <w:szCs w:val="22"/>
              </w:rPr>
            </w:pPr>
            <w:r w:rsidRPr="00AB2FF0">
              <w:rPr>
                <w:noProof/>
              </w:rPr>
              <w:lastRenderedPageBreak/>
              <w:drawing>
                <wp:anchor distT="0" distB="0" distL="114300" distR="114300" simplePos="0" relativeHeight="251679232" behindDoc="1" locked="0" layoutInCell="1" allowOverlap="1">
                  <wp:simplePos x="0" y="0"/>
                  <wp:positionH relativeFrom="column">
                    <wp:posOffset>399415</wp:posOffset>
                  </wp:positionH>
                  <wp:positionV relativeFrom="paragraph">
                    <wp:posOffset>635</wp:posOffset>
                  </wp:positionV>
                  <wp:extent cx="3454400" cy="1949450"/>
                  <wp:effectExtent l="0" t="0" r="0" b="0"/>
                  <wp:wrapNone/>
                  <wp:docPr id="19" name="图表 12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tc>
      </w:tr>
    </w:tbl>
    <w:p w:rsidR="005143F4" w:rsidRPr="00AB2FF0" w:rsidRDefault="005143F4" w:rsidP="005143F4">
      <w:pPr>
        <w:spacing w:afterLines="50" w:line="360" w:lineRule="exact"/>
        <w:rPr>
          <w:sz w:val="16"/>
          <w:szCs w:val="16"/>
        </w:rPr>
      </w:pPr>
      <w:r w:rsidRPr="00AB2FF0">
        <w:rPr>
          <w:rFonts w:hint="eastAsia"/>
          <w:sz w:val="16"/>
          <w:szCs w:val="16"/>
        </w:rPr>
        <w:t>资料来源：中煤协，民生证券研究院</w:t>
      </w:r>
      <w:r w:rsidRPr="00AB2FF0">
        <w:rPr>
          <w:rFonts w:hint="eastAsia"/>
          <w:sz w:val="16"/>
          <w:szCs w:val="16"/>
        </w:rPr>
        <w:t xml:space="preserve">  </w:t>
      </w:r>
      <w:r w:rsidRPr="00AB2FF0">
        <w:rPr>
          <w:sz w:val="16"/>
          <w:szCs w:val="16"/>
        </w:rPr>
        <w:t xml:space="preserve"> </w:t>
      </w:r>
    </w:p>
    <w:p w:rsidR="005143F4" w:rsidRPr="00AB2FF0" w:rsidRDefault="005143F4" w:rsidP="005143F4">
      <w:pPr>
        <w:spacing w:line="360" w:lineRule="auto"/>
        <w:ind w:rightChars="1000" w:right="2100"/>
        <w:rPr>
          <w:rFonts w:ascii="楷体" w:eastAsia="楷体" w:hAnsi="楷体"/>
          <w:szCs w:val="21"/>
        </w:rPr>
      </w:pPr>
    </w:p>
    <w:p w:rsidR="005143F4" w:rsidRPr="00A43CEA" w:rsidRDefault="005143F4" w:rsidP="005143F4">
      <w:pPr>
        <w:pStyle w:val="aff2"/>
        <w:numPr>
          <w:ilvl w:val="0"/>
          <w:numId w:val="23"/>
        </w:numPr>
        <w:spacing w:line="360" w:lineRule="auto"/>
        <w:ind w:rightChars="1000" w:right="2100" w:firstLineChars="0"/>
        <w:rPr>
          <w:rFonts w:ascii="楷体" w:eastAsia="楷体" w:hAnsi="楷体"/>
          <w:b/>
          <w:szCs w:val="21"/>
        </w:rPr>
      </w:pPr>
      <w:r>
        <w:rPr>
          <w:rFonts w:ascii="楷体" w:eastAsia="楷体" w:hAnsi="楷体" w:hint="eastAsia"/>
          <w:b/>
          <w:szCs w:val="21"/>
        </w:rPr>
        <w:t>供给</w:t>
      </w:r>
      <w:proofErr w:type="gramStart"/>
      <w:r>
        <w:rPr>
          <w:rFonts w:ascii="楷体" w:eastAsia="楷体" w:hAnsi="楷体" w:hint="eastAsia"/>
          <w:b/>
          <w:szCs w:val="21"/>
        </w:rPr>
        <w:t>侧改革</w:t>
      </w:r>
      <w:proofErr w:type="gramEnd"/>
      <w:r>
        <w:rPr>
          <w:rFonts w:ascii="楷体" w:eastAsia="楷体" w:hAnsi="楷体" w:hint="eastAsia"/>
          <w:b/>
          <w:szCs w:val="21"/>
        </w:rPr>
        <w:t>有望成为煤炭板块上涨的最大逻辑</w:t>
      </w:r>
    </w:p>
    <w:p w:rsidR="005143F4" w:rsidRDefault="005143F4" w:rsidP="005143F4">
      <w:pPr>
        <w:spacing w:line="360" w:lineRule="auto"/>
        <w:ind w:rightChars="1000" w:right="2100" w:firstLine="360"/>
        <w:rPr>
          <w:rFonts w:ascii="楷体" w:eastAsia="楷体" w:hAnsi="楷体"/>
          <w:szCs w:val="21"/>
        </w:rPr>
      </w:pPr>
      <w:r w:rsidRPr="005143F4">
        <w:rPr>
          <w:rFonts w:ascii="楷体" w:eastAsia="楷体" w:hAnsi="楷体" w:hint="eastAsia"/>
          <w:szCs w:val="21"/>
        </w:rPr>
        <w:t>七问“权威人士”供给</w:t>
      </w:r>
      <w:proofErr w:type="gramStart"/>
      <w:r w:rsidRPr="005143F4">
        <w:rPr>
          <w:rFonts w:ascii="楷体" w:eastAsia="楷体" w:hAnsi="楷体" w:hint="eastAsia"/>
          <w:szCs w:val="21"/>
        </w:rPr>
        <w:t>侧改革</w:t>
      </w:r>
      <w:proofErr w:type="gramEnd"/>
      <w:r w:rsidRPr="005143F4">
        <w:rPr>
          <w:rFonts w:ascii="楷体" w:eastAsia="楷体" w:hAnsi="楷体" w:hint="eastAsia"/>
          <w:szCs w:val="21"/>
        </w:rPr>
        <w:t>不久，千亿去产能专项资金来源随即落地和国家层面又出台煤炭去产能的顶层路线图，</w:t>
      </w:r>
      <w:r w:rsidRPr="00CD3660">
        <w:rPr>
          <w:rFonts w:ascii="楷体" w:eastAsia="楷体" w:hAnsi="楷体" w:hint="eastAsia"/>
          <w:szCs w:val="21"/>
        </w:rPr>
        <w:t>显示出中央对于供给</w:t>
      </w:r>
      <w:proofErr w:type="gramStart"/>
      <w:r w:rsidRPr="00CD3660">
        <w:rPr>
          <w:rFonts w:ascii="楷体" w:eastAsia="楷体" w:hAnsi="楷体" w:hint="eastAsia"/>
          <w:szCs w:val="21"/>
        </w:rPr>
        <w:t>侧改革</w:t>
      </w:r>
      <w:proofErr w:type="gramEnd"/>
      <w:r w:rsidRPr="00CD3660">
        <w:rPr>
          <w:rFonts w:ascii="楷体" w:eastAsia="楷体" w:hAnsi="楷体" w:hint="eastAsia"/>
          <w:szCs w:val="21"/>
        </w:rPr>
        <w:t>的决心和力度；随着后续供给</w:t>
      </w:r>
      <w:proofErr w:type="gramStart"/>
      <w:r w:rsidRPr="00CD3660">
        <w:rPr>
          <w:rFonts w:ascii="楷体" w:eastAsia="楷体" w:hAnsi="楷体" w:hint="eastAsia"/>
          <w:szCs w:val="21"/>
        </w:rPr>
        <w:t>侧改革</w:t>
      </w:r>
      <w:proofErr w:type="gramEnd"/>
      <w:r w:rsidRPr="00CD3660">
        <w:rPr>
          <w:rFonts w:ascii="楷体" w:eastAsia="楷体" w:hAnsi="楷体" w:hint="eastAsia"/>
          <w:szCs w:val="21"/>
        </w:rPr>
        <w:t>相关配套政策的出台和去产能目标的细化，供给</w:t>
      </w:r>
      <w:proofErr w:type="gramStart"/>
      <w:r w:rsidRPr="00CD3660">
        <w:rPr>
          <w:rFonts w:ascii="楷体" w:eastAsia="楷体" w:hAnsi="楷体" w:hint="eastAsia"/>
          <w:szCs w:val="21"/>
        </w:rPr>
        <w:t>侧改革</w:t>
      </w:r>
      <w:proofErr w:type="gramEnd"/>
      <w:r w:rsidRPr="00CD3660">
        <w:rPr>
          <w:rFonts w:ascii="楷体" w:eastAsia="楷体" w:hAnsi="楷体" w:hint="eastAsia"/>
          <w:szCs w:val="21"/>
        </w:rPr>
        <w:t>有望加速，将持续催化煤炭板块。目前，煤炭股估值（相对于A股</w:t>
      </w:r>
      <w:proofErr w:type="gramStart"/>
      <w:r w:rsidRPr="00CD3660">
        <w:rPr>
          <w:rFonts w:ascii="楷体" w:eastAsia="楷体" w:hAnsi="楷体" w:hint="eastAsia"/>
          <w:szCs w:val="21"/>
        </w:rPr>
        <w:t>的市净率</w:t>
      </w:r>
      <w:proofErr w:type="gramEnd"/>
      <w:r w:rsidRPr="00CD3660">
        <w:rPr>
          <w:rFonts w:ascii="楷体" w:eastAsia="楷体" w:hAnsi="楷体" w:hint="eastAsia"/>
          <w:szCs w:val="21"/>
        </w:rPr>
        <w:t>）处在历史低位，尽管预计今年煤炭市场仍将下行，但供给</w:t>
      </w:r>
      <w:proofErr w:type="gramStart"/>
      <w:r w:rsidRPr="00CD3660">
        <w:rPr>
          <w:rFonts w:ascii="楷体" w:eastAsia="楷体" w:hAnsi="楷体" w:hint="eastAsia"/>
          <w:szCs w:val="21"/>
        </w:rPr>
        <w:t>侧改革有望极</w:t>
      </w:r>
      <w:proofErr w:type="gramEnd"/>
      <w:r w:rsidRPr="00CD3660">
        <w:rPr>
          <w:rFonts w:ascii="楷体" w:eastAsia="楷体" w:hAnsi="楷体" w:hint="eastAsia"/>
          <w:szCs w:val="21"/>
        </w:rPr>
        <w:t>大扭转煤炭企业盈利持续恶化的预期，供给</w:t>
      </w:r>
      <w:proofErr w:type="gramStart"/>
      <w:r w:rsidRPr="00CD3660">
        <w:rPr>
          <w:rFonts w:ascii="楷体" w:eastAsia="楷体" w:hAnsi="楷体" w:hint="eastAsia"/>
          <w:szCs w:val="21"/>
        </w:rPr>
        <w:t>侧改革</w:t>
      </w:r>
      <w:proofErr w:type="gramEnd"/>
      <w:r w:rsidRPr="00CD3660">
        <w:rPr>
          <w:rFonts w:ascii="楷体" w:eastAsia="楷体" w:hAnsi="楷体" w:hint="eastAsia"/>
          <w:szCs w:val="21"/>
        </w:rPr>
        <w:t>有望带来煤炭板块的价值重估，我们认为供给</w:t>
      </w:r>
      <w:proofErr w:type="gramStart"/>
      <w:r w:rsidRPr="00CD3660">
        <w:rPr>
          <w:rFonts w:ascii="楷体" w:eastAsia="楷体" w:hAnsi="楷体" w:hint="eastAsia"/>
          <w:szCs w:val="21"/>
        </w:rPr>
        <w:t>侧改革</w:t>
      </w:r>
      <w:proofErr w:type="gramEnd"/>
      <w:r w:rsidRPr="00CD3660">
        <w:rPr>
          <w:rFonts w:ascii="楷体" w:eastAsia="楷体" w:hAnsi="楷体" w:hint="eastAsia"/>
          <w:szCs w:val="21"/>
        </w:rPr>
        <w:t>是煤炭板块上涨的最大逻辑，建议待大盘企稳后积极介入。</w:t>
      </w:r>
    </w:p>
    <w:p w:rsidR="005143F4" w:rsidRPr="00CD3660" w:rsidRDefault="005143F4" w:rsidP="005143F4">
      <w:pPr>
        <w:spacing w:line="360" w:lineRule="auto"/>
        <w:ind w:rightChars="1000" w:right="2100" w:firstLine="360"/>
        <w:rPr>
          <w:rFonts w:ascii="楷体" w:eastAsia="楷体" w:hAnsi="楷体"/>
          <w:szCs w:val="21"/>
        </w:rPr>
      </w:pPr>
      <w:r w:rsidRPr="005143F4">
        <w:rPr>
          <w:rFonts w:ascii="楷体" w:eastAsia="楷体" w:hAnsi="楷体" w:hint="eastAsia"/>
          <w:szCs w:val="21"/>
        </w:rPr>
        <w:t>短期来讲，煤炭行业的供给</w:t>
      </w:r>
      <w:proofErr w:type="gramStart"/>
      <w:r w:rsidRPr="005143F4">
        <w:rPr>
          <w:rFonts w:ascii="楷体" w:eastAsia="楷体" w:hAnsi="楷体" w:hint="eastAsia"/>
          <w:szCs w:val="21"/>
        </w:rPr>
        <w:t>侧改革</w:t>
      </w:r>
      <w:proofErr w:type="gramEnd"/>
      <w:r w:rsidRPr="005143F4">
        <w:rPr>
          <w:rFonts w:ascii="楷体" w:eastAsia="楷体" w:hAnsi="楷体" w:hint="eastAsia"/>
          <w:szCs w:val="21"/>
        </w:rPr>
        <w:t>还是以重点产煤区进行试点为主，重点产煤区域的龙头企业有望受益。</w:t>
      </w:r>
      <w:r w:rsidRPr="00CD3660">
        <w:rPr>
          <w:rFonts w:ascii="楷体" w:eastAsia="楷体" w:hAnsi="楷体" w:hint="eastAsia"/>
          <w:szCs w:val="21"/>
        </w:rPr>
        <w:t>对于煤炭板块，我们维持三条投资主线：（1）低估值蓝筹+供给侧改革：中国神华、中煤能源、陕西煤业、</w:t>
      </w:r>
      <w:r w:rsidRPr="005143F4">
        <w:rPr>
          <w:rFonts w:ascii="楷体" w:eastAsia="楷体" w:hAnsi="楷体" w:hint="eastAsia"/>
          <w:szCs w:val="21"/>
        </w:rPr>
        <w:t>西山煤电、</w:t>
      </w:r>
      <w:r w:rsidRPr="00CD3660">
        <w:rPr>
          <w:rFonts w:ascii="楷体" w:eastAsia="楷体" w:hAnsi="楷体" w:hint="eastAsia"/>
          <w:szCs w:val="21"/>
        </w:rPr>
        <w:t>阳泉煤业、</w:t>
      </w:r>
      <w:proofErr w:type="gramStart"/>
      <w:r w:rsidRPr="00CD3660">
        <w:rPr>
          <w:rFonts w:ascii="楷体" w:eastAsia="楷体" w:hAnsi="楷体" w:hint="eastAsia"/>
          <w:szCs w:val="21"/>
        </w:rPr>
        <w:t>潞</w:t>
      </w:r>
      <w:proofErr w:type="gramEnd"/>
      <w:r w:rsidRPr="00CD3660">
        <w:rPr>
          <w:rFonts w:ascii="楷体" w:eastAsia="楷体" w:hAnsi="楷体" w:hint="eastAsia"/>
          <w:szCs w:val="21"/>
        </w:rPr>
        <w:t>安环能；（2）转型+主题：</w:t>
      </w:r>
      <w:proofErr w:type="gramStart"/>
      <w:r w:rsidRPr="00CD3660">
        <w:rPr>
          <w:rFonts w:ascii="楷体" w:eastAsia="楷体" w:hAnsi="楷体" w:hint="eastAsia"/>
          <w:szCs w:val="21"/>
        </w:rPr>
        <w:t>瑞茂通</w:t>
      </w:r>
      <w:proofErr w:type="gramEnd"/>
      <w:r w:rsidRPr="00CD3660">
        <w:rPr>
          <w:rFonts w:ascii="楷体" w:eastAsia="楷体" w:hAnsi="楷体" w:hint="eastAsia"/>
          <w:szCs w:val="21"/>
        </w:rPr>
        <w:t>、禾嘉股份、新奥股份；（3）煤炭清洁利用：亿能洁能。</w:t>
      </w:r>
    </w:p>
    <w:p w:rsidR="005143F4" w:rsidRPr="00E310B0" w:rsidRDefault="005143F4" w:rsidP="005143F4">
      <w:pPr>
        <w:spacing w:line="360" w:lineRule="exact"/>
        <w:rPr>
          <w:b/>
          <w:color w:val="005096"/>
          <w:sz w:val="18"/>
          <w:szCs w:val="20"/>
        </w:rPr>
      </w:pPr>
      <w:r w:rsidRPr="00E310B0">
        <w:rPr>
          <w:b/>
          <w:color w:val="005096"/>
          <w:sz w:val="18"/>
          <w:szCs w:val="20"/>
        </w:rPr>
        <w:t>表</w:t>
      </w:r>
      <w:r>
        <w:rPr>
          <w:rFonts w:hint="eastAsia"/>
          <w:b/>
          <w:color w:val="005096"/>
          <w:sz w:val="18"/>
          <w:szCs w:val="20"/>
        </w:rPr>
        <w:t xml:space="preserve"> </w:t>
      </w:r>
      <w:r>
        <w:rPr>
          <w:b/>
          <w:color w:val="005096"/>
          <w:sz w:val="18"/>
          <w:szCs w:val="20"/>
        </w:rPr>
        <w:t>7</w:t>
      </w:r>
      <w:r>
        <w:rPr>
          <w:rFonts w:hint="eastAsia"/>
          <w:b/>
          <w:color w:val="005096"/>
          <w:sz w:val="18"/>
          <w:szCs w:val="20"/>
        </w:rPr>
        <w:t>:</w:t>
      </w:r>
      <w:r w:rsidRPr="00E310B0">
        <w:rPr>
          <w:b/>
          <w:color w:val="005096"/>
          <w:sz w:val="18"/>
          <w:szCs w:val="20"/>
        </w:rPr>
        <w:t xml:space="preserve"> </w:t>
      </w:r>
      <w:r w:rsidRPr="00E310B0">
        <w:rPr>
          <w:b/>
          <w:color w:val="005096"/>
          <w:sz w:val="18"/>
          <w:szCs w:val="20"/>
        </w:rPr>
        <w:t>近期关于供给侧的政策梳理</w:t>
      </w:r>
    </w:p>
    <w:tbl>
      <w:tblPr>
        <w:tblW w:w="9727" w:type="dxa"/>
        <w:tblInd w:w="-5" w:type="dxa"/>
        <w:tblLook w:val="04A0"/>
      </w:tblPr>
      <w:tblGrid>
        <w:gridCol w:w="1701"/>
        <w:gridCol w:w="972"/>
        <w:gridCol w:w="7054"/>
      </w:tblGrid>
      <w:tr w:rsidR="005143F4" w:rsidRPr="00E310B0" w:rsidTr="00CA06C8">
        <w:trPr>
          <w:trHeight w:val="315"/>
        </w:trPr>
        <w:tc>
          <w:tcPr>
            <w:tcW w:w="1701" w:type="dxa"/>
            <w:tcBorders>
              <w:top w:val="single" w:sz="12" w:space="0" w:color="5B9BD5"/>
              <w:left w:val="single" w:sz="4" w:space="0" w:color="4F81BD"/>
              <w:bottom w:val="single" w:sz="8"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b/>
                <w:bCs/>
                <w:color w:val="1F497D"/>
                <w:kern w:val="0"/>
                <w:sz w:val="18"/>
                <w:szCs w:val="16"/>
              </w:rPr>
            </w:pPr>
            <w:r w:rsidRPr="00E310B0">
              <w:rPr>
                <w:rFonts w:ascii="华文楷体" w:eastAsia="华文楷体" w:hAnsi="华文楷体" w:cs="宋体" w:hint="eastAsia"/>
                <w:b/>
                <w:bCs/>
                <w:color w:val="1F497D"/>
                <w:kern w:val="0"/>
                <w:sz w:val="18"/>
                <w:szCs w:val="16"/>
              </w:rPr>
              <w:t>时间</w:t>
            </w:r>
          </w:p>
        </w:tc>
        <w:tc>
          <w:tcPr>
            <w:tcW w:w="972" w:type="dxa"/>
            <w:tcBorders>
              <w:top w:val="single" w:sz="12" w:space="0" w:color="5B9BD5"/>
              <w:left w:val="single" w:sz="4" w:space="0" w:color="4F81BD"/>
              <w:bottom w:val="single" w:sz="8"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b/>
                <w:bCs/>
                <w:color w:val="1F497D"/>
                <w:kern w:val="0"/>
                <w:sz w:val="18"/>
                <w:szCs w:val="16"/>
              </w:rPr>
            </w:pPr>
            <w:r w:rsidRPr="00E310B0">
              <w:rPr>
                <w:rFonts w:ascii="华文楷体" w:eastAsia="华文楷体" w:hAnsi="华文楷体" w:cs="宋体" w:hint="eastAsia"/>
                <w:b/>
                <w:bCs/>
                <w:color w:val="1F497D"/>
                <w:kern w:val="0"/>
                <w:sz w:val="18"/>
                <w:szCs w:val="16"/>
              </w:rPr>
              <w:t>来源</w:t>
            </w:r>
          </w:p>
        </w:tc>
        <w:tc>
          <w:tcPr>
            <w:tcW w:w="7054" w:type="dxa"/>
            <w:tcBorders>
              <w:top w:val="single" w:sz="12" w:space="0" w:color="5B9BD5"/>
              <w:left w:val="single" w:sz="4" w:space="0" w:color="4F81BD"/>
              <w:bottom w:val="single" w:sz="8"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b/>
                <w:bCs/>
                <w:color w:val="1F497D"/>
                <w:kern w:val="0"/>
                <w:sz w:val="18"/>
                <w:szCs w:val="16"/>
              </w:rPr>
            </w:pPr>
            <w:r w:rsidRPr="00E310B0">
              <w:rPr>
                <w:rFonts w:ascii="华文楷体" w:eastAsia="华文楷体" w:hAnsi="华文楷体" w:cs="宋体" w:hint="eastAsia"/>
                <w:b/>
                <w:bCs/>
                <w:color w:val="1F497D"/>
                <w:kern w:val="0"/>
                <w:sz w:val="18"/>
                <w:szCs w:val="16"/>
              </w:rPr>
              <w:t>主要内容</w:t>
            </w:r>
          </w:p>
        </w:tc>
      </w:tr>
      <w:tr w:rsidR="005143F4" w:rsidRPr="00E310B0" w:rsidTr="00CA06C8">
        <w:trPr>
          <w:trHeight w:val="315"/>
        </w:trPr>
        <w:tc>
          <w:tcPr>
            <w:tcW w:w="1701" w:type="dxa"/>
            <w:tcBorders>
              <w:top w:val="single" w:sz="4" w:space="0" w:color="4F81BD"/>
              <w:left w:val="single" w:sz="4" w:space="0" w:color="4F81BD"/>
              <w:bottom w:val="single" w:sz="4" w:space="0" w:color="4F81BD"/>
              <w:right w:val="single" w:sz="4" w:space="0" w:color="4F81BD"/>
            </w:tcBorders>
            <w:shd w:val="clear" w:color="DCE6F1" w:fill="DCE6F1"/>
            <w:noWrap/>
            <w:vAlign w:val="center"/>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2015年11月10日</w:t>
            </w:r>
          </w:p>
        </w:tc>
        <w:tc>
          <w:tcPr>
            <w:tcW w:w="972" w:type="dxa"/>
            <w:tcBorders>
              <w:top w:val="single" w:sz="4" w:space="0" w:color="4F81BD"/>
              <w:left w:val="single" w:sz="4" w:space="0" w:color="4F81BD"/>
              <w:bottom w:val="single" w:sz="4" w:space="0" w:color="4F81BD"/>
              <w:right w:val="single" w:sz="4" w:space="0" w:color="4F81BD"/>
            </w:tcBorders>
            <w:shd w:val="clear" w:color="DCE6F1" w:fill="DCE6F1"/>
            <w:noWrap/>
            <w:vAlign w:val="center"/>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习近平</w:t>
            </w:r>
          </w:p>
        </w:tc>
        <w:tc>
          <w:tcPr>
            <w:tcW w:w="7054" w:type="dxa"/>
            <w:tcBorders>
              <w:top w:val="single" w:sz="4" w:space="0" w:color="4F81BD"/>
              <w:left w:val="single" w:sz="4" w:space="0" w:color="4F81BD"/>
              <w:bottom w:val="single" w:sz="4" w:space="0" w:color="4F81BD"/>
              <w:right w:val="single" w:sz="4" w:space="0" w:color="4F81BD"/>
            </w:tcBorders>
            <w:shd w:val="clear" w:color="DCE6F1" w:fill="DCE6F1"/>
            <w:noWrap/>
            <w:vAlign w:val="center"/>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主持召开中央财经领导小组第</w:t>
            </w:r>
            <w:r w:rsidRPr="005143F4">
              <w:rPr>
                <w:rFonts w:ascii="华文楷体" w:eastAsia="华文楷体" w:hAnsi="华文楷体" w:cs="宋体" w:hint="eastAsia"/>
                <w:color w:val="1F497D"/>
                <w:kern w:val="0"/>
                <w:sz w:val="18"/>
                <w:szCs w:val="16"/>
              </w:rPr>
              <w:t>十一次会议，提</w:t>
            </w:r>
            <w:r w:rsidRPr="00E310B0">
              <w:rPr>
                <w:rFonts w:ascii="华文楷体" w:eastAsia="华文楷体" w:hAnsi="华文楷体" w:cs="宋体" w:hint="eastAsia"/>
                <w:color w:val="1F497D"/>
                <w:kern w:val="0"/>
                <w:sz w:val="18"/>
                <w:szCs w:val="16"/>
              </w:rPr>
              <w:t>出供给</w:t>
            </w:r>
            <w:proofErr w:type="gramStart"/>
            <w:r w:rsidRPr="00E310B0">
              <w:rPr>
                <w:rFonts w:ascii="华文楷体" w:eastAsia="华文楷体" w:hAnsi="华文楷体" w:cs="宋体" w:hint="eastAsia"/>
                <w:color w:val="1F497D"/>
                <w:kern w:val="0"/>
                <w:sz w:val="18"/>
                <w:szCs w:val="16"/>
              </w:rPr>
              <w:t>侧改革</w:t>
            </w:r>
            <w:proofErr w:type="gramEnd"/>
            <w:r w:rsidRPr="00E310B0">
              <w:rPr>
                <w:rFonts w:ascii="华文楷体" w:eastAsia="华文楷体" w:hAnsi="华文楷体" w:cs="宋体" w:hint="eastAsia"/>
                <w:color w:val="1F497D"/>
                <w:kern w:val="0"/>
                <w:sz w:val="18"/>
                <w:szCs w:val="16"/>
              </w:rPr>
              <w:t>的概念</w:t>
            </w:r>
          </w:p>
        </w:tc>
      </w:tr>
      <w:tr w:rsidR="005143F4" w:rsidRPr="00E310B0" w:rsidTr="00CA06C8">
        <w:trPr>
          <w:trHeight w:val="315"/>
        </w:trPr>
        <w:tc>
          <w:tcPr>
            <w:tcW w:w="1701" w:type="dxa"/>
            <w:tcBorders>
              <w:top w:val="single" w:sz="4" w:space="0" w:color="4F81BD"/>
              <w:left w:val="single" w:sz="4" w:space="0" w:color="4F81BD"/>
              <w:bottom w:val="single" w:sz="4" w:space="0" w:color="4F81BD"/>
              <w:right w:val="single" w:sz="4" w:space="0" w:color="4F81BD"/>
            </w:tcBorders>
            <w:shd w:val="clear" w:color="DCE6F1" w:fill="DCE6F1"/>
            <w:noWrap/>
            <w:vAlign w:val="center"/>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2015年12月22日</w:t>
            </w:r>
          </w:p>
        </w:tc>
        <w:tc>
          <w:tcPr>
            <w:tcW w:w="972" w:type="dxa"/>
            <w:tcBorders>
              <w:top w:val="single" w:sz="4" w:space="0" w:color="4F81BD"/>
              <w:left w:val="single" w:sz="4" w:space="0" w:color="4F81BD"/>
              <w:bottom w:val="single" w:sz="4" w:space="0" w:color="4F81BD"/>
              <w:right w:val="single" w:sz="4" w:space="0" w:color="4F81BD"/>
            </w:tcBorders>
            <w:shd w:val="clear" w:color="DCE6F1" w:fill="DCE6F1"/>
            <w:noWrap/>
            <w:vAlign w:val="center"/>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中央经济工作会议</w:t>
            </w:r>
          </w:p>
        </w:tc>
        <w:tc>
          <w:tcPr>
            <w:tcW w:w="7054" w:type="dxa"/>
            <w:tcBorders>
              <w:top w:val="single" w:sz="4" w:space="0" w:color="4F81BD"/>
              <w:left w:val="single" w:sz="4" w:space="0" w:color="4F81BD"/>
              <w:bottom w:val="single" w:sz="4" w:space="0" w:color="4F81BD"/>
              <w:right w:val="single" w:sz="4" w:space="0" w:color="4F81BD"/>
            </w:tcBorders>
            <w:shd w:val="clear" w:color="DCE6F1" w:fill="DCE6F1"/>
            <w:noWrap/>
            <w:vAlign w:val="center"/>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中央经济工作会议提出五大任务,其中积极稳妥化解产能过剩居于首位。</w:t>
            </w:r>
          </w:p>
        </w:tc>
      </w:tr>
      <w:tr w:rsidR="005143F4" w:rsidRPr="00E310B0" w:rsidTr="00CA06C8">
        <w:trPr>
          <w:trHeight w:val="982"/>
        </w:trPr>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2016年1月4日</w:t>
            </w:r>
          </w:p>
        </w:tc>
        <w:tc>
          <w:tcPr>
            <w:tcW w:w="972"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“权威人士”</w:t>
            </w:r>
          </w:p>
        </w:tc>
        <w:tc>
          <w:tcPr>
            <w:tcW w:w="7054"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推进供给侧结构性改革是药方，主次要分明，当前要把改善供给结构作为主攻方向。</w:t>
            </w:r>
          </w:p>
        </w:tc>
      </w:tr>
      <w:tr w:rsidR="005143F4" w:rsidRPr="00E310B0" w:rsidTr="00CA06C8">
        <w:trPr>
          <w:trHeight w:val="880"/>
        </w:trPr>
        <w:tc>
          <w:tcPr>
            <w:tcW w:w="1701"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2016年1月12日</w:t>
            </w:r>
          </w:p>
        </w:tc>
        <w:tc>
          <w:tcPr>
            <w:tcW w:w="972"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proofErr w:type="gramStart"/>
            <w:r w:rsidRPr="00E310B0">
              <w:rPr>
                <w:rFonts w:ascii="华文楷体" w:eastAsia="华文楷体" w:hAnsi="华文楷体" w:cs="宋体" w:hint="eastAsia"/>
                <w:color w:val="1F497D"/>
                <w:kern w:val="0"/>
                <w:sz w:val="18"/>
                <w:szCs w:val="16"/>
              </w:rPr>
              <w:t>发改委</w:t>
            </w:r>
            <w:proofErr w:type="gramEnd"/>
          </w:p>
        </w:tc>
        <w:tc>
          <w:tcPr>
            <w:tcW w:w="7054"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下一阶段的供给侧结构性改革将以钢铁、煤炭等行业为重点，力争通过一段时间的努力，在化解产能过剩方面取得突破，同时中央将设立专项资金，对地方和企业化解产能过剩进行奖补，</w:t>
            </w:r>
            <w:proofErr w:type="gramStart"/>
            <w:r w:rsidRPr="00E310B0">
              <w:rPr>
                <w:rFonts w:ascii="华文楷体" w:eastAsia="华文楷体" w:hAnsi="华文楷体" w:cs="宋体" w:hint="eastAsia"/>
                <w:color w:val="1F497D"/>
                <w:kern w:val="0"/>
                <w:sz w:val="18"/>
                <w:szCs w:val="16"/>
              </w:rPr>
              <w:t>这个奖补的</w:t>
            </w:r>
            <w:proofErr w:type="gramEnd"/>
            <w:r w:rsidRPr="00E310B0">
              <w:rPr>
                <w:rFonts w:ascii="华文楷体" w:eastAsia="华文楷体" w:hAnsi="华文楷体" w:cs="宋体" w:hint="eastAsia"/>
                <w:color w:val="1F497D"/>
                <w:kern w:val="0"/>
                <w:sz w:val="18"/>
                <w:szCs w:val="16"/>
              </w:rPr>
              <w:t>资金主要用于人员的安置。</w:t>
            </w:r>
          </w:p>
        </w:tc>
      </w:tr>
      <w:tr w:rsidR="005143F4" w:rsidRPr="00E310B0" w:rsidTr="00CA06C8">
        <w:trPr>
          <w:trHeight w:val="315"/>
        </w:trPr>
        <w:tc>
          <w:tcPr>
            <w:tcW w:w="1701"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2016年1月22日</w:t>
            </w:r>
          </w:p>
        </w:tc>
        <w:tc>
          <w:tcPr>
            <w:tcW w:w="972"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财政部</w:t>
            </w:r>
          </w:p>
        </w:tc>
        <w:tc>
          <w:tcPr>
            <w:tcW w:w="7054"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发布《关于征收工业企业结构调整专项资金有关问题的通知》</w:t>
            </w:r>
          </w:p>
        </w:tc>
      </w:tr>
      <w:tr w:rsidR="005143F4" w:rsidRPr="00E310B0" w:rsidTr="00CA06C8">
        <w:trPr>
          <w:trHeight w:val="586"/>
        </w:trPr>
        <w:tc>
          <w:tcPr>
            <w:tcW w:w="1701" w:type="dxa"/>
            <w:tcBorders>
              <w:top w:val="single" w:sz="4" w:space="0" w:color="4F81BD"/>
              <w:left w:val="single" w:sz="4" w:space="0" w:color="4F81BD"/>
              <w:bottom w:val="single" w:sz="12" w:space="0" w:color="5B9BD5"/>
              <w:right w:val="single" w:sz="4" w:space="0" w:color="4F81BD"/>
            </w:tcBorders>
            <w:shd w:val="clear" w:color="DCE6F1" w:fill="DCE6F1"/>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r w:rsidRPr="00E310B0">
              <w:rPr>
                <w:rFonts w:ascii="华文楷体" w:eastAsia="华文楷体" w:hAnsi="华文楷体" w:cs="宋体" w:hint="eastAsia"/>
                <w:color w:val="1F497D"/>
                <w:kern w:val="0"/>
                <w:sz w:val="18"/>
                <w:szCs w:val="16"/>
              </w:rPr>
              <w:t>2016年1月26日</w:t>
            </w:r>
          </w:p>
        </w:tc>
        <w:tc>
          <w:tcPr>
            <w:tcW w:w="972" w:type="dxa"/>
            <w:tcBorders>
              <w:top w:val="single" w:sz="4" w:space="0" w:color="4F81BD"/>
              <w:left w:val="single" w:sz="4" w:space="0" w:color="4F81BD"/>
              <w:bottom w:val="single" w:sz="12" w:space="0" w:color="5B9BD5"/>
              <w:right w:val="single" w:sz="4" w:space="0" w:color="4F81BD"/>
            </w:tcBorders>
            <w:shd w:val="clear" w:color="DCE6F1" w:fill="DCE6F1"/>
            <w:noWrap/>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proofErr w:type="gramStart"/>
            <w:r w:rsidRPr="00E310B0">
              <w:rPr>
                <w:rFonts w:ascii="华文楷体" w:eastAsia="华文楷体" w:hAnsi="华文楷体" w:cs="宋体" w:hint="eastAsia"/>
                <w:color w:val="1F497D"/>
                <w:kern w:val="0"/>
                <w:sz w:val="18"/>
                <w:szCs w:val="16"/>
              </w:rPr>
              <w:t>发改委</w:t>
            </w:r>
            <w:proofErr w:type="gramEnd"/>
            <w:r w:rsidRPr="00E310B0">
              <w:rPr>
                <w:rFonts w:ascii="华文楷体" w:eastAsia="华文楷体" w:hAnsi="华文楷体" w:cs="宋体" w:hint="eastAsia"/>
                <w:color w:val="1F497D"/>
                <w:kern w:val="0"/>
                <w:sz w:val="18"/>
                <w:szCs w:val="16"/>
              </w:rPr>
              <w:t>等部门</w:t>
            </w:r>
          </w:p>
        </w:tc>
        <w:tc>
          <w:tcPr>
            <w:tcW w:w="7054" w:type="dxa"/>
            <w:tcBorders>
              <w:top w:val="single" w:sz="4" w:space="0" w:color="4F81BD"/>
              <w:left w:val="single" w:sz="4" w:space="0" w:color="4F81BD"/>
              <w:bottom w:val="single" w:sz="12" w:space="0" w:color="5B9BD5"/>
              <w:right w:val="single" w:sz="4" w:space="0" w:color="4F81BD"/>
            </w:tcBorders>
            <w:shd w:val="clear" w:color="DCE6F1" w:fill="DCE6F1"/>
            <w:vAlign w:val="center"/>
            <w:hideMark/>
          </w:tcPr>
          <w:p w:rsidR="005143F4" w:rsidRPr="00E310B0" w:rsidRDefault="005143F4" w:rsidP="00CA06C8">
            <w:pPr>
              <w:widowControl/>
              <w:spacing w:before="50" w:after="50" w:line="200" w:lineRule="atLeast"/>
              <w:jc w:val="left"/>
              <w:rPr>
                <w:rFonts w:ascii="华文楷体" w:eastAsia="华文楷体" w:hAnsi="华文楷体" w:cs="宋体"/>
                <w:color w:val="1F497D"/>
                <w:kern w:val="0"/>
                <w:sz w:val="18"/>
                <w:szCs w:val="16"/>
              </w:rPr>
            </w:pPr>
            <w:proofErr w:type="gramStart"/>
            <w:r w:rsidRPr="00E310B0">
              <w:rPr>
                <w:rFonts w:ascii="华文楷体" w:eastAsia="华文楷体" w:hAnsi="华文楷体" w:cs="宋体" w:hint="eastAsia"/>
                <w:color w:val="1F497D"/>
                <w:kern w:val="0"/>
                <w:sz w:val="18"/>
                <w:szCs w:val="16"/>
              </w:rPr>
              <w:t>国家发改委</w:t>
            </w:r>
            <w:proofErr w:type="gramEnd"/>
            <w:r w:rsidRPr="00E310B0">
              <w:rPr>
                <w:rFonts w:ascii="华文楷体" w:eastAsia="华文楷体" w:hAnsi="华文楷体" w:cs="宋体" w:hint="eastAsia"/>
                <w:color w:val="1F497D"/>
                <w:kern w:val="0"/>
                <w:sz w:val="18"/>
                <w:szCs w:val="16"/>
              </w:rPr>
              <w:t>等部门正就煤炭去产能征求意见，</w:t>
            </w:r>
            <w:proofErr w:type="gramStart"/>
            <w:r w:rsidRPr="00E310B0">
              <w:rPr>
                <w:rFonts w:ascii="华文楷体" w:eastAsia="华文楷体" w:hAnsi="华文楷体" w:cs="宋体" w:hint="eastAsia"/>
                <w:color w:val="1F497D"/>
                <w:kern w:val="0"/>
                <w:sz w:val="18"/>
                <w:szCs w:val="16"/>
              </w:rPr>
              <w:t>国家发改委</w:t>
            </w:r>
            <w:proofErr w:type="gramEnd"/>
            <w:r w:rsidRPr="00E310B0">
              <w:rPr>
                <w:rFonts w:ascii="华文楷体" w:eastAsia="华文楷体" w:hAnsi="华文楷体" w:cs="宋体" w:hint="eastAsia"/>
                <w:color w:val="1F497D"/>
                <w:kern w:val="0"/>
                <w:sz w:val="18"/>
                <w:szCs w:val="16"/>
              </w:rPr>
              <w:t>等部门正就煤炭去产能征求意见，包括暂停审批新建煤矿项目、淘汰落后产能、引导僵尸企业退出等举措。未来三年,中国将关闭4300家煤矿(总产能约为每年7亿吨),分流人员100万人。</w:t>
            </w:r>
          </w:p>
        </w:tc>
      </w:tr>
    </w:tbl>
    <w:p w:rsidR="005143F4" w:rsidRPr="00E310B0" w:rsidRDefault="005143F4" w:rsidP="005143F4">
      <w:pPr>
        <w:spacing w:afterLines="50" w:line="360" w:lineRule="exact"/>
        <w:rPr>
          <w:sz w:val="16"/>
          <w:szCs w:val="16"/>
        </w:rPr>
      </w:pPr>
      <w:r w:rsidRPr="00E310B0">
        <w:rPr>
          <w:rFonts w:hint="eastAsia"/>
          <w:sz w:val="16"/>
          <w:szCs w:val="16"/>
        </w:rPr>
        <w:lastRenderedPageBreak/>
        <w:t>资料来源：公开资料，民生证券研究院</w:t>
      </w:r>
    </w:p>
    <w:p w:rsidR="00BB2FE5" w:rsidRPr="005143F4" w:rsidRDefault="00BB2FE5" w:rsidP="00BB2FE5">
      <w:pPr>
        <w:spacing w:line="360" w:lineRule="auto"/>
        <w:ind w:rightChars="1000" w:right="2100"/>
        <w:rPr>
          <w:rFonts w:ascii="楷体" w:eastAsia="楷体" w:hAnsi="楷体"/>
          <w:b/>
          <w:szCs w:val="21"/>
        </w:rPr>
      </w:pPr>
    </w:p>
    <w:p w:rsidR="00A33863" w:rsidRDefault="001365A0" w:rsidP="00A33863">
      <w:pPr>
        <w:pStyle w:val="aff2"/>
        <w:numPr>
          <w:ilvl w:val="0"/>
          <w:numId w:val="14"/>
        </w:numPr>
        <w:spacing w:line="360" w:lineRule="auto"/>
        <w:ind w:rightChars="1000" w:right="2100" w:firstLineChars="0"/>
        <w:rPr>
          <w:rFonts w:ascii="楷体" w:eastAsia="楷体" w:hAnsi="楷体"/>
          <w:b/>
          <w:color w:val="0070C0"/>
          <w:sz w:val="22"/>
          <w:szCs w:val="21"/>
        </w:rPr>
      </w:pPr>
      <w:r w:rsidRPr="002E7483">
        <w:rPr>
          <w:rFonts w:ascii="楷体" w:eastAsia="楷体" w:hAnsi="楷体"/>
          <w:b/>
          <w:color w:val="0070C0"/>
          <w:sz w:val="22"/>
          <w:szCs w:val="21"/>
        </w:rPr>
        <w:t>水泥行业</w:t>
      </w:r>
    </w:p>
    <w:p w:rsidR="006079F2" w:rsidRPr="006079F2" w:rsidRDefault="006079F2" w:rsidP="006079F2">
      <w:pPr>
        <w:spacing w:line="360" w:lineRule="auto"/>
        <w:ind w:rightChars="1000" w:right="2100"/>
        <w:rPr>
          <w:rFonts w:ascii="楷体" w:eastAsia="楷体" w:hAnsi="楷体"/>
          <w:b/>
          <w:color w:val="0070C0"/>
          <w:sz w:val="22"/>
          <w:szCs w:val="21"/>
        </w:rPr>
      </w:pPr>
    </w:p>
    <w:p w:rsidR="006079F2" w:rsidRPr="00AC5D3A" w:rsidRDefault="006079F2" w:rsidP="006079F2">
      <w:pPr>
        <w:pStyle w:val="aff2"/>
        <w:numPr>
          <w:ilvl w:val="0"/>
          <w:numId w:val="19"/>
        </w:numPr>
        <w:spacing w:line="360" w:lineRule="auto"/>
        <w:ind w:rightChars="1000" w:right="2100" w:firstLineChars="0"/>
        <w:rPr>
          <w:rFonts w:ascii="楷体" w:eastAsia="楷体" w:hAnsi="楷体"/>
          <w:b/>
          <w:szCs w:val="21"/>
        </w:rPr>
      </w:pPr>
      <w:r>
        <w:rPr>
          <w:rFonts w:ascii="楷体" w:eastAsia="楷体" w:hAnsi="楷体"/>
          <w:b/>
          <w:szCs w:val="21"/>
        </w:rPr>
        <w:t>产能利用情况</w:t>
      </w:r>
      <w:r>
        <w:rPr>
          <w:rFonts w:ascii="楷体" w:eastAsia="楷体" w:hAnsi="楷体" w:hint="eastAsia"/>
          <w:b/>
          <w:szCs w:val="21"/>
        </w:rPr>
        <w:t>：</w:t>
      </w:r>
      <w:r w:rsidRPr="00A33863">
        <w:rPr>
          <w:rFonts w:ascii="楷体" w:eastAsia="楷体" w:hAnsi="楷体" w:hint="eastAsia"/>
          <w:b/>
          <w:szCs w:val="21"/>
        </w:rPr>
        <w:t>2015年产能过剩进一步加剧，去产能还未开始</w:t>
      </w:r>
    </w:p>
    <w:p w:rsidR="006079F2" w:rsidRDefault="006079F2" w:rsidP="006079F2">
      <w:pPr>
        <w:spacing w:line="360" w:lineRule="auto"/>
        <w:ind w:rightChars="1000" w:right="2100" w:firstLine="360"/>
        <w:rPr>
          <w:rFonts w:ascii="楷体" w:eastAsia="楷体" w:hAnsi="楷体"/>
          <w:szCs w:val="21"/>
        </w:rPr>
      </w:pPr>
      <w:r w:rsidRPr="00991BC7">
        <w:rPr>
          <w:rFonts w:ascii="楷体" w:eastAsia="楷体" w:hAnsi="楷体" w:hint="eastAsia"/>
          <w:szCs w:val="21"/>
        </w:rPr>
        <w:t>由于2015年房地产投资增速出现断崖式下滑至1%，水泥产量25年来首次出现负增长，15年水泥产量同比减少超5%。然而2015年水泥熟料产能仍同比增长2.2%至18.1亿吨，水泥行业去产能仍未开始。由于受需求下滑和产能增长双重影响，2015年水泥价格达到2008年以来最低点，行业利润率跌至历史谷底，2015年水泥企业的并购重组策略更显谨慎，行业集中度缓慢提升。</w:t>
      </w:r>
    </w:p>
    <w:p w:rsidR="006079F2" w:rsidRDefault="006079F2" w:rsidP="006079F2">
      <w:pPr>
        <w:spacing w:line="360" w:lineRule="auto"/>
        <w:ind w:rightChars="1000" w:right="2100"/>
        <w:rPr>
          <w:rFonts w:ascii="楷体" w:eastAsia="楷体" w:hAnsi="楷体"/>
          <w:szCs w:val="21"/>
        </w:rPr>
      </w:pPr>
    </w:p>
    <w:p w:rsidR="006079F2" w:rsidRPr="00474AC9" w:rsidRDefault="006079F2" w:rsidP="006079F2">
      <w:pPr>
        <w:pStyle w:val="aff2"/>
        <w:numPr>
          <w:ilvl w:val="0"/>
          <w:numId w:val="20"/>
        </w:numPr>
        <w:spacing w:line="360" w:lineRule="auto"/>
        <w:ind w:rightChars="1000" w:right="2100" w:firstLineChars="0"/>
        <w:rPr>
          <w:rFonts w:ascii="楷体" w:eastAsia="楷体" w:hAnsi="楷体"/>
          <w:b/>
          <w:szCs w:val="21"/>
        </w:rPr>
      </w:pPr>
      <w:r w:rsidRPr="00325AE4">
        <w:rPr>
          <w:rFonts w:ascii="楷体" w:eastAsia="楷体" w:hAnsi="楷体" w:hint="eastAsia"/>
          <w:b/>
          <w:szCs w:val="21"/>
        </w:rPr>
        <w:t>水泥产量25年来首次出现负增长</w:t>
      </w:r>
    </w:p>
    <w:p w:rsidR="006079F2" w:rsidRDefault="006079F2" w:rsidP="006079F2">
      <w:pPr>
        <w:spacing w:line="360" w:lineRule="auto"/>
        <w:ind w:rightChars="1000" w:right="2100" w:firstLine="420"/>
        <w:rPr>
          <w:rFonts w:ascii="楷体" w:eastAsia="楷体" w:hAnsi="楷体"/>
          <w:szCs w:val="21"/>
        </w:rPr>
      </w:pPr>
      <w:r w:rsidRPr="00325AE4">
        <w:rPr>
          <w:rFonts w:ascii="楷体" w:eastAsia="楷体" w:hAnsi="楷体" w:hint="eastAsia"/>
          <w:b/>
          <w:szCs w:val="21"/>
        </w:rPr>
        <w:t>2015年房地产投资增速出现断崖式下滑，水泥产量同比2014年减少超5%。</w:t>
      </w:r>
      <w:r w:rsidRPr="00325AE4">
        <w:rPr>
          <w:rFonts w:ascii="楷体" w:eastAsia="楷体" w:hAnsi="楷体" w:hint="eastAsia"/>
          <w:szCs w:val="21"/>
        </w:rPr>
        <w:t>2015年GDP增速从2014年的7.3%下降到6.9%，自上世纪90年代以来首次跌破7%的增速。在宏观经济不景气的背景下，水泥产量步入了负增长的艰难期，2015年水泥产量23.48亿吨，较2014年产量同比降幅达5.7%，25年来首次出现负增长。</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0"/>
        <w:gridCol w:w="283"/>
        <w:gridCol w:w="71"/>
        <w:gridCol w:w="4607"/>
      </w:tblGrid>
      <w:tr w:rsidR="006079F2" w:rsidRPr="00DF1724" w:rsidTr="00666BBE">
        <w:trPr>
          <w:trHeight w:hRule="exact" w:val="454"/>
        </w:trPr>
        <w:tc>
          <w:tcPr>
            <w:tcW w:w="4820" w:type="dxa"/>
            <w:tcBorders>
              <w:top w:val="nil"/>
              <w:left w:val="nil"/>
              <w:bottom w:val="single" w:sz="8" w:space="0" w:color="005096"/>
              <w:right w:val="nil"/>
            </w:tcBorders>
            <w:vAlign w:val="bottom"/>
          </w:tcPr>
          <w:p w:rsidR="006079F2" w:rsidRPr="00DF1724" w:rsidRDefault="006079F2" w:rsidP="00666BBE">
            <w:pPr>
              <w:spacing w:line="360" w:lineRule="exact"/>
              <w:rPr>
                <w:b/>
                <w:color w:val="005096"/>
                <w:sz w:val="18"/>
                <w:szCs w:val="20"/>
                <w:highlight w:val="yellow"/>
              </w:rPr>
            </w:pPr>
            <w:bookmarkStart w:id="7" w:name="_Toc442048843"/>
            <w:r w:rsidRPr="00DF1724">
              <w:rPr>
                <w:rFonts w:hint="eastAsia"/>
                <w:b/>
                <w:color w:val="005096"/>
                <w:sz w:val="18"/>
                <w:szCs w:val="20"/>
              </w:rPr>
              <w:t>图</w:t>
            </w:r>
            <w:r>
              <w:rPr>
                <w:rFonts w:hint="eastAsia"/>
                <w:b/>
                <w:color w:val="005096"/>
                <w:sz w:val="18"/>
                <w:szCs w:val="20"/>
              </w:rPr>
              <w:t>26</w:t>
            </w:r>
            <w:r w:rsidRPr="00DF1724">
              <w:rPr>
                <w:rFonts w:hint="eastAsia"/>
                <w:b/>
                <w:color w:val="005096"/>
                <w:sz w:val="18"/>
                <w:szCs w:val="20"/>
              </w:rPr>
              <w:t>：</w:t>
            </w:r>
            <w:r w:rsidRPr="00DF1724">
              <w:rPr>
                <w:rFonts w:hint="eastAsia"/>
                <w:b/>
                <w:color w:val="005096"/>
                <w:sz w:val="18"/>
                <w:szCs w:val="20"/>
              </w:rPr>
              <w:t>2015</w:t>
            </w:r>
            <w:r w:rsidRPr="00DF1724">
              <w:rPr>
                <w:rFonts w:hint="eastAsia"/>
                <w:b/>
                <w:color w:val="005096"/>
                <w:sz w:val="18"/>
                <w:szCs w:val="20"/>
              </w:rPr>
              <w:t>年我国</w:t>
            </w:r>
            <w:r w:rsidRPr="00DF1724">
              <w:rPr>
                <w:rFonts w:hint="eastAsia"/>
                <w:b/>
                <w:color w:val="005096"/>
                <w:sz w:val="18"/>
                <w:szCs w:val="20"/>
              </w:rPr>
              <w:t>GDP</w:t>
            </w:r>
            <w:r w:rsidRPr="00DF1724">
              <w:rPr>
                <w:rFonts w:hint="eastAsia"/>
                <w:b/>
                <w:color w:val="005096"/>
                <w:sz w:val="18"/>
                <w:szCs w:val="20"/>
              </w:rPr>
              <w:t>增速跌破</w:t>
            </w:r>
            <w:r w:rsidRPr="00DF1724">
              <w:rPr>
                <w:rFonts w:hint="eastAsia"/>
                <w:b/>
                <w:color w:val="005096"/>
                <w:sz w:val="18"/>
                <w:szCs w:val="20"/>
              </w:rPr>
              <w:t>7%</w:t>
            </w:r>
            <w:bookmarkEnd w:id="7"/>
          </w:p>
        </w:tc>
        <w:tc>
          <w:tcPr>
            <w:tcW w:w="354" w:type="dxa"/>
            <w:gridSpan w:val="2"/>
            <w:tcBorders>
              <w:top w:val="nil"/>
              <w:left w:val="nil"/>
              <w:bottom w:val="nil"/>
              <w:right w:val="nil"/>
            </w:tcBorders>
            <w:vAlign w:val="bottom"/>
          </w:tcPr>
          <w:p w:rsidR="006079F2" w:rsidRPr="00DF1724" w:rsidRDefault="006079F2" w:rsidP="005143F4">
            <w:pPr>
              <w:autoSpaceDE w:val="0"/>
              <w:autoSpaceDN w:val="0"/>
              <w:spacing w:beforeLines="50" w:afterLines="50" w:line="360" w:lineRule="auto"/>
              <w:rPr>
                <w:sz w:val="24"/>
                <w:highlight w:val="yellow"/>
              </w:rPr>
            </w:pPr>
          </w:p>
        </w:tc>
        <w:tc>
          <w:tcPr>
            <w:tcW w:w="4607" w:type="dxa"/>
            <w:tcBorders>
              <w:top w:val="nil"/>
              <w:left w:val="nil"/>
              <w:bottom w:val="single" w:sz="8" w:space="0" w:color="005096"/>
              <w:right w:val="nil"/>
            </w:tcBorders>
            <w:vAlign w:val="bottom"/>
          </w:tcPr>
          <w:p w:rsidR="006079F2" w:rsidRPr="00DF1724" w:rsidRDefault="006079F2" w:rsidP="00666BBE">
            <w:pPr>
              <w:spacing w:line="360" w:lineRule="exact"/>
              <w:rPr>
                <w:b/>
                <w:color w:val="005096"/>
                <w:sz w:val="18"/>
                <w:szCs w:val="20"/>
                <w:highlight w:val="yellow"/>
              </w:rPr>
            </w:pPr>
            <w:bookmarkStart w:id="8" w:name="_Toc442048844"/>
            <w:r w:rsidRPr="00DF1724">
              <w:rPr>
                <w:rFonts w:hint="eastAsia"/>
                <w:b/>
                <w:color w:val="005096"/>
                <w:sz w:val="18"/>
                <w:szCs w:val="20"/>
              </w:rPr>
              <w:t>图</w:t>
            </w:r>
            <w:r w:rsidRPr="00DF1724">
              <w:rPr>
                <w:rFonts w:hint="eastAsia"/>
                <w:b/>
                <w:color w:val="005096"/>
                <w:sz w:val="18"/>
                <w:szCs w:val="20"/>
              </w:rPr>
              <w:t>2</w:t>
            </w:r>
            <w:r>
              <w:rPr>
                <w:b/>
                <w:color w:val="005096"/>
                <w:sz w:val="18"/>
                <w:szCs w:val="20"/>
              </w:rPr>
              <w:t>7</w:t>
            </w:r>
            <w:r w:rsidRPr="00DF1724">
              <w:rPr>
                <w:rFonts w:hint="eastAsia"/>
                <w:b/>
                <w:color w:val="005096"/>
                <w:sz w:val="18"/>
                <w:szCs w:val="20"/>
              </w:rPr>
              <w:t>：</w:t>
            </w:r>
            <w:r w:rsidRPr="00DF1724">
              <w:rPr>
                <w:rFonts w:hint="eastAsia"/>
                <w:b/>
                <w:color w:val="005096"/>
                <w:sz w:val="18"/>
                <w:szCs w:val="20"/>
              </w:rPr>
              <w:t>2015</w:t>
            </w:r>
            <w:r w:rsidRPr="00DF1724">
              <w:rPr>
                <w:rFonts w:hint="eastAsia"/>
                <w:b/>
                <w:color w:val="005096"/>
                <w:sz w:val="18"/>
                <w:szCs w:val="20"/>
              </w:rPr>
              <w:t>年水泥产量</w:t>
            </w:r>
            <w:r w:rsidRPr="00DF1724">
              <w:rPr>
                <w:rFonts w:hint="eastAsia"/>
                <w:b/>
                <w:color w:val="005096"/>
                <w:sz w:val="18"/>
                <w:szCs w:val="20"/>
              </w:rPr>
              <w:t>25</w:t>
            </w:r>
            <w:r w:rsidRPr="00DF1724">
              <w:rPr>
                <w:rFonts w:hint="eastAsia"/>
                <w:b/>
                <w:color w:val="005096"/>
                <w:sz w:val="18"/>
                <w:szCs w:val="20"/>
              </w:rPr>
              <w:t>年来首次出现负增长</w:t>
            </w:r>
            <w:bookmarkEnd w:id="8"/>
          </w:p>
        </w:tc>
      </w:tr>
      <w:tr w:rsidR="006079F2" w:rsidRPr="00DF1724" w:rsidTr="00666BBE">
        <w:trPr>
          <w:trHeight w:hRule="exact" w:val="3672"/>
        </w:trPr>
        <w:tc>
          <w:tcPr>
            <w:tcW w:w="4820" w:type="dxa"/>
            <w:tcBorders>
              <w:top w:val="single" w:sz="8" w:space="0" w:color="005096"/>
              <w:left w:val="nil"/>
              <w:bottom w:val="single" w:sz="8" w:space="0" w:color="005096"/>
              <w:right w:val="nil"/>
            </w:tcBorders>
          </w:tcPr>
          <w:p w:rsidR="006079F2" w:rsidRPr="00DF1724" w:rsidRDefault="006079F2" w:rsidP="00666BBE">
            <w:pPr>
              <w:autoSpaceDE w:val="0"/>
              <w:autoSpaceDN w:val="0"/>
              <w:rPr>
                <w:sz w:val="24"/>
              </w:rPr>
            </w:pPr>
            <w:r w:rsidRPr="00DF1724">
              <w:rPr>
                <w:noProof/>
              </w:rPr>
              <w:drawing>
                <wp:inline distT="0" distB="0" distL="0" distR="0">
                  <wp:extent cx="2910178" cy="2226365"/>
                  <wp:effectExtent l="0" t="0" r="5080" b="2540"/>
                  <wp:docPr id="14338" name="图表 14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83" w:type="dxa"/>
            <w:tcBorders>
              <w:top w:val="nil"/>
              <w:left w:val="nil"/>
              <w:bottom w:val="nil"/>
              <w:right w:val="nil"/>
            </w:tcBorders>
          </w:tcPr>
          <w:p w:rsidR="006079F2" w:rsidRPr="00DF1724" w:rsidRDefault="006079F2" w:rsidP="005143F4">
            <w:pPr>
              <w:autoSpaceDE w:val="0"/>
              <w:autoSpaceDN w:val="0"/>
              <w:spacing w:beforeLines="50" w:afterLines="50" w:line="360" w:lineRule="auto"/>
              <w:rPr>
                <w:sz w:val="24"/>
              </w:rPr>
            </w:pPr>
          </w:p>
        </w:tc>
        <w:tc>
          <w:tcPr>
            <w:tcW w:w="4678" w:type="dxa"/>
            <w:gridSpan w:val="2"/>
            <w:tcBorders>
              <w:top w:val="single" w:sz="8" w:space="0" w:color="005096"/>
              <w:left w:val="nil"/>
              <w:bottom w:val="single" w:sz="8" w:space="0" w:color="005096"/>
              <w:right w:val="nil"/>
            </w:tcBorders>
          </w:tcPr>
          <w:p w:rsidR="006079F2" w:rsidRPr="00DF1724" w:rsidRDefault="006079F2" w:rsidP="00666BBE">
            <w:pPr>
              <w:autoSpaceDE w:val="0"/>
              <w:autoSpaceDN w:val="0"/>
              <w:rPr>
                <w:sz w:val="24"/>
              </w:rPr>
            </w:pPr>
            <w:r w:rsidRPr="00DF1724">
              <w:rPr>
                <w:noProof/>
              </w:rPr>
              <w:drawing>
                <wp:inline distT="0" distB="0" distL="0" distR="0">
                  <wp:extent cx="2889504" cy="2304288"/>
                  <wp:effectExtent l="0" t="0" r="6350" b="1270"/>
                  <wp:docPr id="14340" name="图表 14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6079F2" w:rsidRPr="00DF1724" w:rsidRDefault="006079F2" w:rsidP="005143F4">
      <w:pPr>
        <w:spacing w:afterLines="50" w:line="360" w:lineRule="exact"/>
        <w:rPr>
          <w:sz w:val="16"/>
          <w:szCs w:val="16"/>
        </w:rPr>
      </w:pPr>
      <w:r w:rsidRPr="00DF1724">
        <w:rPr>
          <w:rFonts w:hint="eastAsia"/>
          <w:sz w:val="16"/>
          <w:szCs w:val="16"/>
        </w:rPr>
        <w:t>资料来源：</w:t>
      </w:r>
      <w:r w:rsidRPr="00DF1724">
        <w:rPr>
          <w:rFonts w:hint="eastAsia"/>
          <w:sz w:val="16"/>
          <w:szCs w:val="16"/>
        </w:rPr>
        <w:t>Wind</w:t>
      </w:r>
      <w:r w:rsidRPr="00DF1724">
        <w:rPr>
          <w:rFonts w:hint="eastAsia"/>
          <w:sz w:val="16"/>
          <w:szCs w:val="16"/>
        </w:rPr>
        <w:t>，民生证券研究院</w:t>
      </w:r>
      <w:r w:rsidRPr="00DF1724">
        <w:rPr>
          <w:rFonts w:hint="eastAsia"/>
          <w:sz w:val="16"/>
          <w:szCs w:val="16"/>
        </w:rPr>
        <w:t xml:space="preserve">                                  </w:t>
      </w:r>
      <w:r w:rsidRPr="00DF1724">
        <w:rPr>
          <w:rFonts w:hint="eastAsia"/>
          <w:sz w:val="16"/>
          <w:szCs w:val="16"/>
        </w:rPr>
        <w:t>资料来源：</w:t>
      </w:r>
      <w:r w:rsidRPr="00DF1724">
        <w:rPr>
          <w:rFonts w:hint="eastAsia"/>
          <w:sz w:val="16"/>
          <w:szCs w:val="16"/>
        </w:rPr>
        <w:t>Wind</w:t>
      </w:r>
      <w:r w:rsidRPr="00DF1724">
        <w:rPr>
          <w:rFonts w:hint="eastAsia"/>
          <w:sz w:val="16"/>
          <w:szCs w:val="16"/>
        </w:rPr>
        <w:t>，民生证券研究院</w:t>
      </w:r>
    </w:p>
    <w:p w:rsidR="006079F2" w:rsidRPr="00DF1724" w:rsidRDefault="006079F2" w:rsidP="006079F2">
      <w:pPr>
        <w:spacing w:line="360" w:lineRule="auto"/>
        <w:ind w:rightChars="1000" w:right="2100"/>
        <w:rPr>
          <w:rFonts w:ascii="楷体" w:eastAsia="楷体" w:hAnsi="楷体"/>
          <w:szCs w:val="21"/>
        </w:rPr>
      </w:pPr>
    </w:p>
    <w:p w:rsidR="006079F2" w:rsidRPr="00710B1D" w:rsidRDefault="006079F2" w:rsidP="006079F2">
      <w:pPr>
        <w:pStyle w:val="aff2"/>
        <w:numPr>
          <w:ilvl w:val="0"/>
          <w:numId w:val="20"/>
        </w:numPr>
        <w:spacing w:line="360" w:lineRule="auto"/>
        <w:ind w:rightChars="1000" w:right="2100" w:firstLineChars="0"/>
        <w:rPr>
          <w:rFonts w:ascii="楷体" w:eastAsia="楷体" w:hAnsi="楷体"/>
          <w:b/>
          <w:szCs w:val="21"/>
        </w:rPr>
      </w:pPr>
      <w:r w:rsidRPr="00DF1724">
        <w:rPr>
          <w:rFonts w:ascii="楷体" w:eastAsia="楷体" w:hAnsi="楷体" w:hint="eastAsia"/>
          <w:b/>
          <w:szCs w:val="21"/>
        </w:rPr>
        <w:t>2015年水泥熟料产能持续增长，产能过剩加剧</w:t>
      </w:r>
    </w:p>
    <w:p w:rsidR="006079F2" w:rsidRPr="00DF1724" w:rsidRDefault="006079F2" w:rsidP="006079F2">
      <w:pPr>
        <w:spacing w:line="360" w:lineRule="auto"/>
        <w:ind w:rightChars="1000" w:right="2100" w:firstLine="420"/>
        <w:rPr>
          <w:rFonts w:ascii="楷体" w:eastAsia="楷体" w:hAnsi="楷体"/>
          <w:szCs w:val="21"/>
        </w:rPr>
      </w:pPr>
      <w:r w:rsidRPr="00DF1724">
        <w:rPr>
          <w:rFonts w:ascii="楷体" w:eastAsia="楷体" w:hAnsi="楷体" w:hint="eastAsia"/>
          <w:b/>
          <w:szCs w:val="21"/>
        </w:rPr>
        <w:t>水泥行业去产能仍未开始。</w:t>
      </w:r>
      <w:r w:rsidRPr="00DF1724">
        <w:rPr>
          <w:rFonts w:ascii="楷体" w:eastAsia="楷体" w:hAnsi="楷体" w:hint="eastAsia"/>
          <w:szCs w:val="21"/>
        </w:rPr>
        <w:t>2015年水泥熟料产能约为18.1亿吨，同比2014年增加2.2%。从增量角度看， 2015年新增水泥熟料产能约为4712万吨，同比2014年减少了32%，增长速度放缓。然而，在水泥需求快速下降的压力下，</w:t>
      </w:r>
      <w:proofErr w:type="gramStart"/>
      <w:r w:rsidRPr="00DF1724">
        <w:rPr>
          <w:rFonts w:ascii="楷体" w:eastAsia="楷体" w:hAnsi="楷体" w:hint="eastAsia"/>
          <w:szCs w:val="21"/>
        </w:rPr>
        <w:t>据数字水泥网数据</w:t>
      </w:r>
      <w:proofErr w:type="gramEnd"/>
      <w:r w:rsidRPr="00DF1724">
        <w:rPr>
          <w:rFonts w:ascii="楷体" w:eastAsia="楷体" w:hAnsi="楷体" w:hint="eastAsia"/>
          <w:szCs w:val="21"/>
        </w:rPr>
        <w:t>统计，2015年全国熟料产能利用率仅约为67%，同比2014年下降5%，熟料产能过剩进一步加剧，供需</w:t>
      </w:r>
      <w:r w:rsidRPr="00DF1724">
        <w:rPr>
          <w:rFonts w:ascii="楷体" w:eastAsia="楷体" w:hAnsi="楷体" w:hint="eastAsia"/>
          <w:szCs w:val="21"/>
        </w:rPr>
        <w:lastRenderedPageBreak/>
        <w:t>矛盾更加恶化。从各省来看，山西、新疆、内蒙古、辽宁、河北五省产能利用率均小于50%，产能严重过剩。其中，2015年10个省份落后全国平均产能利用率，安徽等省产能利用率超过了98%，大幅领先全国平均水平。</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0"/>
        <w:gridCol w:w="283"/>
        <w:gridCol w:w="71"/>
        <w:gridCol w:w="4607"/>
      </w:tblGrid>
      <w:tr w:rsidR="006079F2" w:rsidRPr="00DF5A08" w:rsidTr="00666BBE">
        <w:trPr>
          <w:trHeight w:hRule="exact" w:val="454"/>
        </w:trPr>
        <w:tc>
          <w:tcPr>
            <w:tcW w:w="4820" w:type="dxa"/>
            <w:tcBorders>
              <w:top w:val="nil"/>
              <w:left w:val="nil"/>
              <w:bottom w:val="single" w:sz="8" w:space="0" w:color="005096"/>
              <w:right w:val="nil"/>
            </w:tcBorders>
            <w:vAlign w:val="bottom"/>
          </w:tcPr>
          <w:p w:rsidR="006079F2" w:rsidRPr="00DF5A08" w:rsidRDefault="006079F2" w:rsidP="00666BBE">
            <w:pPr>
              <w:spacing w:line="360" w:lineRule="exact"/>
              <w:rPr>
                <w:b/>
                <w:color w:val="005096"/>
                <w:sz w:val="18"/>
                <w:szCs w:val="20"/>
                <w:highlight w:val="yellow"/>
              </w:rPr>
            </w:pPr>
            <w:bookmarkStart w:id="9" w:name="_Toc442048847"/>
            <w:r w:rsidRPr="00DF5A08">
              <w:rPr>
                <w:rFonts w:hint="eastAsia"/>
                <w:b/>
                <w:color w:val="005096"/>
                <w:sz w:val="18"/>
                <w:szCs w:val="20"/>
              </w:rPr>
              <w:t>图</w:t>
            </w:r>
            <w:r w:rsidR="004A065D">
              <w:rPr>
                <w:rFonts w:hint="eastAsia"/>
                <w:b/>
                <w:color w:val="005096"/>
                <w:sz w:val="18"/>
                <w:szCs w:val="20"/>
              </w:rPr>
              <w:t>28</w:t>
            </w:r>
            <w:r w:rsidRPr="00DF5A08">
              <w:rPr>
                <w:rFonts w:hint="eastAsia"/>
                <w:b/>
                <w:color w:val="005096"/>
                <w:sz w:val="18"/>
                <w:szCs w:val="20"/>
              </w:rPr>
              <w:t>：</w:t>
            </w:r>
            <w:r w:rsidRPr="00DF5A08">
              <w:rPr>
                <w:rFonts w:hint="eastAsia"/>
                <w:b/>
                <w:color w:val="005096"/>
                <w:sz w:val="18"/>
                <w:szCs w:val="20"/>
              </w:rPr>
              <w:t>2015</w:t>
            </w:r>
            <w:r w:rsidRPr="00DF5A08">
              <w:rPr>
                <w:rFonts w:hint="eastAsia"/>
                <w:b/>
                <w:color w:val="005096"/>
                <w:sz w:val="18"/>
                <w:szCs w:val="20"/>
              </w:rPr>
              <w:t>年水泥熟料总产能持续增长</w:t>
            </w:r>
            <w:bookmarkEnd w:id="9"/>
          </w:p>
        </w:tc>
        <w:tc>
          <w:tcPr>
            <w:tcW w:w="354" w:type="dxa"/>
            <w:gridSpan w:val="2"/>
            <w:tcBorders>
              <w:top w:val="nil"/>
              <w:left w:val="nil"/>
              <w:bottom w:val="nil"/>
              <w:right w:val="nil"/>
            </w:tcBorders>
            <w:vAlign w:val="bottom"/>
          </w:tcPr>
          <w:p w:rsidR="006079F2" w:rsidRPr="00DF5A08" w:rsidRDefault="006079F2" w:rsidP="005143F4">
            <w:pPr>
              <w:autoSpaceDE w:val="0"/>
              <w:autoSpaceDN w:val="0"/>
              <w:spacing w:beforeLines="50" w:afterLines="50" w:line="360" w:lineRule="auto"/>
              <w:rPr>
                <w:sz w:val="24"/>
                <w:highlight w:val="yellow"/>
              </w:rPr>
            </w:pPr>
          </w:p>
        </w:tc>
        <w:tc>
          <w:tcPr>
            <w:tcW w:w="4607" w:type="dxa"/>
            <w:tcBorders>
              <w:top w:val="nil"/>
              <w:left w:val="nil"/>
              <w:bottom w:val="single" w:sz="8" w:space="0" w:color="005096"/>
              <w:right w:val="nil"/>
            </w:tcBorders>
            <w:vAlign w:val="bottom"/>
          </w:tcPr>
          <w:p w:rsidR="006079F2" w:rsidRPr="00DF5A08" w:rsidRDefault="006079F2" w:rsidP="00666BBE">
            <w:pPr>
              <w:spacing w:line="360" w:lineRule="exact"/>
              <w:rPr>
                <w:b/>
                <w:color w:val="005096"/>
                <w:sz w:val="18"/>
                <w:szCs w:val="20"/>
                <w:highlight w:val="yellow"/>
              </w:rPr>
            </w:pPr>
            <w:bookmarkStart w:id="10" w:name="_Toc442048848"/>
            <w:r w:rsidRPr="00DF5A08">
              <w:rPr>
                <w:rFonts w:hint="eastAsia"/>
                <w:b/>
                <w:color w:val="005096"/>
                <w:sz w:val="18"/>
                <w:szCs w:val="20"/>
              </w:rPr>
              <w:t>图</w:t>
            </w:r>
            <w:r w:rsidR="004A065D">
              <w:rPr>
                <w:rFonts w:hint="eastAsia"/>
                <w:b/>
                <w:color w:val="005096"/>
                <w:sz w:val="18"/>
                <w:szCs w:val="20"/>
              </w:rPr>
              <w:t>29</w:t>
            </w:r>
            <w:r w:rsidRPr="00DF5A08">
              <w:rPr>
                <w:rFonts w:hint="eastAsia"/>
                <w:b/>
                <w:color w:val="005096"/>
                <w:sz w:val="18"/>
                <w:szCs w:val="20"/>
              </w:rPr>
              <w:t>：</w:t>
            </w:r>
            <w:r w:rsidRPr="00DF5A08">
              <w:rPr>
                <w:rFonts w:hint="eastAsia"/>
                <w:b/>
                <w:color w:val="005096"/>
                <w:sz w:val="18"/>
                <w:szCs w:val="20"/>
              </w:rPr>
              <w:t>2015</w:t>
            </w:r>
            <w:r w:rsidRPr="00DF5A08">
              <w:rPr>
                <w:rFonts w:hint="eastAsia"/>
                <w:b/>
                <w:color w:val="005096"/>
                <w:sz w:val="18"/>
                <w:szCs w:val="20"/>
              </w:rPr>
              <w:t>年新增新型干法水泥熟料产能持续放缓</w:t>
            </w:r>
            <w:bookmarkEnd w:id="10"/>
          </w:p>
        </w:tc>
      </w:tr>
      <w:tr w:rsidR="006079F2" w:rsidRPr="00DF5A08" w:rsidTr="00666BBE">
        <w:trPr>
          <w:trHeight w:hRule="exact" w:val="3672"/>
        </w:trPr>
        <w:tc>
          <w:tcPr>
            <w:tcW w:w="4820" w:type="dxa"/>
            <w:tcBorders>
              <w:top w:val="single" w:sz="8" w:space="0" w:color="005096"/>
              <w:left w:val="nil"/>
              <w:bottom w:val="single" w:sz="8" w:space="0" w:color="005096"/>
              <w:right w:val="nil"/>
            </w:tcBorders>
          </w:tcPr>
          <w:p w:rsidR="006079F2" w:rsidRPr="00DF5A08" w:rsidRDefault="003D3FA9" w:rsidP="00666BBE">
            <w:pPr>
              <w:autoSpaceDE w:val="0"/>
              <w:autoSpaceDN w:val="0"/>
              <w:rPr>
                <w:sz w:val="24"/>
              </w:rPr>
            </w:pPr>
            <w:r w:rsidRPr="003D3FA9">
              <w:rPr>
                <w:noProof/>
              </w:rPr>
              <w:pict>
                <v:shape id="TextBox 7" o:spid="_x0000_s1076" type="#_x0000_t202" style="position:absolute;left:0;text-align:left;margin-left:50.3pt;margin-top:8.05pt;width:67.95pt;height:22.45pt;z-index:2516741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" filled="f" stroked="f">
                  <v:textbox>
                    <w:txbxContent>
                      <w:p w:rsidR="00617EA9" w:rsidRDefault="00617EA9" w:rsidP="006079F2">
                        <w:pPr>
                          <w:pStyle w:val="aff3"/>
                        </w:pPr>
                        <w:r w:rsidRPr="00DF5A08">
                          <w:rPr>
                            <w:rFonts w:cs="Times New Roman" w:hint="eastAsia"/>
                            <w:color w:val="000000"/>
                            <w:sz w:val="20"/>
                            <w:szCs w:val="20"/>
                          </w:rPr>
                          <w:t>国发38号文</w:t>
                        </w:r>
                      </w:p>
                    </w:txbxContent>
                  </v:textbox>
                </v:shape>
              </w:pict>
            </w:r>
            <w:r w:rsidRPr="003D3FA9">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2306" o:spid="_x0000_s1075" type="#_x0000_t67" style="position:absolute;left:0;text-align:left;margin-left:83.95pt;margin-top:25.55pt;width:3.55pt;height:13.8pt;z-index:2516730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" adj="18822" fillcolor="red" strokecolor="#7030a0" strokeweight="2pt"/>
              </w:pict>
            </w:r>
            <w:r w:rsidR="006079F2" w:rsidRPr="00DF5A08">
              <w:rPr>
                <w:noProof/>
              </w:rPr>
              <w:drawing>
                <wp:inline distT="0" distB="0" distL="0" distR="0">
                  <wp:extent cx="2948025" cy="2275027"/>
                  <wp:effectExtent l="0" t="0" r="5080" b="0"/>
                  <wp:docPr id="14341" name="图表 14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83" w:type="dxa"/>
            <w:tcBorders>
              <w:top w:val="nil"/>
              <w:left w:val="nil"/>
              <w:bottom w:val="nil"/>
              <w:right w:val="nil"/>
            </w:tcBorders>
          </w:tcPr>
          <w:p w:rsidR="006079F2" w:rsidRPr="00DF5A08" w:rsidRDefault="006079F2" w:rsidP="005143F4">
            <w:pPr>
              <w:autoSpaceDE w:val="0"/>
              <w:autoSpaceDN w:val="0"/>
              <w:spacing w:beforeLines="50" w:afterLines="50" w:line="360" w:lineRule="auto"/>
              <w:rPr>
                <w:sz w:val="24"/>
              </w:rPr>
            </w:pPr>
          </w:p>
        </w:tc>
        <w:tc>
          <w:tcPr>
            <w:tcW w:w="4678" w:type="dxa"/>
            <w:gridSpan w:val="2"/>
            <w:tcBorders>
              <w:top w:val="single" w:sz="8" w:space="0" w:color="005096"/>
              <w:left w:val="nil"/>
              <w:bottom w:val="single" w:sz="8" w:space="0" w:color="005096"/>
              <w:right w:val="nil"/>
            </w:tcBorders>
          </w:tcPr>
          <w:p w:rsidR="006079F2" w:rsidRPr="00DF5A08" w:rsidRDefault="006079F2" w:rsidP="00666BBE">
            <w:pPr>
              <w:autoSpaceDE w:val="0"/>
              <w:autoSpaceDN w:val="0"/>
              <w:rPr>
                <w:sz w:val="24"/>
              </w:rPr>
            </w:pPr>
            <w:r w:rsidRPr="00DF5A08">
              <w:rPr>
                <w:noProof/>
              </w:rPr>
              <w:drawing>
                <wp:inline distT="0" distB="0" distL="0" distR="0">
                  <wp:extent cx="2894275" cy="2258171"/>
                  <wp:effectExtent l="0" t="0" r="1905" b="8890"/>
                  <wp:docPr id="14342" name="图表 14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6079F2" w:rsidRPr="00DF5A08" w:rsidRDefault="006079F2" w:rsidP="005143F4">
      <w:pPr>
        <w:spacing w:afterLines="50" w:line="360" w:lineRule="exact"/>
        <w:rPr>
          <w:sz w:val="16"/>
          <w:szCs w:val="16"/>
        </w:rPr>
      </w:pPr>
      <w:r w:rsidRPr="00DF5A08">
        <w:rPr>
          <w:rFonts w:hint="eastAsia"/>
          <w:sz w:val="16"/>
          <w:szCs w:val="16"/>
        </w:rPr>
        <w:t>资料来源：</w:t>
      </w:r>
      <w:r w:rsidRPr="00DF5A08">
        <w:rPr>
          <w:rFonts w:hint="eastAsia"/>
          <w:sz w:val="16"/>
          <w:szCs w:val="16"/>
        </w:rPr>
        <w:t>Wind</w:t>
      </w:r>
      <w:r w:rsidRPr="00DF5A08">
        <w:rPr>
          <w:rFonts w:hint="eastAsia"/>
          <w:sz w:val="16"/>
          <w:szCs w:val="16"/>
        </w:rPr>
        <w:t>，民生证券研究院</w:t>
      </w:r>
      <w:r w:rsidRPr="00DF5A08">
        <w:rPr>
          <w:rFonts w:hint="eastAsia"/>
          <w:sz w:val="16"/>
          <w:szCs w:val="16"/>
        </w:rPr>
        <w:t xml:space="preserve">                                  </w:t>
      </w:r>
      <w:r w:rsidRPr="00DF5A08">
        <w:rPr>
          <w:rFonts w:hint="eastAsia"/>
          <w:sz w:val="16"/>
          <w:szCs w:val="16"/>
        </w:rPr>
        <w:t>资料来源：</w:t>
      </w:r>
      <w:r w:rsidRPr="00DF5A08">
        <w:rPr>
          <w:rFonts w:hint="eastAsia"/>
          <w:sz w:val="16"/>
          <w:szCs w:val="16"/>
        </w:rPr>
        <w:t>Wind</w:t>
      </w:r>
      <w:r w:rsidRPr="00DF5A08">
        <w:rPr>
          <w:rFonts w:hint="eastAsia"/>
          <w:sz w:val="16"/>
          <w:szCs w:val="16"/>
        </w:rPr>
        <w:t>，民生证券研究院</w:t>
      </w:r>
    </w:p>
    <w:p w:rsidR="006079F2" w:rsidRPr="00DF5A08" w:rsidRDefault="006079F2" w:rsidP="006079F2">
      <w:pPr>
        <w:spacing w:line="360" w:lineRule="exact"/>
        <w:rPr>
          <w:b/>
          <w:color w:val="005096"/>
          <w:sz w:val="18"/>
          <w:szCs w:val="20"/>
        </w:rPr>
      </w:pPr>
      <w:bookmarkStart w:id="11" w:name="_Toc442048849"/>
      <w:r w:rsidRPr="00DF5A08">
        <w:rPr>
          <w:rFonts w:hint="eastAsia"/>
          <w:b/>
          <w:color w:val="005096"/>
          <w:sz w:val="18"/>
          <w:szCs w:val="20"/>
        </w:rPr>
        <w:t>图</w:t>
      </w:r>
      <w:r w:rsidR="004A065D">
        <w:rPr>
          <w:rFonts w:hint="eastAsia"/>
          <w:b/>
          <w:color w:val="005096"/>
          <w:sz w:val="18"/>
          <w:szCs w:val="20"/>
        </w:rPr>
        <w:t>30</w:t>
      </w:r>
      <w:r w:rsidRPr="00DF5A08">
        <w:rPr>
          <w:rFonts w:hint="eastAsia"/>
          <w:b/>
          <w:color w:val="005096"/>
          <w:sz w:val="18"/>
          <w:szCs w:val="20"/>
        </w:rPr>
        <w:t>：</w:t>
      </w:r>
      <w:r w:rsidRPr="00DF5A08">
        <w:rPr>
          <w:rFonts w:hint="eastAsia"/>
          <w:b/>
          <w:color w:val="005096"/>
          <w:sz w:val="18"/>
          <w:szCs w:val="20"/>
        </w:rPr>
        <w:t>2015</w:t>
      </w:r>
      <w:r w:rsidRPr="00DF5A08">
        <w:rPr>
          <w:rFonts w:hint="eastAsia"/>
          <w:b/>
          <w:color w:val="005096"/>
          <w:sz w:val="18"/>
          <w:szCs w:val="20"/>
        </w:rPr>
        <w:t>年</w:t>
      </w:r>
      <w:r w:rsidRPr="00DF5A08">
        <w:rPr>
          <w:rFonts w:hint="eastAsia"/>
          <w:b/>
          <w:color w:val="005096"/>
          <w:sz w:val="18"/>
          <w:szCs w:val="20"/>
        </w:rPr>
        <w:t>10</w:t>
      </w:r>
      <w:r w:rsidRPr="00DF5A08">
        <w:rPr>
          <w:rFonts w:hint="eastAsia"/>
          <w:b/>
          <w:color w:val="005096"/>
          <w:sz w:val="18"/>
          <w:szCs w:val="20"/>
        </w:rPr>
        <w:t>个省份产能利用率不及全国平均水平</w:t>
      </w:r>
      <w:bookmarkEnd w:id="11"/>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206"/>
      </w:tblGrid>
      <w:tr w:rsidR="006079F2" w:rsidRPr="00DF5A08" w:rsidTr="00666BBE">
        <w:trPr>
          <w:trHeight w:hRule="exact" w:val="3465"/>
        </w:trPr>
        <w:tc>
          <w:tcPr>
            <w:tcW w:w="10206" w:type="dxa"/>
            <w:tcBorders>
              <w:top w:val="single" w:sz="8" w:space="0" w:color="005096"/>
              <w:left w:val="nil"/>
              <w:bottom w:val="single" w:sz="8" w:space="0" w:color="005096"/>
              <w:right w:val="nil"/>
            </w:tcBorders>
          </w:tcPr>
          <w:p w:rsidR="006079F2" w:rsidRPr="00DF5A08" w:rsidRDefault="003D3FA9" w:rsidP="005143F4">
            <w:pPr>
              <w:autoSpaceDE w:val="0"/>
              <w:autoSpaceDN w:val="0"/>
              <w:spacing w:beforeLines="50" w:afterLines="50" w:line="360" w:lineRule="auto"/>
              <w:rPr>
                <w:sz w:val="24"/>
              </w:rPr>
            </w:pPr>
            <w:r w:rsidRPr="003D3FA9">
              <w:rPr>
                <w:noProof/>
              </w:rPr>
              <w:pict>
                <v:shape id="_x0000_s1077" type="#_x0000_t202" style="position:absolute;left:0;text-align:left;margin-left:41.25pt;margin-top:79.5pt;width:95.05pt;height:21.2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" filled="f" stroked="f">
                  <v:textbox>
                    <w:txbxContent>
                      <w:p w:rsidR="00617EA9" w:rsidRDefault="00617EA9" w:rsidP="006079F2">
                        <w:pPr>
                          <w:pStyle w:val="aff3"/>
                        </w:pPr>
                        <w:r w:rsidRPr="00DF5A08">
                          <w:rPr>
                            <w:rFonts w:ascii="Calibri" w:cs="Times New Roman" w:hint="eastAsia"/>
                            <w:color w:val="000000"/>
                            <w:sz w:val="16"/>
                            <w:szCs w:val="16"/>
                          </w:rPr>
                          <w:t>产能利用率：</w:t>
                        </w:r>
                        <w:r w:rsidRPr="00DF5A08">
                          <w:rPr>
                            <w:rFonts w:ascii="Calibri" w:hAnsi="Calibri" w:cs="Times New Roman"/>
                            <w:color w:val="000000"/>
                            <w:sz w:val="16"/>
                            <w:szCs w:val="16"/>
                          </w:rPr>
                          <w:t>50%</w:t>
                        </w:r>
                      </w:p>
                    </w:txbxContent>
                  </v:textbox>
                </v:shape>
              </w:pict>
            </w:r>
            <w:r w:rsidR="006079F2" w:rsidRPr="00DF5A08">
              <w:rPr>
                <w:noProof/>
              </w:rPr>
              <w:drawing>
                <wp:inline distT="0" distB="0" distL="0" distR="0">
                  <wp:extent cx="5820355" cy="2043485"/>
                  <wp:effectExtent l="0" t="0" r="0" b="0"/>
                  <wp:docPr id="14344" name="图表 14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6079F2" w:rsidRPr="00DF5A08" w:rsidRDefault="006079F2" w:rsidP="005143F4">
      <w:pPr>
        <w:spacing w:afterLines="50" w:line="260" w:lineRule="exact"/>
        <w:rPr>
          <w:sz w:val="16"/>
          <w:szCs w:val="16"/>
        </w:rPr>
      </w:pPr>
      <w:r w:rsidRPr="00DF5A08">
        <w:rPr>
          <w:rFonts w:hint="eastAsia"/>
          <w:sz w:val="16"/>
          <w:szCs w:val="16"/>
        </w:rPr>
        <w:t>资料来源：</w:t>
      </w:r>
      <w:r w:rsidRPr="00DF5A08">
        <w:rPr>
          <w:rFonts w:hint="eastAsia"/>
          <w:sz w:val="16"/>
          <w:szCs w:val="16"/>
        </w:rPr>
        <w:t>Wind</w:t>
      </w:r>
      <w:r w:rsidRPr="00DF5A08">
        <w:rPr>
          <w:rFonts w:hint="eastAsia"/>
          <w:sz w:val="16"/>
          <w:szCs w:val="16"/>
        </w:rPr>
        <w:t>，数字水泥网，民生证券研究院</w:t>
      </w:r>
    </w:p>
    <w:p w:rsidR="006079F2" w:rsidRDefault="006079F2" w:rsidP="005143F4">
      <w:pPr>
        <w:spacing w:afterLines="50" w:line="360" w:lineRule="auto"/>
        <w:rPr>
          <w:rFonts w:ascii="楷体" w:eastAsia="楷体" w:hAnsi="楷体"/>
          <w:szCs w:val="21"/>
        </w:rPr>
      </w:pPr>
    </w:p>
    <w:p w:rsidR="006079F2" w:rsidRPr="005F45F2" w:rsidRDefault="006079F2" w:rsidP="005143F4">
      <w:pPr>
        <w:pStyle w:val="aff2"/>
        <w:numPr>
          <w:ilvl w:val="0"/>
          <w:numId w:val="19"/>
        </w:numPr>
        <w:spacing w:afterLines="50" w:line="360" w:lineRule="auto"/>
        <w:ind w:firstLineChars="0"/>
        <w:rPr>
          <w:rFonts w:ascii="楷体" w:eastAsia="楷体" w:hAnsi="楷体"/>
          <w:b/>
          <w:szCs w:val="21"/>
        </w:rPr>
      </w:pPr>
      <w:r w:rsidRPr="005F45F2">
        <w:rPr>
          <w:rFonts w:ascii="楷体" w:eastAsia="楷体" w:hAnsi="楷体" w:hint="eastAsia"/>
          <w:b/>
          <w:szCs w:val="21"/>
        </w:rPr>
        <w:t>去产能进程：政策频出，水泥行业去产能路途漫漫</w:t>
      </w:r>
    </w:p>
    <w:p w:rsidR="006079F2" w:rsidRDefault="006079F2" w:rsidP="006079F2">
      <w:pPr>
        <w:spacing w:line="360" w:lineRule="auto"/>
        <w:ind w:rightChars="1000" w:right="2100" w:firstLine="360"/>
        <w:rPr>
          <w:rFonts w:ascii="楷体" w:eastAsia="楷体" w:hAnsi="楷体"/>
          <w:szCs w:val="21"/>
        </w:rPr>
      </w:pPr>
      <w:r>
        <w:rPr>
          <w:rFonts w:hint="eastAsia"/>
        </w:rPr>
        <w:t>2</w:t>
      </w:r>
      <w:r w:rsidRPr="0045126A">
        <w:rPr>
          <w:rFonts w:ascii="楷体" w:eastAsia="楷体" w:hAnsi="楷体" w:hint="eastAsia"/>
          <w:szCs w:val="21"/>
        </w:rPr>
        <w:t>004年后，中央频出政策调整水泥产业结构，然而政策实施效果不及预期。其主要原因是：一、中央政策频出，然而地方政府受GDP考核、增加政府税收和稳定就业的压力，主动去产能动力不足；二、水泥行业整体还在盈利，盈利企业为守住市场份额，不甘主动退出市场。三、亏损的“僵尸企业”面临退</w:t>
      </w:r>
      <w:proofErr w:type="gramStart"/>
      <w:r w:rsidRPr="0045126A">
        <w:rPr>
          <w:rFonts w:ascii="楷体" w:eastAsia="楷体" w:hAnsi="楷体" w:hint="eastAsia"/>
          <w:szCs w:val="21"/>
        </w:rPr>
        <w:t>市成本</w:t>
      </w:r>
      <w:proofErr w:type="gramEnd"/>
      <w:r w:rsidRPr="0045126A">
        <w:rPr>
          <w:rFonts w:ascii="楷体" w:eastAsia="楷体" w:hAnsi="楷体" w:hint="eastAsia"/>
          <w:szCs w:val="21"/>
        </w:rPr>
        <w:t>大的压力，退市机制不完善。四、产能过剩主要是新型干法产能过剩。</w:t>
      </w:r>
    </w:p>
    <w:p w:rsidR="006079F2" w:rsidRDefault="006079F2" w:rsidP="006079F2">
      <w:pPr>
        <w:spacing w:line="360" w:lineRule="auto"/>
        <w:ind w:rightChars="1000" w:right="2100"/>
        <w:rPr>
          <w:rFonts w:ascii="楷体" w:eastAsia="楷体" w:hAnsi="楷体"/>
          <w:szCs w:val="21"/>
        </w:rPr>
      </w:pPr>
    </w:p>
    <w:p w:rsidR="006079F2" w:rsidRPr="00A11FF1" w:rsidRDefault="006079F2" w:rsidP="006079F2">
      <w:pPr>
        <w:pStyle w:val="aff2"/>
        <w:numPr>
          <w:ilvl w:val="0"/>
          <w:numId w:val="21"/>
        </w:numPr>
        <w:spacing w:line="360" w:lineRule="auto"/>
        <w:ind w:rightChars="1000" w:right="2100" w:firstLineChars="0"/>
        <w:rPr>
          <w:rFonts w:ascii="楷体" w:eastAsia="楷体" w:hAnsi="楷体"/>
          <w:b/>
          <w:szCs w:val="21"/>
        </w:rPr>
      </w:pPr>
      <w:r w:rsidRPr="00A11FF1">
        <w:rPr>
          <w:rFonts w:ascii="楷体" w:eastAsia="楷体" w:hAnsi="楷体" w:hint="eastAsia"/>
          <w:b/>
          <w:szCs w:val="21"/>
        </w:rPr>
        <w:lastRenderedPageBreak/>
        <w:t>中央政策频出，地方政府难下“断腕”决心</w:t>
      </w:r>
    </w:p>
    <w:p w:rsidR="006079F2" w:rsidRPr="00A11FF1" w:rsidRDefault="006079F2" w:rsidP="006079F2">
      <w:pPr>
        <w:spacing w:line="360" w:lineRule="auto"/>
        <w:ind w:rightChars="1000" w:right="2100" w:firstLine="420"/>
        <w:rPr>
          <w:rFonts w:ascii="楷体" w:eastAsia="楷体" w:hAnsi="楷体"/>
          <w:szCs w:val="21"/>
        </w:rPr>
      </w:pPr>
      <w:r w:rsidRPr="00DD2764">
        <w:rPr>
          <w:rFonts w:ascii="楷体" w:eastAsia="楷体" w:hAnsi="楷体" w:hint="eastAsia"/>
          <w:b/>
          <w:szCs w:val="21"/>
        </w:rPr>
        <w:t>受GDP考核、增加政府税收和稳定就业的压力，地方政府去产能动力不足。</w:t>
      </w:r>
      <w:r w:rsidRPr="00A11FF1">
        <w:rPr>
          <w:rFonts w:ascii="楷体" w:eastAsia="楷体" w:hAnsi="楷体" w:hint="eastAsia"/>
          <w:szCs w:val="21"/>
        </w:rPr>
        <w:t>自</w:t>
      </w:r>
      <w:proofErr w:type="gramStart"/>
      <w:r w:rsidRPr="00A11FF1">
        <w:rPr>
          <w:rFonts w:ascii="楷体" w:eastAsia="楷体" w:hAnsi="楷体" w:hint="eastAsia"/>
          <w:szCs w:val="21"/>
        </w:rPr>
        <w:t>2004年发改委</w:t>
      </w:r>
      <w:proofErr w:type="gramEnd"/>
      <w:r w:rsidRPr="00A11FF1">
        <w:rPr>
          <w:rFonts w:ascii="楷体" w:eastAsia="楷体" w:hAnsi="楷体" w:hint="eastAsia"/>
          <w:szCs w:val="21"/>
        </w:rPr>
        <w:t>出台《关于钢铁、电解铝、水泥行业项目清理有关意见》鼓励水泥行业淘汰落后产能，政府为调控水泥产业结构，打出了一系列政策组合拳。尽管政策频出，政策实施效果却不符合我们的预期。</w:t>
      </w:r>
    </w:p>
    <w:p w:rsidR="006079F2" w:rsidRDefault="006079F2" w:rsidP="006079F2">
      <w:pPr>
        <w:spacing w:line="360" w:lineRule="auto"/>
        <w:ind w:rightChars="1000" w:right="2100" w:firstLine="420"/>
        <w:rPr>
          <w:rFonts w:ascii="楷体" w:eastAsia="楷体" w:hAnsi="楷体"/>
          <w:szCs w:val="21"/>
        </w:rPr>
      </w:pPr>
      <w:r w:rsidRPr="00A11FF1">
        <w:rPr>
          <w:rFonts w:ascii="楷体" w:eastAsia="楷体" w:hAnsi="楷体" w:hint="eastAsia"/>
          <w:szCs w:val="21"/>
        </w:rPr>
        <w:t>严格控制新增产能的国发38号文出台之后，而从图</w:t>
      </w:r>
      <w:r w:rsidR="007A307A">
        <w:rPr>
          <w:rFonts w:ascii="楷体" w:eastAsia="楷体" w:hAnsi="楷体"/>
          <w:szCs w:val="21"/>
        </w:rPr>
        <w:t>28</w:t>
      </w:r>
      <w:r w:rsidRPr="00A11FF1">
        <w:rPr>
          <w:rFonts w:ascii="楷体" w:eastAsia="楷体" w:hAnsi="楷体" w:hint="eastAsia"/>
          <w:szCs w:val="21"/>
        </w:rPr>
        <w:t>里可以看到2010年产能增速不降反增，政策产生了利反。有数据统计，自38号文出台至2012年底，新增熟料产能约7亿吨。其主要原因是地方政府面对GDP考核、增加政府税收和稳定就业的压力，地方政府去产能动力不足。</w:t>
      </w:r>
    </w:p>
    <w:p w:rsidR="006079F2" w:rsidRPr="009B6015" w:rsidRDefault="006079F2" w:rsidP="006079F2">
      <w:pPr>
        <w:spacing w:line="360" w:lineRule="auto"/>
        <w:ind w:rightChars="1000" w:right="2100"/>
        <w:rPr>
          <w:rFonts w:ascii="楷体" w:eastAsia="楷体" w:hAnsi="楷体"/>
          <w:szCs w:val="21"/>
        </w:rPr>
      </w:pPr>
    </w:p>
    <w:p w:rsidR="006079F2" w:rsidRPr="001A197D" w:rsidRDefault="006079F2" w:rsidP="006079F2">
      <w:pPr>
        <w:pStyle w:val="aff2"/>
        <w:numPr>
          <w:ilvl w:val="0"/>
          <w:numId w:val="21"/>
        </w:numPr>
        <w:spacing w:line="360" w:lineRule="auto"/>
        <w:ind w:rightChars="1000" w:right="2100" w:firstLineChars="0"/>
        <w:rPr>
          <w:rFonts w:ascii="楷体" w:eastAsia="楷体" w:hAnsi="楷体"/>
          <w:b/>
          <w:szCs w:val="21"/>
        </w:rPr>
      </w:pPr>
      <w:r w:rsidRPr="001A197D">
        <w:rPr>
          <w:rFonts w:ascii="楷体" w:eastAsia="楷体" w:hAnsi="楷体" w:hint="eastAsia"/>
          <w:b/>
          <w:szCs w:val="21"/>
        </w:rPr>
        <w:t>初入寒冬，水泥企业难舍市场份额</w:t>
      </w:r>
    </w:p>
    <w:p w:rsidR="006079F2" w:rsidRDefault="006079F2" w:rsidP="006079F2">
      <w:pPr>
        <w:spacing w:line="360" w:lineRule="auto"/>
        <w:ind w:rightChars="1000" w:right="2100" w:firstLine="420"/>
        <w:rPr>
          <w:rFonts w:ascii="楷体" w:eastAsia="楷体" w:hAnsi="楷体"/>
          <w:szCs w:val="21"/>
        </w:rPr>
      </w:pPr>
      <w:r w:rsidRPr="00D35E0D">
        <w:rPr>
          <w:rFonts w:ascii="楷体" w:eastAsia="楷体" w:hAnsi="楷体" w:hint="eastAsia"/>
          <w:szCs w:val="21"/>
        </w:rPr>
        <w:t>根据数字</w:t>
      </w:r>
      <w:proofErr w:type="gramStart"/>
      <w:r w:rsidRPr="00D35E0D">
        <w:rPr>
          <w:rFonts w:ascii="楷体" w:eastAsia="楷体" w:hAnsi="楷体" w:hint="eastAsia"/>
          <w:szCs w:val="21"/>
        </w:rPr>
        <w:t>水泥网</w:t>
      </w:r>
      <w:proofErr w:type="gramEnd"/>
      <w:r w:rsidRPr="00D35E0D">
        <w:rPr>
          <w:rFonts w:ascii="楷体" w:eastAsia="楷体" w:hAnsi="楷体" w:hint="eastAsia"/>
          <w:szCs w:val="21"/>
        </w:rPr>
        <w:t>预测，尽管2015年水泥行业亏损面超过40%，其中华北全行业亏损，但整个水泥行业还在盈利。煤炭行业毛利率从2008年8月的34%高位已持续下滑至2015年8月的14%，炼钢行业2009年以来更是维持在毛利率仅5%的低位运行。煤炭行业税前利润率从2011 年5月的14%高位一路下滑到2015年10月的不足2%。2015年1~10月炼钢行业全行业亏损，税前利润率约为-1%。</w:t>
      </w:r>
    </w:p>
    <w:p w:rsidR="006079F2" w:rsidRDefault="006079F2" w:rsidP="006079F2">
      <w:pPr>
        <w:spacing w:line="360" w:lineRule="auto"/>
        <w:ind w:rightChars="1000" w:right="2100" w:firstLine="420"/>
        <w:rPr>
          <w:rFonts w:ascii="楷体" w:eastAsia="楷体" w:hAnsi="楷体"/>
          <w:szCs w:val="21"/>
        </w:rPr>
      </w:pPr>
      <w:r w:rsidRPr="00702CA9">
        <w:rPr>
          <w:rFonts w:ascii="楷体" w:eastAsia="楷体" w:hAnsi="楷体" w:hint="eastAsia"/>
          <w:b/>
          <w:szCs w:val="21"/>
        </w:rPr>
        <w:t>相比于钢铁、煤炭行业，水泥行业才刚刚过上苦日子。在行业税前利润率为3%的微利背景下，尽管水泥价格持续下滑，部分盈利企业为扩大市场份额宁愿让出利润。而部分亏损的小企业还有现金流，尚未亏损至现金成本，不甘退出市场。</w:t>
      </w:r>
      <w:r w:rsidRPr="00D35E0D">
        <w:rPr>
          <w:rFonts w:ascii="楷体" w:eastAsia="楷体" w:hAnsi="楷体" w:hint="eastAsia"/>
          <w:szCs w:val="21"/>
        </w:rPr>
        <w:t>还要注意到，水泥行业盈利情况区域性差异较大，去产能过程要充分考虑到区域特点，针对不同区域量体裁衣制定不同的去产能方案。</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0"/>
        <w:gridCol w:w="283"/>
        <w:gridCol w:w="71"/>
        <w:gridCol w:w="4607"/>
      </w:tblGrid>
      <w:tr w:rsidR="006079F2" w:rsidRPr="00666BBE" w:rsidTr="00666BBE">
        <w:trPr>
          <w:trHeight w:hRule="exact" w:val="454"/>
        </w:trPr>
        <w:tc>
          <w:tcPr>
            <w:tcW w:w="4820" w:type="dxa"/>
            <w:tcBorders>
              <w:top w:val="nil"/>
              <w:left w:val="nil"/>
              <w:bottom w:val="single" w:sz="8" w:space="0" w:color="005096"/>
              <w:right w:val="nil"/>
            </w:tcBorders>
            <w:vAlign w:val="bottom"/>
          </w:tcPr>
          <w:p w:rsidR="006079F2" w:rsidRPr="00666BBE" w:rsidRDefault="006079F2" w:rsidP="00666BBE">
            <w:pPr>
              <w:spacing w:line="360" w:lineRule="exact"/>
              <w:rPr>
                <w:b/>
                <w:color w:val="005096"/>
                <w:sz w:val="18"/>
                <w:szCs w:val="20"/>
              </w:rPr>
            </w:pPr>
            <w:bookmarkStart w:id="12" w:name="_Toc442048857"/>
            <w:r w:rsidRPr="006A17E0">
              <w:rPr>
                <w:rFonts w:hint="eastAsia"/>
                <w:b/>
                <w:color w:val="005096"/>
                <w:sz w:val="18"/>
                <w:szCs w:val="20"/>
              </w:rPr>
              <w:t>图</w:t>
            </w:r>
            <w:r w:rsidR="004A065D">
              <w:rPr>
                <w:rFonts w:hint="eastAsia"/>
                <w:b/>
                <w:color w:val="005096"/>
                <w:sz w:val="18"/>
                <w:szCs w:val="20"/>
              </w:rPr>
              <w:t>31</w:t>
            </w:r>
            <w:r w:rsidRPr="006A17E0">
              <w:rPr>
                <w:rFonts w:hint="eastAsia"/>
                <w:b/>
                <w:color w:val="005096"/>
                <w:sz w:val="18"/>
                <w:szCs w:val="20"/>
              </w:rPr>
              <w:t>：</w:t>
            </w:r>
            <w:r w:rsidRPr="006A17E0">
              <w:rPr>
                <w:rFonts w:hint="eastAsia"/>
                <w:b/>
                <w:color w:val="005096"/>
                <w:sz w:val="18"/>
                <w:szCs w:val="20"/>
              </w:rPr>
              <w:t>2015</w:t>
            </w:r>
            <w:r w:rsidRPr="006A17E0">
              <w:rPr>
                <w:rFonts w:hint="eastAsia"/>
                <w:b/>
                <w:color w:val="005096"/>
                <w:sz w:val="18"/>
                <w:szCs w:val="20"/>
              </w:rPr>
              <w:t>年煤炭毛利率大幅下滑，炼钢毛利率持续低位</w:t>
            </w:r>
            <w:bookmarkEnd w:id="12"/>
          </w:p>
        </w:tc>
        <w:tc>
          <w:tcPr>
            <w:tcW w:w="354" w:type="dxa"/>
            <w:gridSpan w:val="2"/>
            <w:tcBorders>
              <w:top w:val="nil"/>
              <w:left w:val="nil"/>
              <w:bottom w:val="nil"/>
              <w:right w:val="nil"/>
            </w:tcBorders>
            <w:vAlign w:val="bottom"/>
          </w:tcPr>
          <w:p w:rsidR="006079F2" w:rsidRPr="00666BBE" w:rsidRDefault="006079F2" w:rsidP="00666BBE">
            <w:pPr>
              <w:spacing w:line="360" w:lineRule="exact"/>
              <w:rPr>
                <w:b/>
                <w:color w:val="005096"/>
                <w:sz w:val="18"/>
                <w:szCs w:val="20"/>
              </w:rPr>
            </w:pPr>
          </w:p>
        </w:tc>
        <w:tc>
          <w:tcPr>
            <w:tcW w:w="4607" w:type="dxa"/>
            <w:tcBorders>
              <w:top w:val="nil"/>
              <w:left w:val="nil"/>
              <w:bottom w:val="single" w:sz="8" w:space="0" w:color="005096"/>
              <w:right w:val="nil"/>
            </w:tcBorders>
            <w:vAlign w:val="bottom"/>
          </w:tcPr>
          <w:p w:rsidR="006079F2" w:rsidRPr="00666BBE" w:rsidRDefault="006079F2" w:rsidP="004A065D">
            <w:pPr>
              <w:spacing w:line="360" w:lineRule="exact"/>
              <w:rPr>
                <w:b/>
                <w:color w:val="005096"/>
                <w:sz w:val="18"/>
                <w:szCs w:val="20"/>
              </w:rPr>
            </w:pPr>
            <w:bookmarkStart w:id="13" w:name="_Toc442048858"/>
            <w:r w:rsidRPr="006A17E0">
              <w:rPr>
                <w:rFonts w:hint="eastAsia"/>
                <w:b/>
                <w:color w:val="005096"/>
                <w:sz w:val="18"/>
                <w:szCs w:val="20"/>
              </w:rPr>
              <w:t>图</w:t>
            </w:r>
            <w:r w:rsidR="004A065D">
              <w:rPr>
                <w:b/>
                <w:color w:val="005096"/>
                <w:sz w:val="18"/>
                <w:szCs w:val="20"/>
              </w:rPr>
              <w:t>32</w:t>
            </w:r>
            <w:r w:rsidRPr="006A17E0">
              <w:rPr>
                <w:rFonts w:hint="eastAsia"/>
                <w:b/>
                <w:color w:val="005096"/>
                <w:sz w:val="18"/>
                <w:szCs w:val="20"/>
              </w:rPr>
              <w:t>：</w:t>
            </w:r>
            <w:r w:rsidRPr="006A17E0">
              <w:rPr>
                <w:rFonts w:hint="eastAsia"/>
                <w:b/>
                <w:color w:val="005096"/>
                <w:sz w:val="18"/>
                <w:szCs w:val="20"/>
              </w:rPr>
              <w:t>2015</w:t>
            </w:r>
            <w:r w:rsidRPr="006A17E0">
              <w:rPr>
                <w:rFonts w:hint="eastAsia"/>
                <w:b/>
                <w:color w:val="005096"/>
                <w:sz w:val="18"/>
                <w:szCs w:val="20"/>
              </w:rPr>
              <w:t>年水泥行业税前利润率好于煤炭和钢铁行业</w:t>
            </w:r>
            <w:bookmarkEnd w:id="13"/>
          </w:p>
        </w:tc>
      </w:tr>
      <w:tr w:rsidR="006079F2" w:rsidRPr="006A17E0" w:rsidTr="00666BBE">
        <w:trPr>
          <w:trHeight w:hRule="exact" w:val="3672"/>
        </w:trPr>
        <w:tc>
          <w:tcPr>
            <w:tcW w:w="4820" w:type="dxa"/>
            <w:tcBorders>
              <w:top w:val="single" w:sz="8" w:space="0" w:color="005096"/>
              <w:left w:val="nil"/>
              <w:bottom w:val="single" w:sz="8" w:space="0" w:color="005096"/>
              <w:right w:val="nil"/>
            </w:tcBorders>
          </w:tcPr>
          <w:p w:rsidR="006079F2" w:rsidRPr="006A17E0" w:rsidRDefault="006079F2" w:rsidP="00666BBE">
            <w:pPr>
              <w:autoSpaceDE w:val="0"/>
              <w:autoSpaceDN w:val="0"/>
              <w:rPr>
                <w:sz w:val="24"/>
              </w:rPr>
            </w:pPr>
            <w:r w:rsidRPr="006A17E0">
              <w:rPr>
                <w:noProof/>
              </w:rPr>
              <w:drawing>
                <wp:inline distT="0" distB="0" distL="0" distR="0">
                  <wp:extent cx="2975212" cy="2299647"/>
                  <wp:effectExtent l="0" t="0" r="0" b="5715"/>
                  <wp:docPr id="14346" name="图表 14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83" w:type="dxa"/>
            <w:tcBorders>
              <w:top w:val="nil"/>
              <w:left w:val="nil"/>
              <w:bottom w:val="nil"/>
              <w:right w:val="nil"/>
            </w:tcBorders>
          </w:tcPr>
          <w:p w:rsidR="006079F2" w:rsidRPr="006A17E0" w:rsidRDefault="006079F2" w:rsidP="005143F4">
            <w:pPr>
              <w:autoSpaceDE w:val="0"/>
              <w:autoSpaceDN w:val="0"/>
              <w:spacing w:beforeLines="50" w:afterLines="50" w:line="360" w:lineRule="auto"/>
              <w:rPr>
                <w:sz w:val="24"/>
              </w:rPr>
            </w:pPr>
          </w:p>
        </w:tc>
        <w:tc>
          <w:tcPr>
            <w:tcW w:w="4678" w:type="dxa"/>
            <w:gridSpan w:val="2"/>
            <w:tcBorders>
              <w:top w:val="single" w:sz="8" w:space="0" w:color="005096"/>
              <w:left w:val="nil"/>
              <w:bottom w:val="single" w:sz="8" w:space="0" w:color="005096"/>
              <w:right w:val="nil"/>
            </w:tcBorders>
          </w:tcPr>
          <w:p w:rsidR="006079F2" w:rsidRPr="006A17E0" w:rsidRDefault="006079F2" w:rsidP="00666BBE">
            <w:pPr>
              <w:autoSpaceDE w:val="0"/>
              <w:autoSpaceDN w:val="0"/>
              <w:rPr>
                <w:sz w:val="24"/>
              </w:rPr>
            </w:pPr>
            <w:r w:rsidRPr="006A17E0">
              <w:rPr>
                <w:noProof/>
              </w:rPr>
              <w:drawing>
                <wp:inline distT="0" distB="0" distL="0" distR="0">
                  <wp:extent cx="3063923" cy="2286000"/>
                  <wp:effectExtent l="0" t="0" r="3175" b="0"/>
                  <wp:docPr id="14351" name="图表 14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6079F2" w:rsidRPr="006A17E0" w:rsidRDefault="006079F2" w:rsidP="006079F2">
      <w:pPr>
        <w:spacing w:line="360" w:lineRule="exact"/>
        <w:rPr>
          <w:sz w:val="16"/>
          <w:szCs w:val="16"/>
        </w:rPr>
      </w:pPr>
      <w:r w:rsidRPr="006A17E0">
        <w:rPr>
          <w:rFonts w:hint="eastAsia"/>
          <w:sz w:val="16"/>
          <w:szCs w:val="16"/>
        </w:rPr>
        <w:t>资料来源：</w:t>
      </w:r>
      <w:r w:rsidRPr="006A17E0">
        <w:rPr>
          <w:rFonts w:hint="eastAsia"/>
          <w:sz w:val="16"/>
          <w:szCs w:val="16"/>
        </w:rPr>
        <w:t>Wind</w:t>
      </w:r>
      <w:r w:rsidRPr="006A17E0">
        <w:rPr>
          <w:rFonts w:hint="eastAsia"/>
          <w:sz w:val="16"/>
          <w:szCs w:val="16"/>
        </w:rPr>
        <w:t>，民生证券研究院</w:t>
      </w:r>
      <w:r w:rsidRPr="006A17E0">
        <w:rPr>
          <w:rFonts w:hint="eastAsia"/>
          <w:sz w:val="16"/>
          <w:szCs w:val="16"/>
        </w:rPr>
        <w:t xml:space="preserve">                                  </w:t>
      </w:r>
      <w:r w:rsidRPr="006A17E0">
        <w:rPr>
          <w:rFonts w:hint="eastAsia"/>
          <w:sz w:val="16"/>
          <w:szCs w:val="16"/>
        </w:rPr>
        <w:t>资料来源：</w:t>
      </w:r>
      <w:r w:rsidRPr="006A17E0">
        <w:rPr>
          <w:rFonts w:hint="eastAsia"/>
          <w:sz w:val="16"/>
          <w:szCs w:val="16"/>
        </w:rPr>
        <w:t>Wind</w:t>
      </w:r>
      <w:r w:rsidRPr="006A17E0">
        <w:rPr>
          <w:rFonts w:hint="eastAsia"/>
          <w:sz w:val="16"/>
          <w:szCs w:val="16"/>
        </w:rPr>
        <w:t>，民生证券研究院</w:t>
      </w:r>
    </w:p>
    <w:p w:rsidR="006079F2" w:rsidRDefault="006079F2" w:rsidP="006079F2">
      <w:pPr>
        <w:spacing w:line="360" w:lineRule="exact"/>
        <w:rPr>
          <w:b/>
          <w:color w:val="005096"/>
          <w:sz w:val="18"/>
          <w:szCs w:val="20"/>
        </w:rPr>
      </w:pPr>
    </w:p>
    <w:tbl>
      <w:tblPr>
        <w:tblW w:w="5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1"/>
      </w:tblGrid>
      <w:tr w:rsidR="00666BBE" w:rsidRPr="00666BBE" w:rsidTr="00666BBE">
        <w:trPr>
          <w:trHeight w:hRule="exact" w:val="426"/>
        </w:trPr>
        <w:tc>
          <w:tcPr>
            <w:tcW w:w="5351" w:type="dxa"/>
            <w:tcBorders>
              <w:top w:val="nil"/>
              <w:left w:val="nil"/>
              <w:bottom w:val="single" w:sz="8" w:space="0" w:color="1F497D" w:themeColor="text2"/>
              <w:right w:val="nil"/>
            </w:tcBorders>
          </w:tcPr>
          <w:p w:rsidR="00666BBE" w:rsidRPr="00666BBE" w:rsidRDefault="00666BBE" w:rsidP="005324A8">
            <w:pPr>
              <w:spacing w:line="360" w:lineRule="exact"/>
              <w:rPr>
                <w:b/>
                <w:color w:val="005096"/>
                <w:sz w:val="18"/>
                <w:szCs w:val="20"/>
              </w:rPr>
            </w:pPr>
            <w:r>
              <w:rPr>
                <w:b/>
                <w:color w:val="005096"/>
                <w:sz w:val="18"/>
                <w:szCs w:val="20"/>
              </w:rPr>
              <w:lastRenderedPageBreak/>
              <w:t>图</w:t>
            </w:r>
            <w:r>
              <w:rPr>
                <w:rFonts w:hint="eastAsia"/>
                <w:b/>
                <w:color w:val="005096"/>
                <w:sz w:val="18"/>
                <w:szCs w:val="20"/>
              </w:rPr>
              <w:t xml:space="preserve"> </w:t>
            </w:r>
            <w:r>
              <w:rPr>
                <w:b/>
                <w:color w:val="005096"/>
                <w:sz w:val="18"/>
                <w:szCs w:val="20"/>
              </w:rPr>
              <w:t>33</w:t>
            </w:r>
            <w:r w:rsidRPr="006A17E0">
              <w:rPr>
                <w:rFonts w:hint="eastAsia"/>
                <w:b/>
                <w:color w:val="005096"/>
                <w:sz w:val="18"/>
                <w:szCs w:val="20"/>
              </w:rPr>
              <w:t>：</w:t>
            </w:r>
            <w:r w:rsidRPr="006A17E0">
              <w:rPr>
                <w:rFonts w:hint="eastAsia"/>
                <w:b/>
                <w:color w:val="005096"/>
                <w:sz w:val="18"/>
                <w:szCs w:val="20"/>
              </w:rPr>
              <w:t>2015</w:t>
            </w:r>
            <w:r w:rsidRPr="006A17E0">
              <w:rPr>
                <w:rFonts w:hint="eastAsia"/>
                <w:b/>
                <w:color w:val="005096"/>
                <w:sz w:val="18"/>
                <w:szCs w:val="20"/>
              </w:rPr>
              <w:t>年水泥六大区销售利润率差异较大</w:t>
            </w:r>
          </w:p>
        </w:tc>
      </w:tr>
      <w:tr w:rsidR="006079F2" w:rsidRPr="006A17E0" w:rsidTr="00666BBE">
        <w:trPr>
          <w:trHeight w:hRule="exact" w:val="3631"/>
        </w:trPr>
        <w:tc>
          <w:tcPr>
            <w:tcW w:w="5351" w:type="dxa"/>
            <w:tcBorders>
              <w:top w:val="single" w:sz="8" w:space="0" w:color="1F497D" w:themeColor="text2"/>
              <w:left w:val="nil"/>
              <w:bottom w:val="single" w:sz="8" w:space="0" w:color="005096"/>
              <w:right w:val="nil"/>
            </w:tcBorders>
          </w:tcPr>
          <w:p w:rsidR="006079F2" w:rsidRPr="006A17E0" w:rsidRDefault="006079F2" w:rsidP="005143F4">
            <w:pPr>
              <w:autoSpaceDE w:val="0"/>
              <w:autoSpaceDN w:val="0"/>
              <w:spacing w:beforeLines="50" w:afterLines="50" w:line="360" w:lineRule="auto"/>
              <w:rPr>
                <w:sz w:val="24"/>
              </w:rPr>
            </w:pPr>
            <w:r w:rsidRPr="006A17E0">
              <w:rPr>
                <w:noProof/>
              </w:rPr>
              <w:drawing>
                <wp:inline distT="0" distB="0" distL="0" distR="0">
                  <wp:extent cx="3117850" cy="2215312"/>
                  <wp:effectExtent l="0" t="0" r="0" b="0"/>
                  <wp:docPr id="14354" name="图片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24766" cy="2220226"/>
                          </a:xfrm>
                          <a:prstGeom prst="rect">
                            <a:avLst/>
                          </a:prstGeom>
                        </pic:spPr>
                      </pic:pic>
                    </a:graphicData>
                  </a:graphic>
                </wp:inline>
              </w:drawing>
            </w:r>
          </w:p>
        </w:tc>
      </w:tr>
    </w:tbl>
    <w:p w:rsidR="006079F2" w:rsidRPr="006A17E0" w:rsidRDefault="006079F2" w:rsidP="005143F4">
      <w:pPr>
        <w:spacing w:afterLines="50" w:line="260" w:lineRule="exact"/>
        <w:rPr>
          <w:sz w:val="16"/>
          <w:szCs w:val="16"/>
        </w:rPr>
      </w:pPr>
      <w:r w:rsidRPr="006A17E0">
        <w:rPr>
          <w:rFonts w:hint="eastAsia"/>
          <w:sz w:val="16"/>
          <w:szCs w:val="16"/>
        </w:rPr>
        <w:t>资料来源：数字水泥网，民生证券研究院</w:t>
      </w:r>
    </w:p>
    <w:p w:rsidR="006079F2" w:rsidRPr="006A17E0" w:rsidRDefault="006079F2" w:rsidP="006079F2">
      <w:pPr>
        <w:spacing w:line="360" w:lineRule="auto"/>
        <w:ind w:rightChars="1000" w:right="2100"/>
        <w:rPr>
          <w:rFonts w:ascii="楷体" w:eastAsia="楷体" w:hAnsi="楷体"/>
          <w:szCs w:val="21"/>
        </w:rPr>
      </w:pPr>
    </w:p>
    <w:p w:rsidR="006079F2" w:rsidRPr="00A87A45" w:rsidRDefault="006079F2" w:rsidP="006079F2">
      <w:pPr>
        <w:pStyle w:val="aff2"/>
        <w:numPr>
          <w:ilvl w:val="0"/>
          <w:numId w:val="21"/>
        </w:numPr>
        <w:spacing w:line="360" w:lineRule="auto"/>
        <w:ind w:rightChars="1000" w:right="2100" w:firstLineChars="0"/>
        <w:rPr>
          <w:rFonts w:ascii="楷体" w:eastAsia="楷体" w:hAnsi="楷体"/>
          <w:b/>
          <w:szCs w:val="21"/>
        </w:rPr>
      </w:pPr>
      <w:r w:rsidRPr="00311867">
        <w:rPr>
          <w:rFonts w:ascii="楷体" w:eastAsia="楷体" w:hAnsi="楷体" w:hint="eastAsia"/>
          <w:b/>
          <w:szCs w:val="21"/>
        </w:rPr>
        <w:t>“僵尸企业”退出机制不完善</w:t>
      </w:r>
    </w:p>
    <w:p w:rsidR="006079F2" w:rsidRDefault="006079F2" w:rsidP="006079F2">
      <w:pPr>
        <w:spacing w:line="360" w:lineRule="auto"/>
        <w:ind w:rightChars="1000" w:right="2100" w:firstLine="420"/>
        <w:rPr>
          <w:rFonts w:ascii="楷体" w:eastAsia="楷体" w:hAnsi="楷体"/>
          <w:szCs w:val="21"/>
        </w:rPr>
      </w:pPr>
      <w:r w:rsidRPr="00311867">
        <w:rPr>
          <w:rFonts w:ascii="楷体" w:eastAsia="楷体" w:hAnsi="楷体" w:hint="eastAsia"/>
          <w:b/>
          <w:szCs w:val="21"/>
        </w:rPr>
        <w:t>重资产行业退出成本高。</w:t>
      </w:r>
      <w:r w:rsidRPr="00311867">
        <w:rPr>
          <w:rFonts w:ascii="楷体" w:eastAsia="楷体" w:hAnsi="楷体" w:hint="eastAsia"/>
          <w:szCs w:val="21"/>
        </w:rPr>
        <w:t>目前，我</w:t>
      </w:r>
      <w:proofErr w:type="gramStart"/>
      <w:r w:rsidRPr="00311867">
        <w:rPr>
          <w:rFonts w:ascii="楷体" w:eastAsia="楷体" w:hAnsi="楷体" w:hint="eastAsia"/>
          <w:szCs w:val="21"/>
        </w:rPr>
        <w:t>国产能</w:t>
      </w:r>
      <w:proofErr w:type="gramEnd"/>
      <w:r w:rsidRPr="00311867">
        <w:rPr>
          <w:rFonts w:ascii="楷体" w:eastAsia="楷体" w:hAnsi="楷体" w:hint="eastAsia"/>
          <w:szCs w:val="21"/>
        </w:rPr>
        <w:t>过剩行业普遍存在市场退出障碍，可以从企业、银行和地方政府三个方面入手，建立完善的市场退出机制。第一，水泥行业属于重资产行业，退出成本较高，主要面临着专业生产设备收购问题。当前经济低迷，大企业兼并重组策略谨慎，“僵尸”企业退出成本高。可以考虑加快推进退出补贴机制，落实水泥行业失业人员安置。事实上，2016年1月的《关于征收工业企业结构调整专项资金有关问题的通知》已明确专项资金用于安置煤炭、钢铁行业下岗失业人员。第二，产能过剩行业是不良贷款的重地。大批企业的退市将对银行资产是一个巨大冲击。</w:t>
      </w:r>
    </w:p>
    <w:p w:rsidR="006079F2" w:rsidRPr="00311867" w:rsidRDefault="006079F2" w:rsidP="006079F2">
      <w:pPr>
        <w:spacing w:line="360" w:lineRule="auto"/>
        <w:ind w:rightChars="1000" w:right="2100"/>
        <w:rPr>
          <w:rFonts w:ascii="楷体" w:eastAsia="楷体" w:hAnsi="楷体"/>
          <w:szCs w:val="21"/>
        </w:rPr>
      </w:pPr>
    </w:p>
    <w:p w:rsidR="006079F2" w:rsidRPr="00E400E7" w:rsidRDefault="006079F2" w:rsidP="006079F2">
      <w:pPr>
        <w:pStyle w:val="aff2"/>
        <w:numPr>
          <w:ilvl w:val="0"/>
          <w:numId w:val="21"/>
        </w:numPr>
        <w:spacing w:line="360" w:lineRule="auto"/>
        <w:ind w:rightChars="1000" w:right="2100" w:firstLineChars="0"/>
        <w:rPr>
          <w:rFonts w:ascii="楷体" w:eastAsia="楷体" w:hAnsi="楷体"/>
          <w:b/>
          <w:szCs w:val="21"/>
        </w:rPr>
      </w:pPr>
      <w:r w:rsidRPr="00311867">
        <w:rPr>
          <w:rFonts w:ascii="楷体" w:eastAsia="楷体" w:hAnsi="楷体" w:hint="eastAsia"/>
          <w:b/>
          <w:szCs w:val="21"/>
        </w:rPr>
        <w:t>落后产能淘汰空间减小，新型干法水泥产能过剩</w:t>
      </w:r>
    </w:p>
    <w:p w:rsidR="006079F2" w:rsidRDefault="006079F2" w:rsidP="006079F2">
      <w:pPr>
        <w:spacing w:line="360" w:lineRule="auto"/>
        <w:ind w:rightChars="1000" w:right="2100" w:firstLine="420"/>
        <w:rPr>
          <w:rFonts w:ascii="楷体" w:eastAsia="楷体" w:hAnsi="楷体"/>
          <w:szCs w:val="21"/>
        </w:rPr>
      </w:pPr>
      <w:r w:rsidRPr="00C430BD">
        <w:rPr>
          <w:rFonts w:ascii="楷体" w:eastAsia="楷体" w:hAnsi="楷体" w:hint="eastAsia"/>
          <w:b/>
          <w:szCs w:val="21"/>
        </w:rPr>
        <w:t>产能过剩主要是新型干法水泥产能过剩。</w:t>
      </w:r>
      <w:r w:rsidRPr="00311867">
        <w:rPr>
          <w:rFonts w:ascii="楷体" w:eastAsia="楷体" w:hAnsi="楷体" w:hint="eastAsia"/>
          <w:szCs w:val="21"/>
        </w:rPr>
        <w:t>根据国发[2009]38和国发[2010]7号对水泥落后产能的界定，立窑及直径在3米以下磨机属于落后产能的设备。</w:t>
      </w:r>
      <w:proofErr w:type="gramStart"/>
      <w:r w:rsidRPr="00311867">
        <w:rPr>
          <w:rFonts w:ascii="楷体" w:eastAsia="楷体" w:hAnsi="楷体" w:hint="eastAsia"/>
          <w:szCs w:val="21"/>
        </w:rPr>
        <w:t>十二五</w:t>
      </w:r>
      <w:proofErr w:type="gramEnd"/>
      <w:r w:rsidRPr="00311867">
        <w:rPr>
          <w:rFonts w:ascii="楷体" w:eastAsia="楷体" w:hAnsi="楷体" w:hint="eastAsia"/>
          <w:szCs w:val="21"/>
        </w:rPr>
        <w:t>期间国务院制定了淘汰水泥产能4.7亿吨的目标，实际超额完成了该目标。而自2012以来，淘汰落后水泥产能的增速持续下滑，按现有落后产能的标准，进一步淘汰落后产能的空间有限，必须提高落后产能的界定标准。目前我国新型干法产能在存量产能中已达到90%以上，产能过剩主要是新型干法产能过剩，在淘汰落后产能的同时，更要</w:t>
      </w:r>
      <w:proofErr w:type="gramStart"/>
      <w:r w:rsidRPr="00311867">
        <w:rPr>
          <w:rFonts w:ascii="楷体" w:eastAsia="楷体" w:hAnsi="楷体" w:hint="eastAsia"/>
          <w:szCs w:val="21"/>
        </w:rPr>
        <w:t>严控新型</w:t>
      </w:r>
      <w:proofErr w:type="gramEnd"/>
      <w:r w:rsidRPr="00311867">
        <w:rPr>
          <w:rFonts w:ascii="楷体" w:eastAsia="楷体" w:hAnsi="楷体" w:hint="eastAsia"/>
          <w:szCs w:val="21"/>
        </w:rPr>
        <w:t>干法产能的增加。</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0"/>
        <w:gridCol w:w="283"/>
        <w:gridCol w:w="71"/>
        <w:gridCol w:w="4607"/>
      </w:tblGrid>
      <w:tr w:rsidR="006079F2" w:rsidRPr="002D71DB" w:rsidTr="00666BBE">
        <w:trPr>
          <w:trHeight w:hRule="exact" w:val="454"/>
        </w:trPr>
        <w:tc>
          <w:tcPr>
            <w:tcW w:w="4820" w:type="dxa"/>
            <w:tcBorders>
              <w:top w:val="nil"/>
              <w:left w:val="nil"/>
              <w:bottom w:val="single" w:sz="8" w:space="0" w:color="005096"/>
              <w:right w:val="nil"/>
            </w:tcBorders>
            <w:vAlign w:val="bottom"/>
          </w:tcPr>
          <w:p w:rsidR="006079F2" w:rsidRPr="002D71DB" w:rsidRDefault="006079F2" w:rsidP="00666BBE">
            <w:pPr>
              <w:spacing w:line="360" w:lineRule="exact"/>
              <w:rPr>
                <w:b/>
                <w:color w:val="005096"/>
                <w:sz w:val="18"/>
                <w:szCs w:val="20"/>
                <w:highlight w:val="yellow"/>
              </w:rPr>
            </w:pPr>
            <w:bookmarkStart w:id="14" w:name="_Toc442048860"/>
            <w:r w:rsidRPr="002D71DB">
              <w:rPr>
                <w:rFonts w:hint="eastAsia"/>
                <w:b/>
                <w:color w:val="005096"/>
                <w:sz w:val="18"/>
                <w:szCs w:val="20"/>
              </w:rPr>
              <w:t>图</w:t>
            </w:r>
            <w:r w:rsidR="005D7D5C">
              <w:rPr>
                <w:rFonts w:hint="eastAsia"/>
                <w:b/>
                <w:color w:val="005096"/>
                <w:sz w:val="18"/>
                <w:szCs w:val="20"/>
              </w:rPr>
              <w:t>34</w:t>
            </w:r>
            <w:r w:rsidRPr="002D71DB">
              <w:rPr>
                <w:rFonts w:hint="eastAsia"/>
                <w:b/>
                <w:color w:val="005096"/>
                <w:sz w:val="18"/>
                <w:szCs w:val="20"/>
              </w:rPr>
              <w:t>：“十二五”期间淘汰水泥落后产能完成情况（万吨）</w:t>
            </w:r>
            <w:bookmarkEnd w:id="14"/>
          </w:p>
        </w:tc>
        <w:tc>
          <w:tcPr>
            <w:tcW w:w="354" w:type="dxa"/>
            <w:gridSpan w:val="2"/>
            <w:tcBorders>
              <w:top w:val="nil"/>
              <w:left w:val="nil"/>
              <w:bottom w:val="nil"/>
              <w:right w:val="nil"/>
            </w:tcBorders>
            <w:vAlign w:val="bottom"/>
          </w:tcPr>
          <w:p w:rsidR="006079F2" w:rsidRPr="002D71DB" w:rsidRDefault="006079F2" w:rsidP="005143F4">
            <w:pPr>
              <w:autoSpaceDE w:val="0"/>
              <w:autoSpaceDN w:val="0"/>
              <w:spacing w:beforeLines="50" w:afterLines="50" w:line="360" w:lineRule="auto"/>
              <w:rPr>
                <w:sz w:val="24"/>
                <w:highlight w:val="yellow"/>
              </w:rPr>
            </w:pPr>
          </w:p>
        </w:tc>
        <w:tc>
          <w:tcPr>
            <w:tcW w:w="4607" w:type="dxa"/>
            <w:tcBorders>
              <w:top w:val="nil"/>
              <w:left w:val="nil"/>
              <w:bottom w:val="single" w:sz="8" w:space="0" w:color="005096"/>
              <w:right w:val="nil"/>
            </w:tcBorders>
            <w:vAlign w:val="bottom"/>
          </w:tcPr>
          <w:p w:rsidR="006079F2" w:rsidRPr="002D71DB" w:rsidRDefault="006079F2" w:rsidP="005D7D5C">
            <w:pPr>
              <w:spacing w:line="360" w:lineRule="exact"/>
              <w:rPr>
                <w:b/>
                <w:color w:val="005096"/>
                <w:sz w:val="18"/>
                <w:szCs w:val="20"/>
                <w:highlight w:val="yellow"/>
              </w:rPr>
            </w:pPr>
            <w:bookmarkStart w:id="15" w:name="_Toc442048861"/>
            <w:r w:rsidRPr="002D71DB">
              <w:rPr>
                <w:rFonts w:hint="eastAsia"/>
                <w:b/>
                <w:color w:val="005096"/>
                <w:sz w:val="18"/>
                <w:szCs w:val="20"/>
              </w:rPr>
              <w:t>图</w:t>
            </w:r>
            <w:r w:rsidR="004A065D">
              <w:rPr>
                <w:b/>
                <w:color w:val="005096"/>
                <w:sz w:val="18"/>
                <w:szCs w:val="20"/>
              </w:rPr>
              <w:t>3</w:t>
            </w:r>
            <w:r w:rsidR="005D7D5C">
              <w:rPr>
                <w:b/>
                <w:color w:val="005096"/>
                <w:sz w:val="18"/>
                <w:szCs w:val="20"/>
              </w:rPr>
              <w:t>5</w:t>
            </w:r>
            <w:r w:rsidRPr="002D71DB">
              <w:rPr>
                <w:rFonts w:hint="eastAsia"/>
                <w:b/>
                <w:color w:val="005096"/>
                <w:sz w:val="18"/>
                <w:szCs w:val="20"/>
              </w:rPr>
              <w:t>：</w:t>
            </w:r>
            <w:r w:rsidRPr="002D71DB">
              <w:rPr>
                <w:rFonts w:hint="eastAsia"/>
                <w:b/>
                <w:color w:val="005096"/>
                <w:sz w:val="18"/>
                <w:szCs w:val="20"/>
              </w:rPr>
              <w:t>2015</w:t>
            </w:r>
            <w:r w:rsidRPr="002D71DB">
              <w:rPr>
                <w:rFonts w:hint="eastAsia"/>
                <w:b/>
                <w:color w:val="005096"/>
                <w:sz w:val="18"/>
                <w:szCs w:val="20"/>
              </w:rPr>
              <w:t>年新增新型干法水泥熟料产能持续放缓</w:t>
            </w:r>
            <w:bookmarkEnd w:id="15"/>
          </w:p>
        </w:tc>
      </w:tr>
      <w:tr w:rsidR="006079F2" w:rsidRPr="002D71DB" w:rsidTr="00666BBE">
        <w:trPr>
          <w:trHeight w:hRule="exact" w:val="3672"/>
        </w:trPr>
        <w:tc>
          <w:tcPr>
            <w:tcW w:w="4820" w:type="dxa"/>
            <w:tcBorders>
              <w:top w:val="single" w:sz="8" w:space="0" w:color="005096"/>
              <w:left w:val="nil"/>
              <w:bottom w:val="single" w:sz="8" w:space="0" w:color="005096"/>
              <w:right w:val="nil"/>
            </w:tcBorders>
          </w:tcPr>
          <w:p w:rsidR="006079F2" w:rsidRPr="002D71DB" w:rsidRDefault="006079F2" w:rsidP="00666BBE">
            <w:pPr>
              <w:autoSpaceDE w:val="0"/>
              <w:autoSpaceDN w:val="0"/>
              <w:rPr>
                <w:sz w:val="24"/>
              </w:rPr>
            </w:pPr>
            <w:r w:rsidRPr="002D71DB">
              <w:rPr>
                <w:noProof/>
              </w:rPr>
              <w:lastRenderedPageBreak/>
              <w:drawing>
                <wp:inline distT="0" distB="0" distL="0" distR="0">
                  <wp:extent cx="2989691" cy="2282025"/>
                  <wp:effectExtent l="0" t="0" r="1270" b="4445"/>
                  <wp:docPr id="14357" name="图表 14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83" w:type="dxa"/>
            <w:tcBorders>
              <w:top w:val="nil"/>
              <w:left w:val="nil"/>
              <w:bottom w:val="nil"/>
              <w:right w:val="nil"/>
            </w:tcBorders>
          </w:tcPr>
          <w:p w:rsidR="006079F2" w:rsidRPr="002D71DB" w:rsidRDefault="006079F2" w:rsidP="005143F4">
            <w:pPr>
              <w:autoSpaceDE w:val="0"/>
              <w:autoSpaceDN w:val="0"/>
              <w:spacing w:beforeLines="50" w:afterLines="50" w:line="360" w:lineRule="auto"/>
              <w:rPr>
                <w:sz w:val="24"/>
              </w:rPr>
            </w:pPr>
          </w:p>
        </w:tc>
        <w:tc>
          <w:tcPr>
            <w:tcW w:w="4678" w:type="dxa"/>
            <w:gridSpan w:val="2"/>
            <w:tcBorders>
              <w:top w:val="single" w:sz="8" w:space="0" w:color="005096"/>
              <w:left w:val="nil"/>
              <w:bottom w:val="single" w:sz="8" w:space="0" w:color="005096"/>
              <w:right w:val="nil"/>
            </w:tcBorders>
          </w:tcPr>
          <w:p w:rsidR="006079F2" w:rsidRPr="002D71DB" w:rsidRDefault="006079F2" w:rsidP="00666BBE">
            <w:pPr>
              <w:autoSpaceDE w:val="0"/>
              <w:autoSpaceDN w:val="0"/>
              <w:rPr>
                <w:sz w:val="24"/>
              </w:rPr>
            </w:pPr>
            <w:r w:rsidRPr="002D71DB">
              <w:rPr>
                <w:noProof/>
              </w:rPr>
              <w:drawing>
                <wp:inline distT="0" distB="0" distL="0" distR="0">
                  <wp:extent cx="2894275" cy="2313830"/>
                  <wp:effectExtent l="0" t="0" r="1905" b="0"/>
                  <wp:docPr id="14359" name="图表 14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6079F2" w:rsidRPr="002D71DB" w:rsidRDefault="006079F2" w:rsidP="006079F2">
      <w:pPr>
        <w:spacing w:line="360" w:lineRule="exact"/>
        <w:rPr>
          <w:sz w:val="16"/>
          <w:szCs w:val="16"/>
        </w:rPr>
      </w:pPr>
      <w:r w:rsidRPr="002D71DB">
        <w:rPr>
          <w:rFonts w:hint="eastAsia"/>
          <w:sz w:val="16"/>
          <w:szCs w:val="16"/>
        </w:rPr>
        <w:t>资料来源：中国水泥网，民生证券研究院</w:t>
      </w:r>
      <w:r w:rsidRPr="002D71DB">
        <w:rPr>
          <w:rFonts w:hint="eastAsia"/>
          <w:sz w:val="16"/>
          <w:szCs w:val="16"/>
        </w:rPr>
        <w:t xml:space="preserve">                                  </w:t>
      </w:r>
      <w:r w:rsidRPr="002D71DB">
        <w:rPr>
          <w:rFonts w:hint="eastAsia"/>
          <w:sz w:val="16"/>
          <w:szCs w:val="16"/>
        </w:rPr>
        <w:t>资料来源：</w:t>
      </w:r>
      <w:r w:rsidRPr="002D71DB">
        <w:rPr>
          <w:rFonts w:hint="eastAsia"/>
          <w:sz w:val="16"/>
          <w:szCs w:val="16"/>
        </w:rPr>
        <w:t>Wind</w:t>
      </w:r>
      <w:r w:rsidRPr="002D71DB">
        <w:rPr>
          <w:rFonts w:hint="eastAsia"/>
          <w:sz w:val="16"/>
          <w:szCs w:val="16"/>
        </w:rPr>
        <w:t>，民生证券研究院</w:t>
      </w:r>
    </w:p>
    <w:p w:rsidR="006F1505" w:rsidRPr="004C74F5" w:rsidRDefault="006F1505" w:rsidP="004C74F5">
      <w:pPr>
        <w:spacing w:line="360" w:lineRule="auto"/>
        <w:ind w:rightChars="1000" w:right="2100"/>
        <w:rPr>
          <w:rFonts w:ascii="楷体" w:eastAsia="楷体" w:hAnsi="楷体"/>
          <w:szCs w:val="21"/>
        </w:rPr>
      </w:pPr>
    </w:p>
    <w:p w:rsidR="00630900" w:rsidRDefault="006F1505" w:rsidP="00630900">
      <w:pPr>
        <w:pStyle w:val="aff2"/>
        <w:numPr>
          <w:ilvl w:val="0"/>
          <w:numId w:val="14"/>
        </w:numPr>
        <w:spacing w:line="360" w:lineRule="auto"/>
        <w:ind w:rightChars="1000" w:right="2100" w:firstLineChars="0"/>
        <w:rPr>
          <w:rFonts w:ascii="楷体" w:eastAsia="楷体" w:hAnsi="楷体"/>
          <w:b/>
          <w:color w:val="0070C0"/>
          <w:sz w:val="22"/>
          <w:szCs w:val="21"/>
        </w:rPr>
      </w:pPr>
      <w:r w:rsidRPr="002E7483">
        <w:rPr>
          <w:rFonts w:ascii="楷体" w:eastAsia="楷体" w:hAnsi="楷体" w:hint="eastAsia"/>
          <w:b/>
          <w:color w:val="0070C0"/>
          <w:sz w:val="22"/>
          <w:szCs w:val="21"/>
        </w:rPr>
        <w:t>化工行业</w:t>
      </w:r>
    </w:p>
    <w:p w:rsidR="007565FC" w:rsidRPr="007565FC" w:rsidRDefault="007565FC" w:rsidP="007565FC">
      <w:pPr>
        <w:spacing w:line="360" w:lineRule="auto"/>
        <w:ind w:rightChars="1000" w:right="2100"/>
        <w:rPr>
          <w:rFonts w:ascii="楷体" w:eastAsia="楷体" w:hAnsi="楷体"/>
          <w:b/>
          <w:color w:val="0070C0"/>
          <w:sz w:val="22"/>
          <w:szCs w:val="21"/>
        </w:rPr>
      </w:pPr>
    </w:p>
    <w:p w:rsidR="0015501D" w:rsidRPr="0015501D" w:rsidRDefault="0015501D" w:rsidP="0015501D">
      <w:pPr>
        <w:numPr>
          <w:ilvl w:val="0"/>
          <w:numId w:val="11"/>
        </w:numPr>
        <w:spacing w:line="360" w:lineRule="auto"/>
        <w:ind w:rightChars="1000" w:right="2100"/>
        <w:rPr>
          <w:rFonts w:ascii="楷体" w:eastAsia="楷体" w:hAnsi="楷体"/>
          <w:b/>
          <w:szCs w:val="21"/>
        </w:rPr>
      </w:pPr>
      <w:r w:rsidRPr="0015501D">
        <w:rPr>
          <w:rFonts w:ascii="楷体" w:eastAsia="楷体" w:hAnsi="楷体" w:hint="eastAsia"/>
          <w:b/>
          <w:szCs w:val="21"/>
        </w:rPr>
        <w:t>钛白粉价格反弹有较强的持续性</w:t>
      </w:r>
    </w:p>
    <w:p w:rsidR="0015501D" w:rsidRPr="00630900" w:rsidRDefault="0015501D" w:rsidP="0015501D">
      <w:pPr>
        <w:spacing w:line="360" w:lineRule="auto"/>
        <w:ind w:rightChars="1000" w:right="2100"/>
        <w:rPr>
          <w:rFonts w:ascii="楷体" w:eastAsia="楷体" w:hAnsi="楷体"/>
          <w:b/>
          <w:szCs w:val="21"/>
        </w:rPr>
      </w:pPr>
    </w:p>
    <w:p w:rsidR="0015501D" w:rsidRPr="0015501D" w:rsidRDefault="0015501D" w:rsidP="0015501D">
      <w:pPr>
        <w:numPr>
          <w:ilvl w:val="0"/>
          <w:numId w:val="29"/>
        </w:numPr>
        <w:spacing w:line="360" w:lineRule="auto"/>
        <w:ind w:rightChars="1000" w:right="2100"/>
        <w:rPr>
          <w:rFonts w:ascii="楷体" w:eastAsia="楷体" w:hAnsi="楷体"/>
          <w:b/>
          <w:szCs w:val="21"/>
        </w:rPr>
      </w:pPr>
      <w:r w:rsidRPr="0015501D">
        <w:rPr>
          <w:rFonts w:ascii="楷体" w:eastAsia="楷体" w:hAnsi="楷体" w:hint="eastAsia"/>
          <w:b/>
          <w:szCs w:val="21"/>
        </w:rPr>
        <w:t>钛白粉产能高速增长</w:t>
      </w:r>
    </w:p>
    <w:p w:rsidR="003A3DAA" w:rsidRPr="0015501D" w:rsidRDefault="0015501D" w:rsidP="003A3DAA">
      <w:pPr>
        <w:spacing w:line="360" w:lineRule="auto"/>
        <w:ind w:rightChars="1000" w:right="2100" w:firstLine="420"/>
        <w:rPr>
          <w:rFonts w:ascii="楷体" w:eastAsia="楷体" w:hAnsi="楷体"/>
          <w:szCs w:val="21"/>
        </w:rPr>
      </w:pPr>
      <w:r w:rsidRPr="0015501D">
        <w:rPr>
          <w:rFonts w:ascii="楷体" w:eastAsia="楷体" w:hAnsi="楷体" w:hint="eastAsia"/>
          <w:szCs w:val="21"/>
        </w:rPr>
        <w:t>国内钛白粉行业近十年以来，以硫酸法为主的工艺和技术日臻完善，单线产能大幅提高，产能/产量高速增长，近8年产能年复合增长率14.8%，产量年复合增长率14.5%。2015年我国总产能357万吨，占世界总产能已超过40%，是全球最大的钛白粉生产消费地区。</w:t>
      </w:r>
    </w:p>
    <w:tbl>
      <w:tblPr>
        <w:tblW w:w="10206" w:type="dxa"/>
        <w:tblInd w:w="108" w:type="dxa"/>
        <w:tblBorders>
          <w:bottom w:val="single" w:sz="8" w:space="0" w:color="005096"/>
        </w:tblBorders>
        <w:tblLayout w:type="fixed"/>
        <w:tblLook w:val="00A0"/>
      </w:tblPr>
      <w:tblGrid>
        <w:gridCol w:w="4962"/>
        <w:gridCol w:w="283"/>
        <w:gridCol w:w="4961"/>
      </w:tblGrid>
      <w:tr w:rsidR="0015501D" w:rsidRPr="0015501D" w:rsidTr="003A3DAA">
        <w:trPr>
          <w:trHeight w:hRule="exact" w:val="454"/>
        </w:trPr>
        <w:tc>
          <w:tcPr>
            <w:tcW w:w="4962" w:type="dxa"/>
            <w:tcBorders>
              <w:bottom w:val="single" w:sz="8" w:space="0" w:color="005096"/>
            </w:tcBorders>
            <w:vAlign w:val="bottom"/>
          </w:tcPr>
          <w:p w:rsidR="0015501D" w:rsidRPr="0015501D" w:rsidRDefault="0015501D" w:rsidP="005D7D5C">
            <w:pPr>
              <w:spacing w:line="360" w:lineRule="exact"/>
              <w:rPr>
                <w:b/>
                <w:color w:val="005096"/>
                <w:sz w:val="18"/>
                <w:szCs w:val="20"/>
              </w:rPr>
            </w:pPr>
            <w:bookmarkStart w:id="16" w:name="_Toc427735632"/>
            <w:bookmarkStart w:id="17" w:name="_Toc440897081"/>
            <w:r w:rsidRPr="0015501D">
              <w:rPr>
                <w:rFonts w:hint="eastAsia"/>
                <w:b/>
                <w:color w:val="005096"/>
                <w:sz w:val="18"/>
                <w:szCs w:val="20"/>
              </w:rPr>
              <w:t>图</w:t>
            </w:r>
            <w:r w:rsidR="004A065D">
              <w:rPr>
                <w:b/>
                <w:color w:val="005096"/>
                <w:sz w:val="18"/>
                <w:szCs w:val="20"/>
              </w:rPr>
              <w:t>3</w:t>
            </w:r>
            <w:r w:rsidR="005D7D5C">
              <w:rPr>
                <w:b/>
                <w:color w:val="005096"/>
                <w:sz w:val="18"/>
                <w:szCs w:val="20"/>
              </w:rPr>
              <w:t>6</w:t>
            </w:r>
            <w:r w:rsidRPr="0015501D">
              <w:rPr>
                <w:rFonts w:hint="eastAsia"/>
                <w:b/>
                <w:color w:val="005096"/>
                <w:sz w:val="18"/>
                <w:szCs w:val="20"/>
              </w:rPr>
              <w:t>：国内</w:t>
            </w:r>
            <w:r w:rsidRPr="0015501D">
              <w:rPr>
                <w:b/>
                <w:color w:val="005096"/>
                <w:sz w:val="18"/>
                <w:szCs w:val="20"/>
              </w:rPr>
              <w:t>钛白</w:t>
            </w:r>
            <w:proofErr w:type="gramStart"/>
            <w:r w:rsidRPr="0015501D">
              <w:rPr>
                <w:b/>
                <w:color w:val="005096"/>
                <w:sz w:val="18"/>
                <w:szCs w:val="20"/>
              </w:rPr>
              <w:t>粉</w:t>
            </w:r>
            <w:r w:rsidRPr="0015501D">
              <w:rPr>
                <w:rFonts w:hint="eastAsia"/>
                <w:b/>
                <w:color w:val="005096"/>
                <w:sz w:val="18"/>
                <w:szCs w:val="20"/>
              </w:rPr>
              <w:t>需求</w:t>
            </w:r>
            <w:proofErr w:type="gramEnd"/>
            <w:r w:rsidRPr="0015501D">
              <w:rPr>
                <w:rFonts w:hint="eastAsia"/>
                <w:b/>
                <w:color w:val="005096"/>
                <w:sz w:val="18"/>
                <w:szCs w:val="20"/>
              </w:rPr>
              <w:t>主要</w:t>
            </w:r>
            <w:r w:rsidRPr="0015501D">
              <w:rPr>
                <w:b/>
                <w:color w:val="005096"/>
                <w:sz w:val="18"/>
                <w:szCs w:val="20"/>
              </w:rPr>
              <w:t>来自涂料</w:t>
            </w:r>
            <w:bookmarkEnd w:id="16"/>
            <w:bookmarkEnd w:id="17"/>
          </w:p>
        </w:tc>
        <w:tc>
          <w:tcPr>
            <w:tcW w:w="283" w:type="dxa"/>
            <w:tcBorders>
              <w:bottom w:val="nil"/>
            </w:tcBorders>
            <w:vAlign w:val="bottom"/>
          </w:tcPr>
          <w:p w:rsidR="0015501D" w:rsidRPr="0015501D" w:rsidRDefault="0015501D" w:rsidP="005143F4">
            <w:pPr>
              <w:autoSpaceDE w:val="0"/>
              <w:autoSpaceDN w:val="0"/>
              <w:spacing w:beforeLines="50" w:afterLines="50" w:line="360" w:lineRule="auto"/>
              <w:rPr>
                <w:sz w:val="24"/>
              </w:rPr>
            </w:pPr>
          </w:p>
        </w:tc>
        <w:tc>
          <w:tcPr>
            <w:tcW w:w="4961" w:type="dxa"/>
            <w:tcBorders>
              <w:bottom w:val="single" w:sz="8" w:space="0" w:color="005096"/>
            </w:tcBorders>
            <w:vAlign w:val="bottom"/>
          </w:tcPr>
          <w:p w:rsidR="0015501D" w:rsidRPr="0015501D" w:rsidRDefault="0015501D" w:rsidP="005D7D5C">
            <w:pPr>
              <w:spacing w:line="360" w:lineRule="exact"/>
              <w:rPr>
                <w:b/>
                <w:color w:val="005096"/>
                <w:sz w:val="18"/>
                <w:szCs w:val="20"/>
              </w:rPr>
            </w:pPr>
            <w:bookmarkStart w:id="18" w:name="_Toc427735633"/>
            <w:bookmarkStart w:id="19" w:name="_Toc440897082"/>
            <w:r w:rsidRPr="0015501D">
              <w:rPr>
                <w:rFonts w:hint="eastAsia"/>
                <w:b/>
                <w:color w:val="005096"/>
                <w:sz w:val="18"/>
                <w:szCs w:val="20"/>
              </w:rPr>
              <w:t>图</w:t>
            </w:r>
            <w:r w:rsidR="004A065D">
              <w:rPr>
                <w:b/>
                <w:color w:val="005096"/>
                <w:sz w:val="18"/>
                <w:szCs w:val="20"/>
              </w:rPr>
              <w:t>3</w:t>
            </w:r>
            <w:r w:rsidR="005D7D5C">
              <w:rPr>
                <w:b/>
                <w:color w:val="005096"/>
                <w:sz w:val="18"/>
                <w:szCs w:val="20"/>
              </w:rPr>
              <w:t>7</w:t>
            </w:r>
            <w:r w:rsidRPr="0015501D">
              <w:rPr>
                <w:rFonts w:hint="eastAsia"/>
                <w:b/>
                <w:color w:val="005096"/>
                <w:sz w:val="18"/>
                <w:szCs w:val="20"/>
              </w:rPr>
              <w:t>：</w:t>
            </w:r>
            <w:bookmarkEnd w:id="18"/>
            <w:r w:rsidRPr="0015501D">
              <w:rPr>
                <w:rFonts w:hint="eastAsia"/>
                <w:b/>
                <w:color w:val="005096"/>
                <w:sz w:val="18"/>
                <w:szCs w:val="20"/>
              </w:rPr>
              <w:t>国内钛白粉</w:t>
            </w:r>
            <w:r w:rsidRPr="0015501D">
              <w:rPr>
                <w:b/>
                <w:color w:val="005096"/>
                <w:sz w:val="18"/>
                <w:szCs w:val="20"/>
              </w:rPr>
              <w:t>产</w:t>
            </w:r>
            <w:r w:rsidRPr="0015501D">
              <w:rPr>
                <w:rFonts w:hint="eastAsia"/>
                <w:b/>
                <w:color w:val="005096"/>
                <w:sz w:val="18"/>
                <w:szCs w:val="20"/>
              </w:rPr>
              <w:t>能、产量高速</w:t>
            </w:r>
            <w:r w:rsidRPr="0015501D">
              <w:rPr>
                <w:b/>
                <w:color w:val="005096"/>
                <w:sz w:val="18"/>
                <w:szCs w:val="20"/>
              </w:rPr>
              <w:t>增长</w:t>
            </w:r>
            <w:r w:rsidRPr="0015501D">
              <w:rPr>
                <w:rFonts w:hint="eastAsia"/>
                <w:b/>
                <w:color w:val="005096"/>
                <w:sz w:val="18"/>
                <w:szCs w:val="20"/>
              </w:rPr>
              <w:t>(</w:t>
            </w:r>
            <w:r w:rsidRPr="0015501D">
              <w:rPr>
                <w:rFonts w:hint="eastAsia"/>
                <w:b/>
                <w:color w:val="005096"/>
                <w:sz w:val="18"/>
                <w:szCs w:val="20"/>
              </w:rPr>
              <w:t>万吨</w:t>
            </w:r>
            <w:r w:rsidRPr="0015501D">
              <w:rPr>
                <w:rFonts w:hint="eastAsia"/>
                <w:b/>
                <w:color w:val="005096"/>
                <w:sz w:val="18"/>
                <w:szCs w:val="20"/>
              </w:rPr>
              <w:t>)</w:t>
            </w:r>
            <w:bookmarkEnd w:id="19"/>
            <w:r w:rsidRPr="0015501D">
              <w:rPr>
                <w:b/>
                <w:color w:val="005096"/>
                <w:sz w:val="18"/>
                <w:szCs w:val="20"/>
              </w:rPr>
              <w:t xml:space="preserve"> </w:t>
            </w:r>
          </w:p>
        </w:tc>
      </w:tr>
      <w:tr w:rsidR="0015501D" w:rsidRPr="0015501D" w:rsidTr="003A3DAA">
        <w:trPr>
          <w:trHeight w:hRule="exact" w:val="3449"/>
        </w:trPr>
        <w:tc>
          <w:tcPr>
            <w:tcW w:w="4962" w:type="dxa"/>
            <w:tcBorders>
              <w:top w:val="single" w:sz="8" w:space="0" w:color="005096"/>
              <w:bottom w:val="single" w:sz="8" w:space="0" w:color="005096"/>
            </w:tcBorders>
            <w:vAlign w:val="center"/>
          </w:tcPr>
          <w:p w:rsidR="0015501D" w:rsidRPr="0015501D" w:rsidRDefault="0015501D" w:rsidP="0015501D">
            <w:r w:rsidRPr="0015501D">
              <w:rPr>
                <w:noProof/>
              </w:rPr>
              <w:drawing>
                <wp:inline distT="0" distB="0" distL="0" distR="0">
                  <wp:extent cx="3013710" cy="2033905"/>
                  <wp:effectExtent l="0" t="0" r="0" b="44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283" w:type="dxa"/>
            <w:tcBorders>
              <w:top w:val="nil"/>
              <w:bottom w:val="nil"/>
            </w:tcBorders>
          </w:tcPr>
          <w:p w:rsidR="0015501D" w:rsidRPr="0015501D" w:rsidRDefault="0015501D" w:rsidP="005143F4">
            <w:pPr>
              <w:autoSpaceDE w:val="0"/>
              <w:autoSpaceDN w:val="0"/>
              <w:spacing w:beforeLines="50" w:afterLines="50" w:line="360" w:lineRule="auto"/>
              <w:rPr>
                <w:sz w:val="24"/>
              </w:rPr>
            </w:pPr>
          </w:p>
        </w:tc>
        <w:tc>
          <w:tcPr>
            <w:tcW w:w="4961" w:type="dxa"/>
            <w:tcBorders>
              <w:top w:val="single" w:sz="8" w:space="0" w:color="005096"/>
              <w:bottom w:val="single" w:sz="8" w:space="0" w:color="005096"/>
            </w:tcBorders>
            <w:vAlign w:val="center"/>
          </w:tcPr>
          <w:p w:rsidR="0015501D" w:rsidRPr="0015501D" w:rsidRDefault="0015501D" w:rsidP="0015501D">
            <w:r w:rsidRPr="0015501D">
              <w:rPr>
                <w:noProof/>
              </w:rPr>
              <w:drawing>
                <wp:inline distT="0" distB="0" distL="0" distR="0">
                  <wp:extent cx="3008125" cy="2057075"/>
                  <wp:effectExtent l="0" t="0" r="1905" b="63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15501D" w:rsidRPr="0015501D" w:rsidTr="003A3DAA">
        <w:trPr>
          <w:trHeight w:hRule="exact" w:val="536"/>
        </w:trPr>
        <w:tc>
          <w:tcPr>
            <w:tcW w:w="4962" w:type="dxa"/>
            <w:tcBorders>
              <w:top w:val="single" w:sz="8" w:space="0" w:color="005096"/>
              <w:bottom w:val="nil"/>
            </w:tcBorders>
            <w:vAlign w:val="center"/>
          </w:tcPr>
          <w:p w:rsidR="0015501D" w:rsidRPr="0015501D" w:rsidRDefault="0015501D" w:rsidP="005143F4">
            <w:pPr>
              <w:spacing w:afterLines="50" w:line="360" w:lineRule="exact"/>
              <w:rPr>
                <w:sz w:val="16"/>
                <w:szCs w:val="16"/>
              </w:rPr>
            </w:pPr>
            <w:r w:rsidRPr="0015501D">
              <w:rPr>
                <w:rFonts w:hint="eastAsia"/>
                <w:sz w:val="16"/>
                <w:szCs w:val="16"/>
              </w:rPr>
              <w:t>资料</w:t>
            </w:r>
            <w:r w:rsidRPr="0015501D">
              <w:rPr>
                <w:sz w:val="16"/>
                <w:szCs w:val="16"/>
              </w:rPr>
              <w:t>来源</w:t>
            </w:r>
            <w:r w:rsidRPr="0015501D">
              <w:rPr>
                <w:rFonts w:hint="eastAsia"/>
                <w:sz w:val="16"/>
                <w:szCs w:val="16"/>
              </w:rPr>
              <w:t>：民生证券研究院整理</w:t>
            </w:r>
          </w:p>
          <w:p w:rsidR="0015501D" w:rsidRPr="0015501D" w:rsidRDefault="0015501D" w:rsidP="0015501D">
            <w:pPr>
              <w:rPr>
                <w:noProof/>
              </w:rPr>
            </w:pPr>
          </w:p>
        </w:tc>
        <w:tc>
          <w:tcPr>
            <w:tcW w:w="283" w:type="dxa"/>
            <w:tcBorders>
              <w:top w:val="nil"/>
              <w:bottom w:val="nil"/>
            </w:tcBorders>
          </w:tcPr>
          <w:p w:rsidR="0015501D" w:rsidRPr="0015501D" w:rsidRDefault="0015501D" w:rsidP="005143F4">
            <w:pPr>
              <w:autoSpaceDE w:val="0"/>
              <w:autoSpaceDN w:val="0"/>
              <w:spacing w:beforeLines="50" w:afterLines="50" w:line="360" w:lineRule="auto"/>
              <w:rPr>
                <w:sz w:val="24"/>
              </w:rPr>
            </w:pPr>
          </w:p>
        </w:tc>
        <w:tc>
          <w:tcPr>
            <w:tcW w:w="4961" w:type="dxa"/>
            <w:tcBorders>
              <w:top w:val="single" w:sz="8" w:space="0" w:color="005096"/>
              <w:bottom w:val="nil"/>
            </w:tcBorders>
            <w:vAlign w:val="center"/>
          </w:tcPr>
          <w:p w:rsidR="0015501D" w:rsidRPr="0015501D" w:rsidRDefault="0015501D" w:rsidP="005143F4">
            <w:pPr>
              <w:spacing w:afterLines="50" w:line="360" w:lineRule="exact"/>
              <w:rPr>
                <w:sz w:val="16"/>
                <w:szCs w:val="16"/>
              </w:rPr>
            </w:pPr>
            <w:r w:rsidRPr="0015501D">
              <w:rPr>
                <w:rFonts w:hint="eastAsia"/>
                <w:sz w:val="16"/>
                <w:szCs w:val="16"/>
              </w:rPr>
              <w:t>资料</w:t>
            </w:r>
            <w:r w:rsidRPr="0015501D">
              <w:rPr>
                <w:sz w:val="16"/>
                <w:szCs w:val="16"/>
              </w:rPr>
              <w:t>来源</w:t>
            </w:r>
            <w:r w:rsidRPr="0015501D">
              <w:rPr>
                <w:rFonts w:hint="eastAsia"/>
                <w:sz w:val="16"/>
                <w:szCs w:val="16"/>
              </w:rPr>
              <w:t>：</w:t>
            </w:r>
            <w:r w:rsidRPr="0015501D">
              <w:rPr>
                <w:rFonts w:hint="eastAsia"/>
                <w:sz w:val="16"/>
                <w:szCs w:val="16"/>
              </w:rPr>
              <w:t>Wi</w:t>
            </w:r>
            <w:r w:rsidRPr="0015501D">
              <w:rPr>
                <w:sz w:val="16"/>
                <w:szCs w:val="16"/>
              </w:rPr>
              <w:t>nd</w:t>
            </w:r>
            <w:r w:rsidRPr="0015501D">
              <w:rPr>
                <w:rFonts w:hint="eastAsia"/>
                <w:sz w:val="16"/>
                <w:szCs w:val="16"/>
              </w:rPr>
              <w:t>资讯</w:t>
            </w:r>
            <w:r w:rsidRPr="0015501D">
              <w:rPr>
                <w:sz w:val="16"/>
                <w:szCs w:val="16"/>
              </w:rPr>
              <w:t>、</w:t>
            </w:r>
            <w:r w:rsidRPr="0015501D">
              <w:rPr>
                <w:rFonts w:hint="eastAsia"/>
                <w:sz w:val="16"/>
                <w:szCs w:val="16"/>
              </w:rPr>
              <w:t>民生证券研究院整理</w:t>
            </w:r>
          </w:p>
          <w:p w:rsidR="0015501D" w:rsidRPr="0015501D" w:rsidRDefault="0015501D" w:rsidP="0015501D">
            <w:pPr>
              <w:rPr>
                <w:noProof/>
              </w:rPr>
            </w:pPr>
          </w:p>
        </w:tc>
      </w:tr>
    </w:tbl>
    <w:p w:rsidR="0015501D" w:rsidRPr="0015501D" w:rsidRDefault="0015501D" w:rsidP="0015501D">
      <w:pPr>
        <w:spacing w:line="360" w:lineRule="exact"/>
        <w:rPr>
          <w:b/>
          <w:color w:val="005096"/>
          <w:sz w:val="18"/>
          <w:szCs w:val="20"/>
        </w:rPr>
      </w:pPr>
      <w:r w:rsidRPr="0015501D">
        <w:rPr>
          <w:rFonts w:hint="eastAsia"/>
          <w:b/>
          <w:color w:val="005096"/>
          <w:sz w:val="18"/>
          <w:szCs w:val="20"/>
        </w:rPr>
        <w:t>表</w:t>
      </w:r>
      <w:r w:rsidR="007A307A">
        <w:rPr>
          <w:b/>
          <w:color w:val="005096"/>
          <w:sz w:val="18"/>
          <w:szCs w:val="20"/>
        </w:rPr>
        <w:t>8</w:t>
      </w:r>
      <w:r w:rsidRPr="0015501D">
        <w:rPr>
          <w:rFonts w:hint="eastAsia"/>
          <w:b/>
          <w:color w:val="005096"/>
          <w:sz w:val="18"/>
          <w:szCs w:val="20"/>
        </w:rPr>
        <w:t>：国内钛白粉产销平衡表</w:t>
      </w:r>
    </w:p>
    <w:tbl>
      <w:tblPr>
        <w:tblW w:w="7932" w:type="dxa"/>
        <w:tblInd w:w="108" w:type="dxa"/>
        <w:tblLayout w:type="fixed"/>
        <w:tblLook w:val="00A0"/>
      </w:tblPr>
      <w:tblGrid>
        <w:gridCol w:w="1692"/>
        <w:gridCol w:w="780"/>
        <w:gridCol w:w="780"/>
        <w:gridCol w:w="780"/>
        <w:gridCol w:w="780"/>
        <w:gridCol w:w="780"/>
        <w:gridCol w:w="780"/>
        <w:gridCol w:w="780"/>
        <w:gridCol w:w="780"/>
      </w:tblGrid>
      <w:tr w:rsidR="0015501D" w:rsidRPr="0015501D" w:rsidTr="003A3DAA">
        <w:trPr>
          <w:trHeight w:val="273"/>
        </w:trPr>
        <w:tc>
          <w:tcPr>
            <w:tcW w:w="1692" w:type="dxa"/>
            <w:tcBorders>
              <w:top w:val="single" w:sz="8" w:space="0" w:color="005096"/>
              <w:left w:val="nil"/>
              <w:bottom w:val="single" w:sz="8" w:space="0" w:color="005096"/>
              <w:right w:val="nil"/>
            </w:tcBorders>
            <w:shd w:val="clear" w:color="auto" w:fill="auto"/>
            <w:noWrap/>
            <w:vAlign w:val="center"/>
          </w:tcPr>
          <w:p w:rsidR="0015501D" w:rsidRPr="0015501D" w:rsidRDefault="0015501D" w:rsidP="0015501D">
            <w:pPr>
              <w:jc w:val="center"/>
              <w:rPr>
                <w:rFonts w:ascii="Arial" w:hAnsi="Arial"/>
                <w:b/>
                <w:sz w:val="16"/>
                <w:szCs w:val="16"/>
              </w:rPr>
            </w:pPr>
          </w:p>
        </w:tc>
        <w:tc>
          <w:tcPr>
            <w:tcW w:w="780"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宋体"/>
                <w:b/>
                <w:kern w:val="0"/>
                <w:sz w:val="16"/>
                <w:szCs w:val="18"/>
              </w:rPr>
            </w:pPr>
            <w:r w:rsidRPr="0015501D">
              <w:rPr>
                <w:rFonts w:ascii="Arial" w:hAnsi="宋体" w:hint="eastAsia"/>
                <w:b/>
                <w:kern w:val="0"/>
                <w:sz w:val="16"/>
                <w:szCs w:val="18"/>
              </w:rPr>
              <w:t>2008</w:t>
            </w:r>
          </w:p>
        </w:tc>
        <w:tc>
          <w:tcPr>
            <w:tcW w:w="780"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Arial"/>
                <w:b/>
                <w:kern w:val="0"/>
                <w:sz w:val="16"/>
                <w:szCs w:val="18"/>
              </w:rPr>
            </w:pPr>
            <w:r w:rsidRPr="0015501D">
              <w:rPr>
                <w:rFonts w:ascii="Arial" w:hAnsi="Arial" w:hint="eastAsia"/>
                <w:b/>
                <w:kern w:val="0"/>
                <w:sz w:val="16"/>
                <w:szCs w:val="18"/>
              </w:rPr>
              <w:t>2009</w:t>
            </w:r>
          </w:p>
        </w:tc>
        <w:tc>
          <w:tcPr>
            <w:tcW w:w="780"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Arial"/>
                <w:b/>
                <w:kern w:val="0"/>
                <w:sz w:val="16"/>
                <w:szCs w:val="18"/>
              </w:rPr>
            </w:pPr>
            <w:r w:rsidRPr="0015501D">
              <w:rPr>
                <w:rFonts w:ascii="Arial" w:hAnsi="Arial" w:hint="eastAsia"/>
                <w:b/>
                <w:kern w:val="0"/>
                <w:sz w:val="16"/>
                <w:szCs w:val="18"/>
              </w:rPr>
              <w:t>2010</w:t>
            </w:r>
          </w:p>
        </w:tc>
        <w:tc>
          <w:tcPr>
            <w:tcW w:w="780"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宋体"/>
                <w:b/>
                <w:kern w:val="0"/>
                <w:sz w:val="16"/>
                <w:szCs w:val="18"/>
              </w:rPr>
            </w:pPr>
            <w:r w:rsidRPr="0015501D">
              <w:rPr>
                <w:rFonts w:ascii="Arial" w:hAnsi="宋体" w:hint="eastAsia"/>
                <w:b/>
                <w:kern w:val="0"/>
                <w:sz w:val="16"/>
                <w:szCs w:val="18"/>
              </w:rPr>
              <w:t>2011</w:t>
            </w:r>
          </w:p>
        </w:tc>
        <w:tc>
          <w:tcPr>
            <w:tcW w:w="780"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宋体"/>
                <w:b/>
                <w:kern w:val="0"/>
                <w:sz w:val="16"/>
                <w:szCs w:val="18"/>
              </w:rPr>
            </w:pPr>
            <w:r w:rsidRPr="0015501D">
              <w:rPr>
                <w:rFonts w:ascii="Arial" w:hAnsi="宋体" w:hint="eastAsia"/>
                <w:b/>
                <w:kern w:val="0"/>
                <w:sz w:val="16"/>
                <w:szCs w:val="18"/>
              </w:rPr>
              <w:t>2012</w:t>
            </w:r>
          </w:p>
        </w:tc>
        <w:tc>
          <w:tcPr>
            <w:tcW w:w="780"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宋体"/>
                <w:b/>
                <w:kern w:val="0"/>
                <w:sz w:val="16"/>
                <w:szCs w:val="18"/>
              </w:rPr>
            </w:pPr>
            <w:r w:rsidRPr="0015501D">
              <w:rPr>
                <w:rFonts w:ascii="Arial" w:hAnsi="宋体" w:hint="eastAsia"/>
                <w:b/>
                <w:kern w:val="0"/>
                <w:sz w:val="16"/>
                <w:szCs w:val="18"/>
              </w:rPr>
              <w:t>2013</w:t>
            </w:r>
          </w:p>
        </w:tc>
        <w:tc>
          <w:tcPr>
            <w:tcW w:w="780"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宋体"/>
                <w:b/>
                <w:kern w:val="0"/>
                <w:sz w:val="16"/>
                <w:szCs w:val="18"/>
              </w:rPr>
            </w:pPr>
            <w:r w:rsidRPr="0015501D">
              <w:rPr>
                <w:rFonts w:ascii="Arial" w:hAnsi="宋体" w:hint="eastAsia"/>
                <w:b/>
                <w:kern w:val="0"/>
                <w:sz w:val="16"/>
                <w:szCs w:val="18"/>
              </w:rPr>
              <w:t>2014</w:t>
            </w:r>
          </w:p>
        </w:tc>
        <w:tc>
          <w:tcPr>
            <w:tcW w:w="780"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宋体"/>
                <w:b/>
                <w:kern w:val="0"/>
                <w:sz w:val="16"/>
                <w:szCs w:val="18"/>
              </w:rPr>
            </w:pPr>
            <w:r w:rsidRPr="0015501D">
              <w:rPr>
                <w:rFonts w:ascii="Arial" w:hAnsi="宋体" w:hint="eastAsia"/>
                <w:b/>
                <w:kern w:val="0"/>
                <w:sz w:val="16"/>
                <w:szCs w:val="18"/>
              </w:rPr>
              <w:t>2015</w:t>
            </w:r>
            <w:r w:rsidRPr="0015501D">
              <w:rPr>
                <w:rFonts w:ascii="Arial" w:hAnsi="宋体"/>
                <w:b/>
                <w:kern w:val="0"/>
                <w:sz w:val="16"/>
                <w:szCs w:val="18"/>
              </w:rPr>
              <w:t>E</w:t>
            </w:r>
          </w:p>
        </w:tc>
      </w:tr>
      <w:tr w:rsidR="0015501D" w:rsidRPr="0015501D" w:rsidTr="003A3DAA">
        <w:trPr>
          <w:trHeight w:val="273"/>
        </w:trPr>
        <w:tc>
          <w:tcPr>
            <w:tcW w:w="1692" w:type="dxa"/>
            <w:tcBorders>
              <w:top w:val="single" w:sz="8" w:space="0" w:color="005096"/>
              <w:left w:val="nil"/>
              <w:right w:val="nil"/>
            </w:tcBorders>
            <w:shd w:val="clear" w:color="auto" w:fill="auto"/>
            <w:noWrap/>
            <w:vAlign w:val="center"/>
          </w:tcPr>
          <w:p w:rsidR="0015501D" w:rsidRPr="0015501D" w:rsidRDefault="0015501D" w:rsidP="0015501D">
            <w:pPr>
              <w:rPr>
                <w:rFonts w:ascii="Arial" w:hAnsi="Arial"/>
                <w:b/>
                <w:sz w:val="16"/>
                <w:szCs w:val="16"/>
              </w:rPr>
            </w:pPr>
            <w:r w:rsidRPr="0015501D">
              <w:rPr>
                <w:rFonts w:ascii="Arial" w:hAnsi="Arial" w:hint="eastAsia"/>
                <w:b/>
                <w:sz w:val="16"/>
                <w:szCs w:val="16"/>
              </w:rPr>
              <w:t>钛白粉产能</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780" w:type="dxa"/>
            <w:tcBorders>
              <w:top w:val="single" w:sz="8" w:space="0" w:color="005096"/>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145</w:t>
            </w:r>
          </w:p>
        </w:tc>
        <w:tc>
          <w:tcPr>
            <w:tcW w:w="780" w:type="dxa"/>
            <w:tcBorders>
              <w:top w:val="single" w:sz="8" w:space="0" w:color="005096"/>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150</w:t>
            </w:r>
          </w:p>
        </w:tc>
        <w:tc>
          <w:tcPr>
            <w:tcW w:w="780" w:type="dxa"/>
            <w:tcBorders>
              <w:top w:val="single" w:sz="8" w:space="0" w:color="005096"/>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198</w:t>
            </w:r>
          </w:p>
        </w:tc>
        <w:tc>
          <w:tcPr>
            <w:tcW w:w="780" w:type="dxa"/>
            <w:tcBorders>
              <w:top w:val="single" w:sz="8" w:space="0" w:color="005096"/>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262</w:t>
            </w:r>
          </w:p>
        </w:tc>
        <w:tc>
          <w:tcPr>
            <w:tcW w:w="780" w:type="dxa"/>
            <w:tcBorders>
              <w:top w:val="single" w:sz="8" w:space="0" w:color="005096"/>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285</w:t>
            </w:r>
          </w:p>
        </w:tc>
        <w:tc>
          <w:tcPr>
            <w:tcW w:w="780" w:type="dxa"/>
            <w:tcBorders>
              <w:top w:val="single" w:sz="8" w:space="0" w:color="005096"/>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310</w:t>
            </w:r>
          </w:p>
        </w:tc>
        <w:tc>
          <w:tcPr>
            <w:tcW w:w="780" w:type="dxa"/>
            <w:tcBorders>
              <w:top w:val="single" w:sz="8" w:space="0" w:color="005096"/>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344</w:t>
            </w:r>
          </w:p>
        </w:tc>
        <w:tc>
          <w:tcPr>
            <w:tcW w:w="780" w:type="dxa"/>
            <w:tcBorders>
              <w:top w:val="single" w:sz="8" w:space="0" w:color="005096"/>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hint="eastAsia"/>
                <w:sz w:val="16"/>
                <w:szCs w:val="16"/>
              </w:rPr>
              <w:t>357</w:t>
            </w:r>
          </w:p>
        </w:tc>
      </w:tr>
      <w:tr w:rsidR="0015501D" w:rsidRPr="0015501D" w:rsidTr="003A3DAA">
        <w:trPr>
          <w:trHeight w:val="273"/>
        </w:trPr>
        <w:tc>
          <w:tcPr>
            <w:tcW w:w="1692" w:type="dxa"/>
            <w:tcBorders>
              <w:left w:val="nil"/>
              <w:right w:val="nil"/>
            </w:tcBorders>
            <w:shd w:val="clear" w:color="auto" w:fill="auto"/>
            <w:noWrap/>
            <w:vAlign w:val="center"/>
          </w:tcPr>
          <w:p w:rsidR="0015501D" w:rsidRPr="0015501D" w:rsidRDefault="0015501D" w:rsidP="0015501D">
            <w:pPr>
              <w:rPr>
                <w:rFonts w:ascii="Arial" w:hAnsi="Arial"/>
                <w:b/>
                <w:sz w:val="16"/>
                <w:szCs w:val="16"/>
              </w:rPr>
            </w:pPr>
            <w:r w:rsidRPr="0015501D">
              <w:rPr>
                <w:rFonts w:ascii="Arial" w:hAnsi="Arial" w:hint="eastAsia"/>
                <w:b/>
                <w:sz w:val="16"/>
                <w:szCs w:val="16"/>
              </w:rPr>
              <w:t>钛白粉产量</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79</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105</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147</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181</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189</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216</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247</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hint="eastAsia"/>
                <w:sz w:val="16"/>
                <w:szCs w:val="16"/>
              </w:rPr>
              <w:t>235</w:t>
            </w:r>
          </w:p>
        </w:tc>
      </w:tr>
      <w:tr w:rsidR="0015501D" w:rsidRPr="0015501D" w:rsidTr="003A3DAA">
        <w:trPr>
          <w:trHeight w:val="273"/>
        </w:trPr>
        <w:tc>
          <w:tcPr>
            <w:tcW w:w="1692" w:type="dxa"/>
            <w:tcBorders>
              <w:left w:val="nil"/>
              <w:right w:val="nil"/>
            </w:tcBorders>
            <w:shd w:val="clear" w:color="auto" w:fill="auto"/>
            <w:noWrap/>
            <w:vAlign w:val="center"/>
          </w:tcPr>
          <w:p w:rsidR="0015501D" w:rsidRPr="0015501D" w:rsidRDefault="0015501D" w:rsidP="0015501D">
            <w:pPr>
              <w:rPr>
                <w:rFonts w:ascii="Arial" w:hAnsi="Arial"/>
                <w:b/>
                <w:sz w:val="16"/>
                <w:szCs w:val="16"/>
              </w:rPr>
            </w:pPr>
            <w:r w:rsidRPr="0015501D">
              <w:rPr>
                <w:rFonts w:ascii="Arial" w:hAnsi="Arial" w:hint="eastAsia"/>
                <w:b/>
                <w:sz w:val="16"/>
                <w:szCs w:val="16"/>
              </w:rPr>
              <w:t>国内开工率</w:t>
            </w:r>
            <w:r w:rsidRPr="0015501D">
              <w:rPr>
                <w:rFonts w:ascii="Arial" w:hAnsi="Arial" w:hint="eastAsia"/>
                <w:b/>
                <w:sz w:val="16"/>
                <w:szCs w:val="16"/>
              </w:rPr>
              <w:t>(%)</w:t>
            </w:r>
          </w:p>
        </w:tc>
        <w:tc>
          <w:tcPr>
            <w:tcW w:w="780" w:type="dxa"/>
            <w:tcBorders>
              <w:left w:val="nil"/>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58</w:t>
            </w:r>
          </w:p>
        </w:tc>
        <w:tc>
          <w:tcPr>
            <w:tcW w:w="780" w:type="dxa"/>
            <w:tcBorders>
              <w:left w:val="nil"/>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71</w:t>
            </w:r>
          </w:p>
        </w:tc>
        <w:tc>
          <w:tcPr>
            <w:tcW w:w="780" w:type="dxa"/>
            <w:tcBorders>
              <w:left w:val="nil"/>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84</w:t>
            </w:r>
          </w:p>
        </w:tc>
        <w:tc>
          <w:tcPr>
            <w:tcW w:w="780" w:type="dxa"/>
            <w:tcBorders>
              <w:left w:val="nil"/>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79</w:t>
            </w:r>
          </w:p>
        </w:tc>
        <w:tc>
          <w:tcPr>
            <w:tcW w:w="780" w:type="dxa"/>
            <w:tcBorders>
              <w:left w:val="nil"/>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69</w:t>
            </w:r>
          </w:p>
        </w:tc>
        <w:tc>
          <w:tcPr>
            <w:tcW w:w="780" w:type="dxa"/>
            <w:tcBorders>
              <w:left w:val="nil"/>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72</w:t>
            </w:r>
          </w:p>
        </w:tc>
        <w:tc>
          <w:tcPr>
            <w:tcW w:w="780" w:type="dxa"/>
            <w:tcBorders>
              <w:left w:val="nil"/>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75</w:t>
            </w:r>
          </w:p>
        </w:tc>
        <w:tc>
          <w:tcPr>
            <w:tcW w:w="780" w:type="dxa"/>
            <w:tcBorders>
              <w:left w:val="nil"/>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67</w:t>
            </w:r>
          </w:p>
        </w:tc>
      </w:tr>
      <w:tr w:rsidR="0015501D" w:rsidRPr="0015501D" w:rsidTr="003A3DAA">
        <w:trPr>
          <w:trHeight w:val="273"/>
        </w:trPr>
        <w:tc>
          <w:tcPr>
            <w:tcW w:w="1692" w:type="dxa"/>
            <w:tcBorders>
              <w:left w:val="nil"/>
              <w:right w:val="nil"/>
            </w:tcBorders>
            <w:shd w:val="clear" w:color="auto" w:fill="auto"/>
            <w:noWrap/>
            <w:vAlign w:val="center"/>
          </w:tcPr>
          <w:p w:rsidR="0015501D" w:rsidRPr="0015501D" w:rsidRDefault="0015501D" w:rsidP="0015501D">
            <w:pPr>
              <w:rPr>
                <w:rFonts w:ascii="Arial" w:hAnsi="Arial"/>
                <w:b/>
                <w:sz w:val="16"/>
                <w:szCs w:val="16"/>
              </w:rPr>
            </w:pPr>
            <w:r w:rsidRPr="0015501D">
              <w:rPr>
                <w:rFonts w:ascii="Arial" w:hAnsi="Arial" w:hint="eastAsia"/>
                <w:b/>
                <w:sz w:val="16"/>
                <w:szCs w:val="16"/>
              </w:rPr>
              <w:lastRenderedPageBreak/>
              <w:t>进口</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25.1</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22.6</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26.9</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22.9</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16.3</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19.4</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21.5</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hint="eastAsia"/>
                <w:sz w:val="16"/>
                <w:szCs w:val="16"/>
              </w:rPr>
              <w:t>22.6</w:t>
            </w:r>
          </w:p>
        </w:tc>
      </w:tr>
      <w:tr w:rsidR="0015501D" w:rsidRPr="0015501D" w:rsidTr="003A3DAA">
        <w:trPr>
          <w:trHeight w:val="273"/>
        </w:trPr>
        <w:tc>
          <w:tcPr>
            <w:tcW w:w="1692" w:type="dxa"/>
            <w:tcBorders>
              <w:left w:val="nil"/>
              <w:right w:val="nil"/>
            </w:tcBorders>
            <w:shd w:val="clear" w:color="auto" w:fill="auto"/>
            <w:noWrap/>
            <w:vAlign w:val="center"/>
          </w:tcPr>
          <w:p w:rsidR="0015501D" w:rsidRPr="0015501D" w:rsidRDefault="0015501D" w:rsidP="0015501D">
            <w:pPr>
              <w:rPr>
                <w:rFonts w:ascii="Arial" w:hAnsi="Arial"/>
                <w:b/>
                <w:sz w:val="16"/>
                <w:szCs w:val="16"/>
              </w:rPr>
            </w:pPr>
            <w:r w:rsidRPr="0015501D">
              <w:rPr>
                <w:rFonts w:ascii="Arial" w:hAnsi="Arial" w:hint="eastAsia"/>
                <w:b/>
                <w:sz w:val="16"/>
                <w:szCs w:val="16"/>
              </w:rPr>
              <w:t>出口</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7.5</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8.1</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26.6</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39.8</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38.5</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40.3</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sz w:val="16"/>
                <w:szCs w:val="16"/>
              </w:rPr>
              <w:t>55.2</w:t>
            </w:r>
          </w:p>
        </w:tc>
        <w:tc>
          <w:tcPr>
            <w:tcW w:w="780" w:type="dxa"/>
            <w:tcBorders>
              <w:left w:val="nil"/>
              <w:right w:val="nil"/>
            </w:tcBorders>
            <w:vAlign w:val="center"/>
          </w:tcPr>
          <w:p w:rsidR="0015501D" w:rsidRPr="0015501D" w:rsidRDefault="0015501D" w:rsidP="0015501D">
            <w:pPr>
              <w:jc w:val="center"/>
              <w:textAlignment w:val="center"/>
              <w:rPr>
                <w:rFonts w:ascii="Arial" w:eastAsia="宋体" w:hAnsi="Arial" w:cs="Arial"/>
                <w:sz w:val="16"/>
                <w:szCs w:val="16"/>
              </w:rPr>
            </w:pPr>
            <w:r w:rsidRPr="0015501D">
              <w:rPr>
                <w:rFonts w:ascii="Arial" w:eastAsia="宋体" w:hAnsi="Arial" w:cs="Arial" w:hint="eastAsia"/>
                <w:sz w:val="16"/>
                <w:szCs w:val="16"/>
              </w:rPr>
              <w:t>50.6</w:t>
            </w:r>
          </w:p>
        </w:tc>
      </w:tr>
      <w:tr w:rsidR="0015501D" w:rsidRPr="0015501D" w:rsidTr="003A3DAA">
        <w:trPr>
          <w:trHeight w:val="273"/>
        </w:trPr>
        <w:tc>
          <w:tcPr>
            <w:tcW w:w="1692" w:type="dxa"/>
            <w:tcBorders>
              <w:left w:val="nil"/>
              <w:bottom w:val="single" w:sz="8" w:space="0" w:color="005096"/>
              <w:right w:val="nil"/>
            </w:tcBorders>
            <w:shd w:val="clear" w:color="auto" w:fill="auto"/>
            <w:noWrap/>
            <w:vAlign w:val="center"/>
          </w:tcPr>
          <w:p w:rsidR="0015501D" w:rsidRPr="0015501D" w:rsidRDefault="0015501D" w:rsidP="0015501D">
            <w:pPr>
              <w:rPr>
                <w:rFonts w:ascii="Arial" w:hAnsi="Arial"/>
                <w:b/>
                <w:sz w:val="16"/>
                <w:szCs w:val="16"/>
              </w:rPr>
            </w:pPr>
            <w:r w:rsidRPr="0015501D">
              <w:rPr>
                <w:rFonts w:ascii="Arial" w:hAnsi="Arial" w:hint="eastAsia"/>
                <w:b/>
                <w:sz w:val="16"/>
                <w:szCs w:val="16"/>
              </w:rPr>
              <w:t>表观消费量</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780" w:type="dxa"/>
            <w:tcBorders>
              <w:left w:val="nil"/>
              <w:bottom w:val="single" w:sz="8" w:space="0" w:color="005096"/>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sz w:val="16"/>
                <w:szCs w:val="16"/>
              </w:rPr>
              <w:t>96.6</w:t>
            </w:r>
          </w:p>
        </w:tc>
        <w:tc>
          <w:tcPr>
            <w:tcW w:w="780" w:type="dxa"/>
            <w:tcBorders>
              <w:left w:val="nil"/>
              <w:bottom w:val="single" w:sz="8" w:space="0" w:color="005096"/>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sz w:val="16"/>
                <w:szCs w:val="16"/>
              </w:rPr>
              <w:t>119.5</w:t>
            </w:r>
          </w:p>
        </w:tc>
        <w:tc>
          <w:tcPr>
            <w:tcW w:w="780" w:type="dxa"/>
            <w:tcBorders>
              <w:left w:val="nil"/>
              <w:bottom w:val="single" w:sz="8" w:space="0" w:color="005096"/>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sz w:val="16"/>
                <w:szCs w:val="16"/>
              </w:rPr>
              <w:t>147.3</w:t>
            </w:r>
          </w:p>
        </w:tc>
        <w:tc>
          <w:tcPr>
            <w:tcW w:w="780" w:type="dxa"/>
            <w:tcBorders>
              <w:left w:val="nil"/>
              <w:bottom w:val="single" w:sz="8" w:space="0" w:color="005096"/>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sz w:val="16"/>
                <w:szCs w:val="16"/>
              </w:rPr>
              <w:t>164.1</w:t>
            </w:r>
          </w:p>
        </w:tc>
        <w:tc>
          <w:tcPr>
            <w:tcW w:w="780" w:type="dxa"/>
            <w:tcBorders>
              <w:left w:val="nil"/>
              <w:bottom w:val="single" w:sz="8" w:space="0" w:color="005096"/>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sz w:val="16"/>
                <w:szCs w:val="16"/>
              </w:rPr>
              <w:t>166.8</w:t>
            </w:r>
          </w:p>
        </w:tc>
        <w:tc>
          <w:tcPr>
            <w:tcW w:w="780" w:type="dxa"/>
            <w:tcBorders>
              <w:left w:val="nil"/>
              <w:bottom w:val="single" w:sz="8" w:space="0" w:color="005096"/>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sz w:val="16"/>
                <w:szCs w:val="16"/>
              </w:rPr>
              <w:t>195.1</w:t>
            </w:r>
          </w:p>
        </w:tc>
        <w:tc>
          <w:tcPr>
            <w:tcW w:w="780" w:type="dxa"/>
            <w:tcBorders>
              <w:left w:val="nil"/>
              <w:bottom w:val="single" w:sz="8" w:space="0" w:color="005096"/>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sz w:val="16"/>
                <w:szCs w:val="16"/>
              </w:rPr>
              <w:t>213.3</w:t>
            </w:r>
          </w:p>
        </w:tc>
        <w:tc>
          <w:tcPr>
            <w:tcW w:w="780" w:type="dxa"/>
            <w:tcBorders>
              <w:left w:val="nil"/>
              <w:bottom w:val="single" w:sz="8" w:space="0" w:color="005096"/>
              <w:right w:val="nil"/>
            </w:tcBorders>
            <w:vAlign w:val="center"/>
          </w:tcPr>
          <w:p w:rsidR="0015501D" w:rsidRPr="0015501D" w:rsidRDefault="0015501D" w:rsidP="0015501D">
            <w:pPr>
              <w:jc w:val="center"/>
              <w:rPr>
                <w:rFonts w:ascii="Arial" w:hAnsi="Arial" w:cs="Arial"/>
                <w:sz w:val="16"/>
                <w:szCs w:val="16"/>
              </w:rPr>
            </w:pPr>
            <w:r w:rsidRPr="0015501D">
              <w:rPr>
                <w:rFonts w:ascii="Arial" w:hAnsi="Arial" w:cs="Arial" w:hint="eastAsia"/>
                <w:sz w:val="16"/>
                <w:szCs w:val="16"/>
              </w:rPr>
              <w:t>207</w:t>
            </w:r>
          </w:p>
        </w:tc>
      </w:tr>
    </w:tbl>
    <w:p w:rsidR="0015501D" w:rsidRPr="0015501D" w:rsidRDefault="0015501D" w:rsidP="005143F4">
      <w:pPr>
        <w:spacing w:afterLines="50" w:line="360" w:lineRule="exact"/>
        <w:rPr>
          <w:sz w:val="16"/>
          <w:szCs w:val="16"/>
        </w:rPr>
      </w:pPr>
      <w:r w:rsidRPr="0015501D">
        <w:rPr>
          <w:rFonts w:hint="eastAsia"/>
          <w:sz w:val="16"/>
          <w:szCs w:val="16"/>
        </w:rPr>
        <w:t>资料</w:t>
      </w:r>
      <w:r w:rsidRPr="0015501D">
        <w:rPr>
          <w:sz w:val="16"/>
          <w:szCs w:val="16"/>
        </w:rPr>
        <w:t>来源</w:t>
      </w:r>
      <w:r w:rsidRPr="0015501D">
        <w:rPr>
          <w:rFonts w:hint="eastAsia"/>
          <w:sz w:val="16"/>
          <w:szCs w:val="16"/>
        </w:rPr>
        <w:t>：国家统计局</w:t>
      </w:r>
      <w:r w:rsidRPr="0015501D">
        <w:rPr>
          <w:sz w:val="16"/>
          <w:szCs w:val="16"/>
        </w:rPr>
        <w:t>、民生证券研究院整理</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15501D" w:rsidP="0015501D">
      <w:pPr>
        <w:numPr>
          <w:ilvl w:val="0"/>
          <w:numId w:val="29"/>
        </w:numPr>
        <w:spacing w:line="360" w:lineRule="auto"/>
        <w:ind w:rightChars="1000" w:right="2100"/>
        <w:rPr>
          <w:rFonts w:ascii="楷体" w:eastAsia="楷体" w:hAnsi="楷体"/>
          <w:b/>
          <w:szCs w:val="21"/>
        </w:rPr>
      </w:pPr>
      <w:r w:rsidRPr="0015501D">
        <w:rPr>
          <w:rFonts w:ascii="楷体" w:eastAsia="楷体" w:hAnsi="楷体" w:hint="eastAsia"/>
          <w:b/>
          <w:szCs w:val="21"/>
        </w:rPr>
        <w:t>去产能进程：新增产能趋缓</w:t>
      </w:r>
      <w:r w:rsidRPr="0015501D">
        <w:rPr>
          <w:rFonts w:ascii="楷体" w:eastAsia="楷体" w:hAnsi="楷体"/>
          <w:b/>
          <w:szCs w:val="21"/>
        </w:rPr>
        <w:t>，开工率高</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2012年以来钛白粉跌</w:t>
      </w:r>
      <w:proofErr w:type="gramStart"/>
      <w:r w:rsidRPr="0015501D">
        <w:rPr>
          <w:rFonts w:ascii="楷体" w:eastAsia="楷体" w:hAnsi="楷体" w:hint="eastAsia"/>
          <w:szCs w:val="21"/>
        </w:rPr>
        <w:t>跌</w:t>
      </w:r>
      <w:proofErr w:type="gramEnd"/>
      <w:r w:rsidRPr="0015501D">
        <w:rPr>
          <w:rFonts w:ascii="楷体" w:eastAsia="楷体" w:hAnsi="楷体" w:hint="eastAsia"/>
          <w:szCs w:val="21"/>
        </w:rPr>
        <w:t>不休，产能增速有所减缓，最近3年产能增速降到了10%以下。2015年新建产能13万吨，增速3.8%，实际投产8万吨。我们估计未来两年新增产能约36万吨，其他规划基本为氯化法，进度缓慢，总的来说产能投放趋缓。</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近两年行业名义产能利用率75%，实际有效产能利用率79%，前六大企业开工率高达90%，佰利</w:t>
      </w:r>
      <w:proofErr w:type="gramStart"/>
      <w:r w:rsidRPr="0015501D">
        <w:rPr>
          <w:rFonts w:ascii="楷体" w:eastAsia="楷体" w:hAnsi="楷体" w:hint="eastAsia"/>
          <w:szCs w:val="21"/>
        </w:rPr>
        <w:t>联更是</w:t>
      </w:r>
      <w:proofErr w:type="gramEnd"/>
      <w:r w:rsidRPr="0015501D">
        <w:rPr>
          <w:rFonts w:ascii="楷体" w:eastAsia="楷体" w:hAnsi="楷体" w:hint="eastAsia"/>
          <w:szCs w:val="21"/>
        </w:rPr>
        <w:t>几乎满产，但中小企业开工率却在5-6成甚至更低。</w:t>
      </w:r>
    </w:p>
    <w:p w:rsidR="0015501D" w:rsidRPr="0015501D" w:rsidRDefault="0015501D" w:rsidP="0015501D">
      <w:pPr>
        <w:spacing w:line="360" w:lineRule="exact"/>
        <w:rPr>
          <w:b/>
          <w:color w:val="005096"/>
          <w:sz w:val="18"/>
          <w:szCs w:val="20"/>
        </w:rPr>
      </w:pPr>
      <w:bookmarkStart w:id="20" w:name="_Toc427735647"/>
      <w:bookmarkStart w:id="21" w:name="_Toc440897115"/>
      <w:r w:rsidRPr="0015501D">
        <w:rPr>
          <w:rFonts w:hint="eastAsia"/>
          <w:b/>
          <w:color w:val="005096"/>
          <w:sz w:val="18"/>
          <w:szCs w:val="20"/>
        </w:rPr>
        <w:t>表</w:t>
      </w:r>
      <w:r w:rsidR="007A307A">
        <w:rPr>
          <w:b/>
          <w:color w:val="005096"/>
          <w:sz w:val="18"/>
          <w:szCs w:val="20"/>
        </w:rPr>
        <w:t>9</w:t>
      </w:r>
      <w:r w:rsidRPr="0015501D">
        <w:rPr>
          <w:rFonts w:hint="eastAsia"/>
          <w:b/>
          <w:color w:val="005096"/>
          <w:sz w:val="18"/>
          <w:szCs w:val="20"/>
        </w:rPr>
        <w:t>：未来</w:t>
      </w:r>
      <w:r w:rsidRPr="0015501D">
        <w:rPr>
          <w:b/>
          <w:color w:val="005096"/>
          <w:sz w:val="18"/>
          <w:szCs w:val="20"/>
        </w:rPr>
        <w:t>国内</w:t>
      </w:r>
      <w:proofErr w:type="gramStart"/>
      <w:r w:rsidRPr="0015501D">
        <w:rPr>
          <w:rFonts w:hint="eastAsia"/>
          <w:b/>
          <w:color w:val="005096"/>
          <w:sz w:val="18"/>
          <w:szCs w:val="20"/>
        </w:rPr>
        <w:t>钛白粉</w:t>
      </w:r>
      <w:r w:rsidRPr="0015501D">
        <w:rPr>
          <w:b/>
          <w:color w:val="005096"/>
          <w:sz w:val="18"/>
          <w:szCs w:val="20"/>
        </w:rPr>
        <w:t>新增产</w:t>
      </w:r>
      <w:proofErr w:type="gramEnd"/>
      <w:r w:rsidRPr="0015501D">
        <w:rPr>
          <w:b/>
          <w:color w:val="005096"/>
          <w:sz w:val="18"/>
          <w:szCs w:val="20"/>
        </w:rPr>
        <w:t>能</w:t>
      </w:r>
      <w:bookmarkEnd w:id="20"/>
      <w:bookmarkEnd w:id="21"/>
    </w:p>
    <w:tbl>
      <w:tblPr>
        <w:tblW w:w="6204" w:type="dxa"/>
        <w:tblInd w:w="108" w:type="dxa"/>
        <w:tblLayout w:type="fixed"/>
        <w:tblLook w:val="00A0"/>
      </w:tblPr>
      <w:tblGrid>
        <w:gridCol w:w="945"/>
        <w:gridCol w:w="1323"/>
        <w:gridCol w:w="993"/>
        <w:gridCol w:w="992"/>
        <w:gridCol w:w="1951"/>
      </w:tblGrid>
      <w:tr w:rsidR="0015501D" w:rsidRPr="0015501D" w:rsidTr="003A3DAA">
        <w:trPr>
          <w:trHeight w:val="265"/>
        </w:trPr>
        <w:tc>
          <w:tcPr>
            <w:tcW w:w="945" w:type="dxa"/>
            <w:tcBorders>
              <w:top w:val="single" w:sz="8" w:space="0" w:color="005096"/>
              <w:left w:val="nil"/>
              <w:bottom w:val="single" w:sz="8" w:space="0" w:color="005096"/>
              <w:right w:val="nil"/>
            </w:tcBorders>
            <w:shd w:val="clear" w:color="auto" w:fill="auto"/>
            <w:noWrap/>
            <w:vAlign w:val="center"/>
          </w:tcPr>
          <w:p w:rsidR="0015501D" w:rsidRPr="0015501D" w:rsidRDefault="0015501D" w:rsidP="0015501D">
            <w:pPr>
              <w:jc w:val="center"/>
              <w:rPr>
                <w:rFonts w:eastAsia="宋体"/>
                <w:b/>
                <w:color w:val="005096"/>
                <w:sz w:val="18"/>
                <w:szCs w:val="20"/>
              </w:rPr>
            </w:pPr>
            <w:r w:rsidRPr="0015501D">
              <w:rPr>
                <w:rFonts w:eastAsia="宋体" w:hint="eastAsia"/>
                <w:b/>
                <w:color w:val="005096"/>
                <w:sz w:val="18"/>
                <w:szCs w:val="20"/>
              </w:rPr>
              <w:t>企业</w:t>
            </w:r>
          </w:p>
        </w:tc>
        <w:tc>
          <w:tcPr>
            <w:tcW w:w="1323" w:type="dxa"/>
            <w:tcBorders>
              <w:top w:val="single" w:sz="8" w:space="0" w:color="005096"/>
              <w:left w:val="nil"/>
              <w:bottom w:val="single" w:sz="8" w:space="0" w:color="005096"/>
              <w:right w:val="nil"/>
            </w:tcBorders>
            <w:shd w:val="clear" w:color="auto" w:fill="auto"/>
            <w:vAlign w:val="center"/>
          </w:tcPr>
          <w:p w:rsidR="0015501D" w:rsidRPr="0015501D" w:rsidRDefault="0015501D" w:rsidP="0015501D">
            <w:pPr>
              <w:jc w:val="center"/>
              <w:rPr>
                <w:rFonts w:eastAsia="宋体" w:hAnsi="宋体"/>
                <w:b/>
                <w:color w:val="005096"/>
                <w:kern w:val="0"/>
                <w:sz w:val="18"/>
                <w:szCs w:val="18"/>
              </w:rPr>
            </w:pPr>
            <w:r w:rsidRPr="0015501D">
              <w:rPr>
                <w:rFonts w:eastAsia="宋体" w:hAnsi="宋体" w:hint="eastAsia"/>
                <w:b/>
                <w:color w:val="005096"/>
                <w:kern w:val="0"/>
                <w:sz w:val="18"/>
                <w:szCs w:val="18"/>
              </w:rPr>
              <w:t>产能（万吨</w:t>
            </w:r>
            <w:r w:rsidRPr="0015501D">
              <w:rPr>
                <w:rFonts w:eastAsia="宋体" w:hAnsi="宋体"/>
                <w:b/>
                <w:color w:val="005096"/>
                <w:kern w:val="0"/>
                <w:sz w:val="18"/>
                <w:szCs w:val="18"/>
              </w:rPr>
              <w:t>）</w:t>
            </w:r>
          </w:p>
        </w:tc>
        <w:tc>
          <w:tcPr>
            <w:tcW w:w="993" w:type="dxa"/>
            <w:tcBorders>
              <w:top w:val="single" w:sz="8" w:space="0" w:color="005096"/>
              <w:left w:val="nil"/>
              <w:bottom w:val="single" w:sz="8" w:space="0" w:color="005096"/>
              <w:right w:val="nil"/>
            </w:tcBorders>
            <w:vAlign w:val="center"/>
          </w:tcPr>
          <w:p w:rsidR="0015501D" w:rsidRPr="0015501D" w:rsidRDefault="0015501D" w:rsidP="0015501D">
            <w:pPr>
              <w:jc w:val="center"/>
              <w:rPr>
                <w:rFonts w:eastAsia="宋体" w:hAnsi="宋体"/>
                <w:b/>
                <w:color w:val="005096"/>
                <w:kern w:val="0"/>
                <w:sz w:val="18"/>
                <w:szCs w:val="18"/>
              </w:rPr>
            </w:pPr>
            <w:r w:rsidRPr="0015501D">
              <w:rPr>
                <w:rFonts w:eastAsia="宋体" w:hAnsi="宋体" w:hint="eastAsia"/>
                <w:b/>
                <w:color w:val="005096"/>
                <w:kern w:val="0"/>
                <w:sz w:val="18"/>
                <w:szCs w:val="18"/>
              </w:rPr>
              <w:t>计划</w:t>
            </w:r>
            <w:r w:rsidRPr="0015501D">
              <w:rPr>
                <w:rFonts w:eastAsia="宋体" w:hAnsi="宋体"/>
                <w:b/>
                <w:color w:val="005096"/>
                <w:kern w:val="0"/>
                <w:sz w:val="18"/>
                <w:szCs w:val="18"/>
              </w:rPr>
              <w:t>投产</w:t>
            </w:r>
          </w:p>
        </w:tc>
        <w:tc>
          <w:tcPr>
            <w:tcW w:w="992" w:type="dxa"/>
            <w:tcBorders>
              <w:top w:val="single" w:sz="8" w:space="0" w:color="005096"/>
              <w:left w:val="nil"/>
              <w:bottom w:val="single" w:sz="8" w:space="0" w:color="005096"/>
              <w:right w:val="nil"/>
            </w:tcBorders>
            <w:shd w:val="clear" w:color="auto" w:fill="auto"/>
            <w:vAlign w:val="center"/>
          </w:tcPr>
          <w:p w:rsidR="0015501D" w:rsidRPr="0015501D" w:rsidRDefault="0015501D" w:rsidP="0015501D">
            <w:pPr>
              <w:jc w:val="center"/>
              <w:rPr>
                <w:rFonts w:eastAsia="宋体" w:hAnsi="宋体"/>
                <w:b/>
                <w:color w:val="005096"/>
                <w:kern w:val="0"/>
                <w:sz w:val="18"/>
                <w:szCs w:val="18"/>
              </w:rPr>
            </w:pPr>
            <w:r w:rsidRPr="0015501D">
              <w:rPr>
                <w:rFonts w:eastAsia="宋体" w:hAnsi="宋体" w:hint="eastAsia"/>
                <w:b/>
                <w:color w:val="005096"/>
                <w:kern w:val="0"/>
                <w:sz w:val="18"/>
                <w:szCs w:val="18"/>
              </w:rPr>
              <w:t>工艺路线</w:t>
            </w:r>
          </w:p>
        </w:tc>
        <w:tc>
          <w:tcPr>
            <w:tcW w:w="1951" w:type="dxa"/>
            <w:tcBorders>
              <w:top w:val="single" w:sz="8" w:space="0" w:color="005096"/>
              <w:left w:val="nil"/>
              <w:bottom w:val="single" w:sz="8" w:space="0" w:color="005096"/>
              <w:right w:val="nil"/>
            </w:tcBorders>
            <w:vAlign w:val="center"/>
          </w:tcPr>
          <w:p w:rsidR="0015501D" w:rsidRPr="0015501D" w:rsidRDefault="0015501D" w:rsidP="0015501D">
            <w:pPr>
              <w:jc w:val="center"/>
              <w:rPr>
                <w:rFonts w:eastAsia="宋体" w:hAnsi="宋体"/>
                <w:b/>
                <w:color w:val="005096"/>
                <w:kern w:val="0"/>
                <w:sz w:val="18"/>
                <w:szCs w:val="18"/>
              </w:rPr>
            </w:pPr>
            <w:r w:rsidRPr="0015501D">
              <w:rPr>
                <w:rFonts w:eastAsia="宋体" w:hAnsi="宋体" w:hint="eastAsia"/>
                <w:b/>
                <w:color w:val="005096"/>
                <w:kern w:val="0"/>
                <w:sz w:val="18"/>
                <w:szCs w:val="18"/>
              </w:rPr>
              <w:t>进展</w:t>
            </w:r>
          </w:p>
        </w:tc>
      </w:tr>
      <w:tr w:rsidR="0015501D" w:rsidRPr="0015501D" w:rsidTr="003A3DAA">
        <w:trPr>
          <w:trHeight w:val="163"/>
        </w:trPr>
        <w:tc>
          <w:tcPr>
            <w:tcW w:w="6204" w:type="dxa"/>
            <w:gridSpan w:val="5"/>
            <w:tcBorders>
              <w:left w:val="nil"/>
              <w:right w:val="nil"/>
            </w:tcBorders>
            <w:shd w:val="clear" w:color="auto" w:fill="auto"/>
            <w:noWrap/>
            <w:vAlign w:val="center"/>
          </w:tcPr>
          <w:p w:rsidR="0015501D" w:rsidRPr="0015501D" w:rsidRDefault="0015501D" w:rsidP="0015501D">
            <w:pPr>
              <w:textAlignment w:val="center"/>
              <w:rPr>
                <w:rFonts w:eastAsia="宋体"/>
                <w:b/>
                <w:sz w:val="18"/>
                <w:szCs w:val="16"/>
              </w:rPr>
            </w:pPr>
            <w:r w:rsidRPr="0015501D">
              <w:rPr>
                <w:rFonts w:eastAsia="宋体" w:hint="eastAsia"/>
                <w:b/>
                <w:color w:val="005096"/>
                <w:kern w:val="0"/>
                <w:sz w:val="18"/>
                <w:szCs w:val="18"/>
              </w:rPr>
              <w:t>2015</w:t>
            </w:r>
            <w:r w:rsidRPr="0015501D">
              <w:rPr>
                <w:rFonts w:eastAsia="宋体" w:hint="eastAsia"/>
                <w:b/>
                <w:color w:val="005096"/>
                <w:kern w:val="0"/>
                <w:sz w:val="18"/>
                <w:szCs w:val="18"/>
              </w:rPr>
              <w:t>年</w:t>
            </w:r>
            <w:r w:rsidRPr="0015501D">
              <w:rPr>
                <w:rFonts w:eastAsia="宋体"/>
                <w:b/>
                <w:color w:val="005096"/>
                <w:kern w:val="0"/>
                <w:sz w:val="18"/>
                <w:szCs w:val="18"/>
              </w:rPr>
              <w:t>投产</w:t>
            </w: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r w:rsidRPr="0015501D">
              <w:rPr>
                <w:rFonts w:eastAsia="宋体" w:hint="eastAsia"/>
                <w:color w:val="005096"/>
                <w:kern w:val="0"/>
                <w:sz w:val="18"/>
                <w:szCs w:val="18"/>
              </w:rPr>
              <w:t>四川龙蟒</w:t>
            </w:r>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sz w:val="18"/>
                <w:szCs w:val="16"/>
              </w:rPr>
              <w:t>5</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2015</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硫酸法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实际</w:t>
            </w:r>
            <w:r w:rsidRPr="0015501D">
              <w:rPr>
                <w:rFonts w:eastAsia="宋体"/>
                <w:sz w:val="18"/>
                <w:szCs w:val="16"/>
              </w:rPr>
              <w:t>未生产</w:t>
            </w: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proofErr w:type="gramStart"/>
            <w:r w:rsidRPr="0015501D">
              <w:rPr>
                <w:rFonts w:eastAsia="宋体" w:hint="eastAsia"/>
                <w:color w:val="005096"/>
                <w:kern w:val="0"/>
                <w:sz w:val="18"/>
                <w:szCs w:val="18"/>
              </w:rPr>
              <w:t>金浦钛业</w:t>
            </w:r>
            <w:proofErr w:type="gramEnd"/>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8</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2015</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硫酸法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已</w:t>
            </w:r>
            <w:r w:rsidRPr="0015501D">
              <w:rPr>
                <w:rFonts w:eastAsia="宋体"/>
                <w:sz w:val="18"/>
                <w:szCs w:val="16"/>
              </w:rPr>
              <w:t>生产</w:t>
            </w: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b/>
                <w:color w:val="005096"/>
                <w:kern w:val="0"/>
                <w:sz w:val="18"/>
                <w:szCs w:val="18"/>
              </w:rPr>
            </w:pPr>
            <w:r w:rsidRPr="0015501D">
              <w:rPr>
                <w:rFonts w:eastAsia="宋体" w:hint="eastAsia"/>
                <w:b/>
                <w:color w:val="005096"/>
                <w:kern w:val="0"/>
                <w:sz w:val="18"/>
                <w:szCs w:val="18"/>
              </w:rPr>
              <w:t>小计</w:t>
            </w:r>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b/>
                <w:sz w:val="18"/>
                <w:szCs w:val="16"/>
              </w:rPr>
            </w:pPr>
            <w:r w:rsidRPr="0015501D">
              <w:rPr>
                <w:rFonts w:eastAsia="宋体" w:hint="eastAsia"/>
                <w:b/>
                <w:sz w:val="18"/>
                <w:szCs w:val="16"/>
              </w:rPr>
              <w:t>13</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163"/>
        </w:trPr>
        <w:tc>
          <w:tcPr>
            <w:tcW w:w="6204" w:type="dxa"/>
            <w:gridSpan w:val="5"/>
            <w:tcBorders>
              <w:left w:val="nil"/>
              <w:right w:val="nil"/>
            </w:tcBorders>
            <w:shd w:val="clear" w:color="auto" w:fill="auto"/>
            <w:noWrap/>
            <w:vAlign w:val="center"/>
          </w:tcPr>
          <w:p w:rsidR="0015501D" w:rsidRPr="0015501D" w:rsidRDefault="0015501D" w:rsidP="0015501D">
            <w:pPr>
              <w:textAlignment w:val="center"/>
              <w:rPr>
                <w:rFonts w:eastAsia="宋体"/>
                <w:b/>
                <w:sz w:val="18"/>
                <w:szCs w:val="16"/>
              </w:rPr>
            </w:pPr>
            <w:r w:rsidRPr="0015501D">
              <w:rPr>
                <w:rFonts w:eastAsia="宋体" w:hint="eastAsia"/>
                <w:b/>
                <w:color w:val="005096"/>
                <w:kern w:val="0"/>
                <w:sz w:val="18"/>
                <w:szCs w:val="18"/>
              </w:rPr>
              <w:t>2016</w:t>
            </w:r>
            <w:r w:rsidRPr="0015501D">
              <w:rPr>
                <w:rFonts w:eastAsia="宋体" w:hint="eastAsia"/>
                <w:b/>
                <w:color w:val="005096"/>
                <w:kern w:val="0"/>
                <w:sz w:val="18"/>
                <w:szCs w:val="18"/>
              </w:rPr>
              <w:t>年以后拟</w:t>
            </w:r>
            <w:r w:rsidRPr="0015501D">
              <w:rPr>
                <w:rFonts w:eastAsia="宋体"/>
                <w:b/>
                <w:color w:val="005096"/>
                <w:kern w:val="0"/>
                <w:sz w:val="18"/>
                <w:szCs w:val="18"/>
              </w:rPr>
              <w:t>投产</w:t>
            </w: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proofErr w:type="gramStart"/>
            <w:r w:rsidRPr="0015501D">
              <w:rPr>
                <w:rFonts w:eastAsia="宋体" w:hint="eastAsia"/>
                <w:color w:val="005096"/>
                <w:kern w:val="0"/>
                <w:sz w:val="18"/>
                <w:szCs w:val="18"/>
              </w:rPr>
              <w:t>嘉华钛业</w:t>
            </w:r>
            <w:proofErr w:type="gramEnd"/>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10</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2016</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硫酸法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r w:rsidRPr="0015501D">
              <w:rPr>
                <w:rFonts w:eastAsia="宋体" w:hint="eastAsia"/>
                <w:color w:val="005096"/>
                <w:kern w:val="0"/>
                <w:sz w:val="18"/>
                <w:szCs w:val="18"/>
              </w:rPr>
              <w:t>山东东佳</w:t>
            </w:r>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6</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2016</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硫酸法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proofErr w:type="gramStart"/>
            <w:r w:rsidRPr="0015501D">
              <w:rPr>
                <w:rFonts w:eastAsia="宋体" w:hint="eastAsia"/>
                <w:color w:val="005096"/>
                <w:kern w:val="0"/>
                <w:sz w:val="18"/>
                <w:szCs w:val="18"/>
              </w:rPr>
              <w:t>中核华原</w:t>
            </w:r>
            <w:proofErr w:type="gramEnd"/>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2017</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硫酸法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b/>
                <w:color w:val="005096"/>
                <w:kern w:val="0"/>
                <w:sz w:val="18"/>
                <w:szCs w:val="18"/>
              </w:rPr>
            </w:pPr>
            <w:r w:rsidRPr="0015501D">
              <w:rPr>
                <w:rFonts w:eastAsia="宋体" w:hint="eastAsia"/>
                <w:b/>
                <w:color w:val="005096"/>
                <w:kern w:val="0"/>
                <w:sz w:val="18"/>
                <w:szCs w:val="18"/>
              </w:rPr>
              <w:t>小计</w:t>
            </w:r>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b/>
                <w:sz w:val="18"/>
                <w:szCs w:val="16"/>
              </w:rPr>
            </w:pPr>
            <w:r w:rsidRPr="0015501D">
              <w:rPr>
                <w:rFonts w:eastAsia="宋体" w:hint="eastAsia"/>
                <w:b/>
                <w:sz w:val="18"/>
                <w:szCs w:val="16"/>
              </w:rPr>
              <w:t>36</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163"/>
        </w:trPr>
        <w:tc>
          <w:tcPr>
            <w:tcW w:w="6204" w:type="dxa"/>
            <w:gridSpan w:val="5"/>
            <w:tcBorders>
              <w:left w:val="nil"/>
              <w:right w:val="nil"/>
            </w:tcBorders>
            <w:shd w:val="clear" w:color="auto" w:fill="auto"/>
            <w:noWrap/>
            <w:vAlign w:val="center"/>
          </w:tcPr>
          <w:p w:rsidR="0015501D" w:rsidRPr="0015501D" w:rsidRDefault="0015501D" w:rsidP="0015501D">
            <w:pPr>
              <w:jc w:val="left"/>
              <w:textAlignment w:val="center"/>
              <w:rPr>
                <w:rFonts w:eastAsia="宋体"/>
                <w:sz w:val="18"/>
                <w:szCs w:val="16"/>
              </w:rPr>
            </w:pPr>
            <w:r w:rsidRPr="0015501D">
              <w:rPr>
                <w:rFonts w:eastAsia="宋体" w:hint="eastAsia"/>
                <w:b/>
                <w:color w:val="005096"/>
                <w:kern w:val="0"/>
                <w:sz w:val="18"/>
                <w:szCs w:val="18"/>
              </w:rPr>
              <w:t>其他</w:t>
            </w:r>
            <w:r w:rsidRPr="0015501D">
              <w:rPr>
                <w:rFonts w:eastAsia="宋体"/>
                <w:b/>
                <w:color w:val="005096"/>
                <w:kern w:val="0"/>
                <w:sz w:val="18"/>
                <w:szCs w:val="18"/>
              </w:rPr>
              <w:t>规划</w:t>
            </w: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r w:rsidRPr="0015501D">
              <w:rPr>
                <w:rFonts w:eastAsia="宋体" w:hint="eastAsia"/>
                <w:color w:val="005096"/>
                <w:kern w:val="0"/>
                <w:sz w:val="18"/>
                <w:szCs w:val="18"/>
              </w:rPr>
              <w:t>漯河兴茂</w:t>
            </w:r>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10</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氯化法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在建</w:t>
            </w: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r w:rsidRPr="0015501D">
              <w:rPr>
                <w:rFonts w:eastAsia="宋体" w:hint="eastAsia"/>
                <w:color w:val="005096"/>
                <w:kern w:val="0"/>
                <w:sz w:val="18"/>
                <w:szCs w:val="18"/>
              </w:rPr>
              <w:t>济南裕兴</w:t>
            </w:r>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氯化法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未建</w:t>
            </w: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r w:rsidRPr="0015501D">
              <w:rPr>
                <w:rFonts w:eastAsia="宋体" w:hint="eastAsia"/>
                <w:color w:val="005096"/>
                <w:kern w:val="0"/>
                <w:sz w:val="18"/>
                <w:szCs w:val="18"/>
              </w:rPr>
              <w:t>攀钢钛业</w:t>
            </w:r>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10</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氯化法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在建</w:t>
            </w:r>
          </w:p>
        </w:tc>
      </w:tr>
      <w:tr w:rsidR="0015501D" w:rsidRPr="0015501D" w:rsidTr="003A3DAA">
        <w:trPr>
          <w:trHeight w:val="163"/>
        </w:trPr>
        <w:tc>
          <w:tcPr>
            <w:tcW w:w="945" w:type="dxa"/>
            <w:tcBorders>
              <w:left w:val="nil"/>
              <w:right w:val="nil"/>
            </w:tcBorders>
            <w:shd w:val="clear" w:color="auto" w:fill="auto"/>
            <w:noWrap/>
            <w:vAlign w:val="center"/>
          </w:tcPr>
          <w:p w:rsidR="0015501D" w:rsidRPr="0015501D" w:rsidRDefault="0015501D" w:rsidP="0015501D">
            <w:pPr>
              <w:widowControl/>
              <w:jc w:val="center"/>
              <w:rPr>
                <w:rFonts w:eastAsia="宋体"/>
                <w:color w:val="005096"/>
                <w:kern w:val="0"/>
                <w:sz w:val="18"/>
                <w:szCs w:val="18"/>
              </w:rPr>
            </w:pPr>
            <w:r w:rsidRPr="0015501D">
              <w:rPr>
                <w:rFonts w:eastAsia="宋体" w:hint="eastAsia"/>
                <w:color w:val="005096"/>
                <w:kern w:val="0"/>
                <w:sz w:val="18"/>
                <w:szCs w:val="18"/>
              </w:rPr>
              <w:t>云南新立</w:t>
            </w:r>
          </w:p>
        </w:tc>
        <w:tc>
          <w:tcPr>
            <w:tcW w:w="1323"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32</w:t>
            </w:r>
          </w:p>
        </w:tc>
        <w:tc>
          <w:tcPr>
            <w:tcW w:w="993" w:type="dxa"/>
            <w:tcBorders>
              <w:left w:val="nil"/>
              <w:right w:val="nil"/>
            </w:tcBorders>
            <w:vAlign w:val="center"/>
          </w:tcPr>
          <w:p w:rsidR="0015501D" w:rsidRPr="0015501D" w:rsidRDefault="0015501D" w:rsidP="0015501D">
            <w:pPr>
              <w:jc w:val="center"/>
              <w:textAlignment w:val="center"/>
              <w:rPr>
                <w:rFonts w:eastAsia="宋体"/>
                <w:sz w:val="18"/>
                <w:szCs w:val="16"/>
              </w:rPr>
            </w:pP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氯化法</w:t>
            </w:r>
          </w:p>
        </w:tc>
        <w:tc>
          <w:tcPr>
            <w:tcW w:w="1951"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sz w:val="18"/>
                <w:szCs w:val="16"/>
              </w:rPr>
              <w:t>未建</w:t>
            </w:r>
          </w:p>
        </w:tc>
      </w:tr>
      <w:tr w:rsidR="0015501D" w:rsidRPr="0015501D" w:rsidTr="003A3DAA">
        <w:trPr>
          <w:trHeight w:val="265"/>
        </w:trPr>
        <w:tc>
          <w:tcPr>
            <w:tcW w:w="945" w:type="dxa"/>
            <w:tcBorders>
              <w:left w:val="nil"/>
              <w:bottom w:val="single" w:sz="8" w:space="0" w:color="1F497D"/>
              <w:right w:val="nil"/>
            </w:tcBorders>
            <w:shd w:val="clear" w:color="auto" w:fill="DBE5F1"/>
            <w:noWrap/>
            <w:vAlign w:val="center"/>
          </w:tcPr>
          <w:p w:rsidR="0015501D" w:rsidRPr="0015501D" w:rsidRDefault="0015501D" w:rsidP="0015501D">
            <w:pPr>
              <w:widowControl/>
              <w:jc w:val="center"/>
              <w:rPr>
                <w:rFonts w:eastAsia="宋体"/>
                <w:b/>
                <w:color w:val="005096"/>
                <w:kern w:val="0"/>
                <w:sz w:val="18"/>
                <w:szCs w:val="18"/>
              </w:rPr>
            </w:pPr>
            <w:r w:rsidRPr="0015501D">
              <w:rPr>
                <w:rFonts w:eastAsia="宋体" w:hint="eastAsia"/>
                <w:b/>
                <w:color w:val="005096"/>
                <w:kern w:val="0"/>
                <w:sz w:val="18"/>
                <w:szCs w:val="18"/>
              </w:rPr>
              <w:t>合计</w:t>
            </w:r>
          </w:p>
        </w:tc>
        <w:tc>
          <w:tcPr>
            <w:tcW w:w="1323" w:type="dxa"/>
            <w:tcBorders>
              <w:left w:val="nil"/>
              <w:bottom w:val="single" w:sz="8" w:space="0" w:color="1F497D"/>
              <w:right w:val="nil"/>
            </w:tcBorders>
            <w:shd w:val="clear" w:color="auto" w:fill="DBE5F1"/>
            <w:vAlign w:val="center"/>
          </w:tcPr>
          <w:p w:rsidR="0015501D" w:rsidRPr="0015501D" w:rsidRDefault="0015501D" w:rsidP="0015501D">
            <w:pPr>
              <w:jc w:val="center"/>
              <w:textAlignment w:val="center"/>
              <w:rPr>
                <w:rFonts w:eastAsia="宋体"/>
                <w:b/>
                <w:sz w:val="18"/>
                <w:szCs w:val="16"/>
              </w:rPr>
            </w:pPr>
            <w:r w:rsidRPr="0015501D">
              <w:rPr>
                <w:rFonts w:eastAsia="宋体"/>
                <w:b/>
                <w:sz w:val="18"/>
                <w:szCs w:val="16"/>
              </w:rPr>
              <w:t>121</w:t>
            </w:r>
          </w:p>
        </w:tc>
        <w:tc>
          <w:tcPr>
            <w:tcW w:w="993" w:type="dxa"/>
            <w:tcBorders>
              <w:left w:val="nil"/>
              <w:bottom w:val="single" w:sz="8" w:space="0" w:color="1F497D"/>
              <w:right w:val="nil"/>
            </w:tcBorders>
            <w:shd w:val="clear" w:color="auto" w:fill="DBE5F1"/>
            <w:vAlign w:val="center"/>
          </w:tcPr>
          <w:p w:rsidR="0015501D" w:rsidRPr="0015501D" w:rsidRDefault="0015501D" w:rsidP="0015501D">
            <w:pPr>
              <w:jc w:val="center"/>
              <w:textAlignment w:val="center"/>
              <w:rPr>
                <w:rFonts w:eastAsia="宋体"/>
                <w:sz w:val="18"/>
                <w:szCs w:val="16"/>
              </w:rPr>
            </w:pPr>
          </w:p>
        </w:tc>
        <w:tc>
          <w:tcPr>
            <w:tcW w:w="992" w:type="dxa"/>
            <w:tcBorders>
              <w:left w:val="nil"/>
              <w:bottom w:val="single" w:sz="8" w:space="0" w:color="1F497D"/>
              <w:right w:val="nil"/>
            </w:tcBorders>
            <w:shd w:val="clear" w:color="auto" w:fill="DBE5F1"/>
            <w:vAlign w:val="center"/>
          </w:tcPr>
          <w:p w:rsidR="0015501D" w:rsidRPr="0015501D" w:rsidRDefault="0015501D" w:rsidP="0015501D">
            <w:pPr>
              <w:jc w:val="center"/>
              <w:textAlignment w:val="center"/>
              <w:rPr>
                <w:rFonts w:eastAsia="宋体"/>
                <w:sz w:val="18"/>
                <w:szCs w:val="16"/>
              </w:rPr>
            </w:pPr>
          </w:p>
        </w:tc>
        <w:tc>
          <w:tcPr>
            <w:tcW w:w="1951" w:type="dxa"/>
            <w:tcBorders>
              <w:left w:val="nil"/>
              <w:bottom w:val="single" w:sz="8" w:space="0" w:color="1F497D"/>
              <w:right w:val="nil"/>
            </w:tcBorders>
            <w:shd w:val="clear" w:color="auto" w:fill="DBE5F1"/>
            <w:vAlign w:val="center"/>
          </w:tcPr>
          <w:p w:rsidR="0015501D" w:rsidRPr="0015501D" w:rsidRDefault="0015501D" w:rsidP="0015501D">
            <w:pPr>
              <w:jc w:val="center"/>
              <w:textAlignment w:val="center"/>
              <w:rPr>
                <w:rFonts w:eastAsia="宋体"/>
                <w:sz w:val="18"/>
                <w:szCs w:val="16"/>
              </w:rPr>
            </w:pPr>
          </w:p>
        </w:tc>
      </w:tr>
    </w:tbl>
    <w:p w:rsidR="0015501D" w:rsidRPr="0015501D" w:rsidRDefault="0015501D" w:rsidP="005143F4">
      <w:pPr>
        <w:spacing w:afterLines="50" w:line="360" w:lineRule="exact"/>
        <w:rPr>
          <w:sz w:val="16"/>
          <w:szCs w:val="16"/>
        </w:rPr>
      </w:pPr>
      <w:r w:rsidRPr="0015501D">
        <w:rPr>
          <w:rFonts w:hint="eastAsia"/>
          <w:sz w:val="16"/>
          <w:szCs w:val="16"/>
        </w:rPr>
        <w:t>资料来源</w:t>
      </w:r>
      <w:r w:rsidRPr="0015501D">
        <w:rPr>
          <w:sz w:val="16"/>
          <w:szCs w:val="16"/>
        </w:rPr>
        <w:t>：</w:t>
      </w:r>
      <w:r w:rsidRPr="0015501D">
        <w:rPr>
          <w:rFonts w:hint="eastAsia"/>
          <w:sz w:val="16"/>
          <w:szCs w:val="16"/>
        </w:rPr>
        <w:t>民生证券研究院整理</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494722" w:rsidP="0015501D">
      <w:pPr>
        <w:numPr>
          <w:ilvl w:val="0"/>
          <w:numId w:val="29"/>
        </w:numPr>
        <w:spacing w:line="360" w:lineRule="auto"/>
        <w:ind w:rightChars="1000" w:right="2100"/>
        <w:rPr>
          <w:rFonts w:ascii="楷体" w:eastAsia="楷体" w:hAnsi="楷体"/>
          <w:b/>
          <w:szCs w:val="21"/>
        </w:rPr>
      </w:pPr>
      <w:r>
        <w:rPr>
          <w:rFonts w:ascii="楷体" w:eastAsia="楷体" w:hAnsi="楷体" w:hint="eastAsia"/>
          <w:b/>
          <w:szCs w:val="21"/>
        </w:rPr>
        <w:t>受益公司</w:t>
      </w:r>
    </w:p>
    <w:p w:rsidR="0015501D" w:rsidRPr="0015501D" w:rsidRDefault="0015501D" w:rsidP="0015501D">
      <w:pPr>
        <w:spacing w:line="360" w:lineRule="auto"/>
        <w:ind w:rightChars="1000" w:right="2100" w:firstLine="420"/>
        <w:rPr>
          <w:rFonts w:ascii="楷体" w:eastAsia="楷体" w:hAnsi="楷体"/>
          <w:b/>
          <w:szCs w:val="21"/>
        </w:rPr>
      </w:pPr>
      <w:r w:rsidRPr="0015501D">
        <w:rPr>
          <w:rFonts w:ascii="楷体" w:eastAsia="楷体" w:hAnsi="楷体" w:hint="eastAsia"/>
          <w:b/>
          <w:szCs w:val="21"/>
        </w:rPr>
        <w:t>综合以上逻辑和数据，我们对钛白粉的判断是：在国外巨头提价、国内出货顺畅、下游库存较低的背景下，国内钛白</w:t>
      </w:r>
      <w:proofErr w:type="gramStart"/>
      <w:r w:rsidRPr="0015501D">
        <w:rPr>
          <w:rFonts w:ascii="楷体" w:eastAsia="楷体" w:hAnsi="楷体" w:hint="eastAsia"/>
          <w:b/>
          <w:szCs w:val="21"/>
        </w:rPr>
        <w:t>粉具备</w:t>
      </w:r>
      <w:proofErr w:type="gramEnd"/>
      <w:r w:rsidRPr="0015501D">
        <w:rPr>
          <w:rFonts w:ascii="楷体" w:eastAsia="楷体" w:hAnsi="楷体" w:hint="eastAsia"/>
          <w:b/>
          <w:szCs w:val="21"/>
        </w:rPr>
        <w:t>持续反弹条件。钛白</w:t>
      </w:r>
      <w:proofErr w:type="gramStart"/>
      <w:r w:rsidRPr="0015501D">
        <w:rPr>
          <w:rFonts w:ascii="楷体" w:eastAsia="楷体" w:hAnsi="楷体" w:hint="eastAsia"/>
          <w:b/>
          <w:szCs w:val="21"/>
        </w:rPr>
        <w:t>粉反弹</w:t>
      </w:r>
      <w:proofErr w:type="gramEnd"/>
      <w:r w:rsidRPr="0015501D">
        <w:rPr>
          <w:rFonts w:ascii="楷体" w:eastAsia="楷体" w:hAnsi="楷体" w:hint="eastAsia"/>
          <w:b/>
          <w:szCs w:val="21"/>
        </w:rPr>
        <w:t>有较强的持续性，预计春节后钛白</w:t>
      </w:r>
      <w:proofErr w:type="gramStart"/>
      <w:r w:rsidRPr="0015501D">
        <w:rPr>
          <w:rFonts w:ascii="楷体" w:eastAsia="楷体" w:hAnsi="楷体" w:hint="eastAsia"/>
          <w:b/>
          <w:szCs w:val="21"/>
        </w:rPr>
        <w:t>粉还有</w:t>
      </w:r>
      <w:proofErr w:type="gramEnd"/>
      <w:r w:rsidRPr="0015501D">
        <w:rPr>
          <w:rFonts w:ascii="楷体" w:eastAsia="楷体" w:hAnsi="楷体" w:hint="eastAsia"/>
          <w:b/>
          <w:szCs w:val="21"/>
        </w:rPr>
        <w:t>1-2次调价，幅度在300~600元。长期来看，钛白粉依旧处于景气底部区域，在需求端渐渐改善，供给端去产能、节能环保等相关政策推动下，行业有望逐步回暖，全年涨价或超预期。股票推荐顺序：佰利联、安纳达、中核钛白。</w:t>
      </w:r>
    </w:p>
    <w:p w:rsidR="0015501D" w:rsidRPr="0015501D" w:rsidRDefault="0015501D" w:rsidP="0015501D">
      <w:pPr>
        <w:spacing w:line="360" w:lineRule="exact"/>
        <w:rPr>
          <w:b/>
          <w:color w:val="005096"/>
          <w:sz w:val="18"/>
          <w:szCs w:val="20"/>
        </w:rPr>
      </w:pPr>
      <w:bookmarkStart w:id="22" w:name="_Toc440897117"/>
      <w:r w:rsidRPr="0015501D">
        <w:rPr>
          <w:rFonts w:hint="eastAsia"/>
          <w:b/>
          <w:color w:val="005096"/>
          <w:sz w:val="18"/>
          <w:szCs w:val="20"/>
        </w:rPr>
        <w:t>表</w:t>
      </w:r>
      <w:r w:rsidRPr="0015501D">
        <w:rPr>
          <w:b/>
          <w:color w:val="005096"/>
          <w:sz w:val="18"/>
          <w:szCs w:val="20"/>
        </w:rPr>
        <w:t>1</w:t>
      </w:r>
      <w:r w:rsidR="007A307A">
        <w:rPr>
          <w:b/>
          <w:color w:val="005096"/>
          <w:sz w:val="18"/>
          <w:szCs w:val="20"/>
        </w:rPr>
        <w:t>0</w:t>
      </w:r>
      <w:r w:rsidRPr="0015501D">
        <w:rPr>
          <w:rFonts w:hint="eastAsia"/>
          <w:b/>
          <w:color w:val="005096"/>
          <w:sz w:val="18"/>
          <w:szCs w:val="20"/>
        </w:rPr>
        <w:t>：</w:t>
      </w:r>
      <w:r w:rsidRPr="0015501D">
        <w:rPr>
          <w:b/>
          <w:color w:val="005096"/>
          <w:sz w:val="18"/>
          <w:szCs w:val="20"/>
        </w:rPr>
        <w:t>钛白粉行业公司</w:t>
      </w:r>
      <w:r w:rsidRPr="0015501D">
        <w:rPr>
          <w:rFonts w:hint="eastAsia"/>
          <w:b/>
          <w:color w:val="005096"/>
          <w:sz w:val="18"/>
          <w:szCs w:val="20"/>
        </w:rPr>
        <w:t>产能</w:t>
      </w:r>
      <w:r w:rsidRPr="0015501D">
        <w:rPr>
          <w:rFonts w:hint="eastAsia"/>
          <w:b/>
          <w:color w:val="005096"/>
          <w:sz w:val="18"/>
          <w:szCs w:val="20"/>
        </w:rPr>
        <w:t>/</w:t>
      </w:r>
      <w:r w:rsidRPr="0015501D">
        <w:rPr>
          <w:rFonts w:hint="eastAsia"/>
          <w:b/>
          <w:color w:val="005096"/>
          <w:sz w:val="18"/>
          <w:szCs w:val="20"/>
        </w:rPr>
        <w:t>市值</w:t>
      </w:r>
      <w:r w:rsidRPr="0015501D">
        <w:rPr>
          <w:b/>
          <w:color w:val="005096"/>
          <w:sz w:val="18"/>
          <w:szCs w:val="20"/>
        </w:rPr>
        <w:t>弹性</w:t>
      </w:r>
      <w:bookmarkEnd w:id="22"/>
    </w:p>
    <w:tbl>
      <w:tblPr>
        <w:tblW w:w="7945" w:type="dxa"/>
        <w:tblInd w:w="108" w:type="dxa"/>
        <w:tblBorders>
          <w:top w:val="single" w:sz="4" w:space="0" w:color="005096"/>
          <w:bottom w:val="single" w:sz="4" w:space="0" w:color="005096"/>
        </w:tblBorders>
        <w:tblLook w:val="04A0"/>
      </w:tblPr>
      <w:tblGrid>
        <w:gridCol w:w="1188"/>
        <w:gridCol w:w="939"/>
        <w:gridCol w:w="1559"/>
        <w:gridCol w:w="999"/>
        <w:gridCol w:w="1552"/>
        <w:gridCol w:w="1708"/>
      </w:tblGrid>
      <w:tr w:rsidR="0015501D" w:rsidRPr="0015501D" w:rsidTr="003A3DAA">
        <w:trPr>
          <w:trHeight w:val="270"/>
        </w:trPr>
        <w:tc>
          <w:tcPr>
            <w:tcW w:w="1188"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代码</w:t>
            </w:r>
          </w:p>
        </w:tc>
        <w:tc>
          <w:tcPr>
            <w:tcW w:w="93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股票</w:t>
            </w:r>
          </w:p>
        </w:tc>
        <w:tc>
          <w:tcPr>
            <w:tcW w:w="155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股价</w:t>
            </w:r>
            <w:r w:rsidRPr="0015501D">
              <w:rPr>
                <w:rFonts w:ascii="Arial" w:hAnsi="Arial" w:hint="eastAsia"/>
                <w:b/>
                <w:sz w:val="16"/>
                <w:szCs w:val="16"/>
              </w:rPr>
              <w:t>(</w:t>
            </w:r>
            <w:r w:rsidRPr="0015501D">
              <w:rPr>
                <w:rFonts w:ascii="Arial" w:hAnsi="Arial"/>
                <w:b/>
                <w:sz w:val="16"/>
                <w:szCs w:val="16"/>
              </w:rPr>
              <w:t>2016-01-15</w:t>
            </w:r>
            <w:r w:rsidRPr="0015501D">
              <w:rPr>
                <w:rFonts w:ascii="Arial" w:hAnsi="Arial" w:hint="eastAsia"/>
                <w:b/>
                <w:sz w:val="16"/>
                <w:szCs w:val="16"/>
              </w:rPr>
              <w:t>)</w:t>
            </w:r>
          </w:p>
        </w:tc>
        <w:tc>
          <w:tcPr>
            <w:tcW w:w="99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市值</w:t>
            </w:r>
            <w:r w:rsidRPr="0015501D">
              <w:rPr>
                <w:rFonts w:ascii="Arial" w:hAnsi="Arial" w:hint="eastAsia"/>
                <w:b/>
                <w:sz w:val="16"/>
                <w:szCs w:val="16"/>
              </w:rPr>
              <w:t>(</w:t>
            </w:r>
            <w:r w:rsidRPr="0015501D">
              <w:rPr>
                <w:rFonts w:ascii="Arial" w:hAnsi="Arial" w:hint="eastAsia"/>
                <w:b/>
                <w:sz w:val="16"/>
                <w:szCs w:val="16"/>
              </w:rPr>
              <w:t>亿</w:t>
            </w:r>
            <w:r w:rsidRPr="0015501D">
              <w:rPr>
                <w:rFonts w:ascii="Arial" w:hAnsi="Arial" w:hint="eastAsia"/>
                <w:b/>
                <w:sz w:val="16"/>
                <w:szCs w:val="16"/>
              </w:rPr>
              <w:t>)</w:t>
            </w:r>
          </w:p>
        </w:tc>
        <w:tc>
          <w:tcPr>
            <w:tcW w:w="1552"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钛白粉产能</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1708"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弹性</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r w:rsidRPr="0015501D">
              <w:rPr>
                <w:rFonts w:ascii="Arial" w:hAnsi="Arial" w:hint="eastAsia"/>
                <w:b/>
                <w:sz w:val="16"/>
                <w:szCs w:val="16"/>
              </w:rPr>
              <w:t>亿</w:t>
            </w:r>
            <w:r w:rsidRPr="0015501D">
              <w:rPr>
                <w:rFonts w:ascii="Arial" w:hAnsi="Arial"/>
                <w:b/>
                <w:sz w:val="16"/>
                <w:szCs w:val="16"/>
              </w:rPr>
              <w:t>市值</w:t>
            </w:r>
            <w:r w:rsidRPr="0015501D">
              <w:rPr>
                <w:rFonts w:ascii="Arial" w:hAnsi="Arial" w:hint="eastAsia"/>
                <w:b/>
                <w:sz w:val="16"/>
                <w:szCs w:val="16"/>
              </w:rPr>
              <w:t>)</w:t>
            </w:r>
          </w:p>
        </w:tc>
      </w:tr>
      <w:tr w:rsidR="0015501D" w:rsidRPr="0015501D" w:rsidTr="003A3DAA">
        <w:trPr>
          <w:trHeight w:val="270"/>
        </w:trPr>
        <w:tc>
          <w:tcPr>
            <w:tcW w:w="1188" w:type="dxa"/>
            <w:tcBorders>
              <w:top w:val="single" w:sz="4" w:space="0" w:color="005096"/>
            </w:tcBorders>
            <w:shd w:val="clear" w:color="auto" w:fill="auto"/>
            <w:noWrap/>
            <w:vAlign w:val="center"/>
            <w:hideMark/>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002601</w:t>
            </w:r>
          </w:p>
        </w:tc>
        <w:tc>
          <w:tcPr>
            <w:tcW w:w="939" w:type="dxa"/>
            <w:tcBorders>
              <w:top w:val="single" w:sz="4" w:space="0" w:color="005096"/>
            </w:tcBorders>
            <w:shd w:val="clear" w:color="auto" w:fill="auto"/>
            <w:noWrap/>
            <w:vAlign w:val="center"/>
            <w:hideMark/>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佰利联</w:t>
            </w:r>
          </w:p>
        </w:tc>
        <w:tc>
          <w:tcPr>
            <w:tcW w:w="1559" w:type="dxa"/>
            <w:tcBorders>
              <w:top w:val="single" w:sz="4" w:space="0" w:color="005096"/>
            </w:tcBorders>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32.48</w:t>
            </w:r>
          </w:p>
        </w:tc>
        <w:tc>
          <w:tcPr>
            <w:tcW w:w="999" w:type="dxa"/>
            <w:tcBorders>
              <w:top w:val="single" w:sz="4" w:space="0" w:color="005096"/>
            </w:tcBorders>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66.4 </w:t>
            </w:r>
          </w:p>
        </w:tc>
        <w:tc>
          <w:tcPr>
            <w:tcW w:w="1552" w:type="dxa"/>
            <w:tcBorders>
              <w:top w:val="single" w:sz="4" w:space="0" w:color="005096"/>
            </w:tcBorders>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26</w:t>
            </w:r>
          </w:p>
        </w:tc>
        <w:tc>
          <w:tcPr>
            <w:tcW w:w="1708" w:type="dxa"/>
            <w:tcBorders>
              <w:top w:val="single" w:sz="4" w:space="0" w:color="005096"/>
            </w:tcBorders>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0.39</w:t>
            </w:r>
          </w:p>
        </w:tc>
      </w:tr>
      <w:tr w:rsidR="0015501D" w:rsidRPr="0015501D" w:rsidTr="003A3DAA">
        <w:trPr>
          <w:trHeight w:val="270"/>
        </w:trPr>
        <w:tc>
          <w:tcPr>
            <w:tcW w:w="1188" w:type="dxa"/>
            <w:shd w:val="clear" w:color="auto" w:fill="auto"/>
            <w:noWrap/>
            <w:vAlign w:val="center"/>
            <w:hideMark/>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002136</w:t>
            </w:r>
          </w:p>
        </w:tc>
        <w:tc>
          <w:tcPr>
            <w:tcW w:w="939" w:type="dxa"/>
            <w:shd w:val="clear" w:color="auto" w:fill="auto"/>
            <w:noWrap/>
            <w:vAlign w:val="center"/>
            <w:hideMark/>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安纳达</w:t>
            </w:r>
          </w:p>
        </w:tc>
        <w:tc>
          <w:tcPr>
            <w:tcW w:w="1559"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11.41</w:t>
            </w:r>
          </w:p>
        </w:tc>
        <w:tc>
          <w:tcPr>
            <w:tcW w:w="999"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24.5 </w:t>
            </w:r>
          </w:p>
        </w:tc>
        <w:tc>
          <w:tcPr>
            <w:tcW w:w="1552"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12</w:t>
            </w:r>
          </w:p>
        </w:tc>
        <w:tc>
          <w:tcPr>
            <w:tcW w:w="1708"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0.48</w:t>
            </w:r>
          </w:p>
        </w:tc>
      </w:tr>
      <w:tr w:rsidR="0015501D" w:rsidRPr="0015501D" w:rsidTr="003A3DAA">
        <w:trPr>
          <w:trHeight w:val="270"/>
        </w:trPr>
        <w:tc>
          <w:tcPr>
            <w:tcW w:w="1188" w:type="dxa"/>
            <w:shd w:val="clear" w:color="auto" w:fill="auto"/>
            <w:noWrap/>
            <w:vAlign w:val="center"/>
            <w:hideMark/>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002145</w:t>
            </w:r>
          </w:p>
        </w:tc>
        <w:tc>
          <w:tcPr>
            <w:tcW w:w="939" w:type="dxa"/>
            <w:shd w:val="clear" w:color="auto" w:fill="auto"/>
            <w:noWrap/>
            <w:vAlign w:val="center"/>
            <w:hideMark/>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中核钛白</w:t>
            </w:r>
          </w:p>
        </w:tc>
        <w:tc>
          <w:tcPr>
            <w:tcW w:w="1559"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12.51</w:t>
            </w:r>
          </w:p>
        </w:tc>
        <w:tc>
          <w:tcPr>
            <w:tcW w:w="999"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67.0 </w:t>
            </w:r>
          </w:p>
        </w:tc>
        <w:tc>
          <w:tcPr>
            <w:tcW w:w="1552"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w:t>
            </w:r>
          </w:p>
        </w:tc>
        <w:tc>
          <w:tcPr>
            <w:tcW w:w="1708"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0.30</w:t>
            </w:r>
          </w:p>
        </w:tc>
      </w:tr>
      <w:tr w:rsidR="0015501D" w:rsidRPr="0015501D" w:rsidTr="003A3DAA">
        <w:trPr>
          <w:trHeight w:val="270"/>
        </w:trPr>
        <w:tc>
          <w:tcPr>
            <w:tcW w:w="1188" w:type="dxa"/>
            <w:shd w:val="clear" w:color="auto" w:fill="auto"/>
            <w:noWrap/>
            <w:vAlign w:val="center"/>
            <w:hideMark/>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000545</w:t>
            </w:r>
          </w:p>
        </w:tc>
        <w:tc>
          <w:tcPr>
            <w:tcW w:w="939" w:type="dxa"/>
            <w:shd w:val="clear" w:color="auto" w:fill="auto"/>
            <w:noWrap/>
            <w:vAlign w:val="center"/>
            <w:hideMark/>
          </w:tcPr>
          <w:p w:rsidR="0015501D" w:rsidRPr="0015501D" w:rsidRDefault="0015501D" w:rsidP="0015501D">
            <w:pPr>
              <w:jc w:val="center"/>
              <w:textAlignment w:val="center"/>
              <w:rPr>
                <w:rFonts w:eastAsia="宋体"/>
                <w:color w:val="005096"/>
                <w:sz w:val="18"/>
                <w:szCs w:val="16"/>
              </w:rPr>
            </w:pPr>
            <w:proofErr w:type="gramStart"/>
            <w:r w:rsidRPr="0015501D">
              <w:rPr>
                <w:rFonts w:eastAsia="宋体" w:hint="eastAsia"/>
                <w:color w:val="005096"/>
                <w:sz w:val="18"/>
                <w:szCs w:val="16"/>
              </w:rPr>
              <w:t>金浦钛业</w:t>
            </w:r>
            <w:proofErr w:type="gramEnd"/>
          </w:p>
        </w:tc>
        <w:tc>
          <w:tcPr>
            <w:tcW w:w="1559"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6.4</w:t>
            </w:r>
          </w:p>
        </w:tc>
        <w:tc>
          <w:tcPr>
            <w:tcW w:w="999"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63.2 </w:t>
            </w:r>
          </w:p>
        </w:tc>
        <w:tc>
          <w:tcPr>
            <w:tcW w:w="1552"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18</w:t>
            </w:r>
          </w:p>
        </w:tc>
        <w:tc>
          <w:tcPr>
            <w:tcW w:w="1708" w:type="dxa"/>
            <w:shd w:val="clear" w:color="auto" w:fill="auto"/>
            <w:noWrap/>
            <w:vAlign w:val="center"/>
            <w:hideMark/>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0.28</w:t>
            </w:r>
          </w:p>
        </w:tc>
      </w:tr>
    </w:tbl>
    <w:p w:rsidR="0015501D" w:rsidRPr="0015501D" w:rsidRDefault="0015501D" w:rsidP="005143F4">
      <w:pPr>
        <w:spacing w:afterLines="50" w:line="360" w:lineRule="exact"/>
        <w:rPr>
          <w:sz w:val="16"/>
          <w:szCs w:val="16"/>
        </w:rPr>
      </w:pPr>
      <w:r w:rsidRPr="0015501D">
        <w:rPr>
          <w:rFonts w:hint="eastAsia"/>
          <w:sz w:val="16"/>
          <w:szCs w:val="16"/>
        </w:rPr>
        <w:lastRenderedPageBreak/>
        <w:t>资料来源</w:t>
      </w:r>
      <w:r w:rsidRPr="0015501D">
        <w:rPr>
          <w:sz w:val="16"/>
          <w:szCs w:val="16"/>
        </w:rPr>
        <w:t>：</w:t>
      </w:r>
      <w:r w:rsidRPr="0015501D">
        <w:rPr>
          <w:rFonts w:hint="eastAsia"/>
          <w:sz w:val="16"/>
          <w:szCs w:val="16"/>
        </w:rPr>
        <w:t>Wind</w:t>
      </w:r>
      <w:r w:rsidRPr="0015501D">
        <w:rPr>
          <w:rFonts w:hint="eastAsia"/>
          <w:sz w:val="16"/>
          <w:szCs w:val="16"/>
        </w:rPr>
        <w:t>资讯</w:t>
      </w:r>
      <w:r w:rsidRPr="0015501D">
        <w:rPr>
          <w:sz w:val="16"/>
          <w:szCs w:val="16"/>
        </w:rPr>
        <w:t>、民生证券研究院整理</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15501D" w:rsidP="0015501D">
      <w:pPr>
        <w:numPr>
          <w:ilvl w:val="0"/>
          <w:numId w:val="11"/>
        </w:numPr>
        <w:spacing w:line="360" w:lineRule="auto"/>
        <w:ind w:rightChars="1000" w:right="2100"/>
        <w:rPr>
          <w:rFonts w:ascii="楷体" w:eastAsia="楷体" w:hAnsi="楷体"/>
          <w:b/>
          <w:szCs w:val="21"/>
        </w:rPr>
      </w:pPr>
      <w:r w:rsidRPr="0015501D">
        <w:rPr>
          <w:rFonts w:ascii="楷体" w:eastAsia="楷体" w:hAnsi="楷体" w:hint="eastAsia"/>
          <w:b/>
          <w:szCs w:val="21"/>
        </w:rPr>
        <w:t>PTA行业集中度高，反弹基础较好</w:t>
      </w:r>
    </w:p>
    <w:p w:rsidR="0015501D" w:rsidRPr="0015501D" w:rsidRDefault="0015501D" w:rsidP="005143F4">
      <w:pPr>
        <w:spacing w:afterLines="50" w:line="360" w:lineRule="exact"/>
        <w:rPr>
          <w:sz w:val="16"/>
          <w:szCs w:val="16"/>
        </w:rPr>
      </w:pPr>
    </w:p>
    <w:p w:rsidR="0015501D" w:rsidRPr="0015501D" w:rsidRDefault="00F33329" w:rsidP="0015501D">
      <w:pPr>
        <w:numPr>
          <w:ilvl w:val="0"/>
          <w:numId w:val="35"/>
        </w:numPr>
        <w:spacing w:line="360" w:lineRule="auto"/>
        <w:ind w:rightChars="1000" w:right="2100"/>
        <w:rPr>
          <w:rFonts w:ascii="楷体" w:eastAsia="楷体" w:hAnsi="楷体"/>
          <w:b/>
          <w:szCs w:val="21"/>
        </w:rPr>
      </w:pPr>
      <w:r>
        <w:rPr>
          <w:rFonts w:ascii="楷体" w:eastAsia="楷体" w:hAnsi="楷体" w:hint="eastAsia"/>
          <w:b/>
          <w:szCs w:val="21"/>
        </w:rPr>
        <w:t>产能利用情况：</w:t>
      </w:r>
      <w:r w:rsidR="0015501D" w:rsidRPr="0015501D">
        <w:rPr>
          <w:rFonts w:ascii="楷体" w:eastAsia="楷体" w:hAnsi="楷体" w:hint="eastAsia"/>
          <w:b/>
          <w:szCs w:val="21"/>
        </w:rPr>
        <w:t>产能增速放缓，产能扩张进入尾声</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PTA是聚酯产业链中过剩最严重的环节，2014年再次迎来了产能爆发性增长，新增产能1000万吨，总产能至4320万吨。2015年新增345万吨，增速降至8%，PTA总产能达到4667万吨。我们详细调查了国内拟投、在建、拟建、规划的13个PTA项目共计1990万吨产能(表15)，未来投产可能性较大的仅有890万吨，其中2016年320万吨，2017-2018年570万吨。</w:t>
      </w:r>
      <w:proofErr w:type="gramStart"/>
      <w:r w:rsidRPr="0015501D">
        <w:rPr>
          <w:rFonts w:ascii="楷体" w:eastAsia="楷体" w:hAnsi="楷体" w:hint="eastAsia"/>
          <w:szCs w:val="21"/>
        </w:rPr>
        <w:t>此外已</w:t>
      </w:r>
      <w:proofErr w:type="gramEnd"/>
      <w:r w:rsidRPr="0015501D">
        <w:rPr>
          <w:rFonts w:ascii="楷体" w:eastAsia="楷体" w:hAnsi="楷体" w:hint="eastAsia"/>
          <w:szCs w:val="21"/>
        </w:rPr>
        <w:t>宣称的其他产能1100万吨，因各种原因有的已</w:t>
      </w:r>
      <w:proofErr w:type="gramStart"/>
      <w:r w:rsidRPr="0015501D">
        <w:rPr>
          <w:rFonts w:ascii="楷体" w:eastAsia="楷体" w:hAnsi="楷体" w:hint="eastAsia"/>
          <w:szCs w:val="21"/>
        </w:rPr>
        <w:t>无建设</w:t>
      </w:r>
      <w:proofErr w:type="gramEnd"/>
      <w:r w:rsidRPr="0015501D">
        <w:rPr>
          <w:rFonts w:ascii="楷体" w:eastAsia="楷体" w:hAnsi="楷体" w:hint="eastAsia"/>
          <w:szCs w:val="21"/>
        </w:rPr>
        <w:t>意向有的改投其他项目，建设遥遥无期，投产可能性不大。未来三年PTA产能增速将放缓至6%左右。</w:t>
      </w:r>
    </w:p>
    <w:tbl>
      <w:tblPr>
        <w:tblW w:w="4962" w:type="dxa"/>
        <w:tblInd w:w="108" w:type="dxa"/>
        <w:tblBorders>
          <w:bottom w:val="single" w:sz="8" w:space="0" w:color="005096"/>
        </w:tblBorders>
        <w:tblLayout w:type="fixed"/>
        <w:tblLook w:val="00A0"/>
      </w:tblPr>
      <w:tblGrid>
        <w:gridCol w:w="4962"/>
      </w:tblGrid>
      <w:tr w:rsidR="0015501D" w:rsidRPr="0015501D" w:rsidTr="003A3DAA">
        <w:trPr>
          <w:trHeight w:hRule="exact" w:val="454"/>
        </w:trPr>
        <w:tc>
          <w:tcPr>
            <w:tcW w:w="4962" w:type="dxa"/>
            <w:tcBorders>
              <w:bottom w:val="single" w:sz="8" w:space="0" w:color="005096"/>
            </w:tcBorders>
            <w:vAlign w:val="bottom"/>
          </w:tcPr>
          <w:p w:rsidR="0015501D" w:rsidRPr="0015501D" w:rsidRDefault="0015501D" w:rsidP="005D7D5C">
            <w:pPr>
              <w:spacing w:line="360" w:lineRule="exact"/>
              <w:rPr>
                <w:b/>
                <w:color w:val="005096"/>
                <w:sz w:val="18"/>
                <w:szCs w:val="20"/>
              </w:rPr>
            </w:pPr>
            <w:bookmarkStart w:id="23" w:name="_Toc440897089"/>
            <w:r w:rsidRPr="0015501D">
              <w:rPr>
                <w:rFonts w:hint="eastAsia"/>
                <w:b/>
                <w:color w:val="005096"/>
                <w:sz w:val="18"/>
                <w:szCs w:val="20"/>
              </w:rPr>
              <w:t>图</w:t>
            </w:r>
            <w:r w:rsidRPr="0015501D">
              <w:rPr>
                <w:b/>
                <w:color w:val="005096"/>
                <w:sz w:val="18"/>
                <w:szCs w:val="20"/>
              </w:rPr>
              <w:t>3</w:t>
            </w:r>
            <w:r w:rsidR="005D7D5C">
              <w:rPr>
                <w:b/>
                <w:color w:val="005096"/>
                <w:sz w:val="18"/>
                <w:szCs w:val="20"/>
              </w:rPr>
              <w:t>8</w:t>
            </w:r>
            <w:r w:rsidRPr="0015501D">
              <w:rPr>
                <w:rFonts w:hint="eastAsia"/>
                <w:b/>
                <w:color w:val="005096"/>
                <w:sz w:val="18"/>
                <w:szCs w:val="20"/>
              </w:rPr>
              <w:t>：</w:t>
            </w:r>
            <w:r w:rsidRPr="0015501D">
              <w:rPr>
                <w:rFonts w:hint="eastAsia"/>
                <w:b/>
                <w:color w:val="005096"/>
                <w:sz w:val="18"/>
                <w:szCs w:val="20"/>
              </w:rPr>
              <w:t>PTA</w:t>
            </w:r>
            <w:r w:rsidRPr="0015501D">
              <w:rPr>
                <w:rFonts w:hint="eastAsia"/>
                <w:b/>
                <w:color w:val="005096"/>
                <w:sz w:val="18"/>
                <w:szCs w:val="20"/>
              </w:rPr>
              <w:t>产能</w:t>
            </w:r>
            <w:r w:rsidRPr="0015501D">
              <w:rPr>
                <w:b/>
                <w:color w:val="005096"/>
                <w:sz w:val="18"/>
                <w:szCs w:val="20"/>
              </w:rPr>
              <w:t>扩张</w:t>
            </w:r>
            <w:r w:rsidRPr="0015501D">
              <w:rPr>
                <w:rFonts w:hint="eastAsia"/>
                <w:b/>
                <w:color w:val="005096"/>
                <w:sz w:val="18"/>
                <w:szCs w:val="20"/>
              </w:rPr>
              <w:t>逐渐放缓</w:t>
            </w:r>
            <w:bookmarkEnd w:id="23"/>
          </w:p>
        </w:tc>
      </w:tr>
      <w:tr w:rsidR="0015501D" w:rsidRPr="0015501D" w:rsidTr="003A3DAA">
        <w:trPr>
          <w:trHeight w:val="3205"/>
        </w:trPr>
        <w:tc>
          <w:tcPr>
            <w:tcW w:w="4962" w:type="dxa"/>
            <w:tcBorders>
              <w:top w:val="single" w:sz="8" w:space="0" w:color="005096"/>
            </w:tcBorders>
            <w:vAlign w:val="center"/>
          </w:tcPr>
          <w:p w:rsidR="0015501D" w:rsidRPr="0015501D" w:rsidRDefault="0015501D" w:rsidP="0015501D">
            <w:r w:rsidRPr="0015501D">
              <w:rPr>
                <w:noProof/>
              </w:rPr>
              <w:drawing>
                <wp:inline distT="0" distB="0" distL="0" distR="0">
                  <wp:extent cx="3013710" cy="1989455"/>
                  <wp:effectExtent l="0" t="0" r="15240" b="1079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15501D" w:rsidRPr="0015501D" w:rsidRDefault="0015501D" w:rsidP="005143F4">
      <w:pPr>
        <w:spacing w:afterLines="50" w:line="360" w:lineRule="exact"/>
        <w:rPr>
          <w:sz w:val="16"/>
          <w:szCs w:val="16"/>
        </w:rPr>
      </w:pPr>
      <w:r w:rsidRPr="0015501D">
        <w:rPr>
          <w:rFonts w:hint="eastAsia"/>
          <w:sz w:val="16"/>
          <w:szCs w:val="16"/>
        </w:rPr>
        <w:t>资料来源：民生证券研究院整理</w:t>
      </w:r>
    </w:p>
    <w:p w:rsidR="0015501D" w:rsidRPr="0015501D" w:rsidRDefault="0015501D" w:rsidP="0015501D">
      <w:pPr>
        <w:spacing w:line="360" w:lineRule="exact"/>
        <w:rPr>
          <w:b/>
          <w:color w:val="005096"/>
          <w:sz w:val="18"/>
          <w:szCs w:val="20"/>
          <w:shd w:val="clear" w:color="auto" w:fill="FFFFFF"/>
        </w:rPr>
      </w:pPr>
      <w:bookmarkStart w:id="24" w:name="_Toc440897119"/>
      <w:r w:rsidRPr="0015501D">
        <w:rPr>
          <w:rFonts w:hint="eastAsia"/>
          <w:b/>
          <w:color w:val="005096"/>
          <w:sz w:val="18"/>
          <w:szCs w:val="20"/>
          <w:shd w:val="clear" w:color="auto" w:fill="FFFFFF"/>
        </w:rPr>
        <w:t>表</w:t>
      </w:r>
      <w:r w:rsidRPr="0015501D">
        <w:rPr>
          <w:b/>
          <w:color w:val="005096"/>
          <w:sz w:val="18"/>
          <w:szCs w:val="20"/>
          <w:shd w:val="clear" w:color="auto" w:fill="FFFFFF"/>
        </w:rPr>
        <w:t>1</w:t>
      </w:r>
      <w:r w:rsidR="007A307A">
        <w:rPr>
          <w:b/>
          <w:color w:val="005096"/>
          <w:sz w:val="18"/>
          <w:szCs w:val="20"/>
          <w:shd w:val="clear" w:color="auto" w:fill="FFFFFF"/>
        </w:rPr>
        <w:t>1</w:t>
      </w:r>
      <w:r w:rsidRPr="0015501D">
        <w:rPr>
          <w:rFonts w:hint="eastAsia"/>
          <w:b/>
          <w:color w:val="005096"/>
          <w:sz w:val="18"/>
          <w:szCs w:val="20"/>
          <w:shd w:val="clear" w:color="auto" w:fill="FFFFFF"/>
        </w:rPr>
        <w:t>：</w:t>
      </w:r>
      <w:r w:rsidRPr="0015501D">
        <w:rPr>
          <w:rFonts w:hint="eastAsia"/>
          <w:b/>
          <w:color w:val="005096"/>
          <w:sz w:val="18"/>
          <w:szCs w:val="20"/>
          <w:shd w:val="clear" w:color="auto" w:fill="FFFFFF"/>
        </w:rPr>
        <w:t>201</w:t>
      </w:r>
      <w:r w:rsidRPr="0015501D">
        <w:rPr>
          <w:b/>
          <w:color w:val="005096"/>
          <w:sz w:val="18"/>
          <w:szCs w:val="20"/>
          <w:shd w:val="clear" w:color="auto" w:fill="FFFFFF"/>
        </w:rPr>
        <w:t>5</w:t>
      </w:r>
      <w:r w:rsidRPr="0015501D">
        <w:rPr>
          <w:rFonts w:hint="eastAsia"/>
          <w:b/>
          <w:color w:val="005096"/>
          <w:sz w:val="18"/>
          <w:szCs w:val="20"/>
          <w:shd w:val="clear" w:color="auto" w:fill="FFFFFF"/>
        </w:rPr>
        <w:t>年国内</w:t>
      </w:r>
      <w:r w:rsidRPr="0015501D">
        <w:rPr>
          <w:rFonts w:hint="eastAsia"/>
          <w:b/>
          <w:color w:val="005096"/>
          <w:sz w:val="18"/>
          <w:szCs w:val="20"/>
          <w:shd w:val="clear" w:color="auto" w:fill="FFFFFF"/>
        </w:rPr>
        <w:t>PTA</w:t>
      </w:r>
      <w:r w:rsidRPr="0015501D">
        <w:rPr>
          <w:rFonts w:hint="eastAsia"/>
          <w:b/>
          <w:color w:val="005096"/>
          <w:sz w:val="18"/>
          <w:szCs w:val="20"/>
          <w:shd w:val="clear" w:color="auto" w:fill="FFFFFF"/>
        </w:rPr>
        <w:t>产能列表</w:t>
      </w:r>
      <w:bookmarkEnd w:id="24"/>
    </w:p>
    <w:tbl>
      <w:tblPr>
        <w:tblW w:w="7938" w:type="dxa"/>
        <w:tblInd w:w="108" w:type="dxa"/>
        <w:tblLayout w:type="fixed"/>
        <w:tblLook w:val="00A0"/>
      </w:tblPr>
      <w:tblGrid>
        <w:gridCol w:w="1451"/>
        <w:gridCol w:w="1010"/>
        <w:gridCol w:w="1152"/>
        <w:gridCol w:w="868"/>
        <w:gridCol w:w="1152"/>
        <w:gridCol w:w="1010"/>
        <w:gridCol w:w="1295"/>
      </w:tblGrid>
      <w:tr w:rsidR="0015501D" w:rsidRPr="0015501D" w:rsidTr="003A3DAA">
        <w:trPr>
          <w:trHeight w:val="285"/>
        </w:trPr>
        <w:tc>
          <w:tcPr>
            <w:tcW w:w="1451" w:type="dxa"/>
            <w:tcBorders>
              <w:top w:val="single" w:sz="8" w:space="0" w:color="005096"/>
              <w:left w:val="nil"/>
              <w:bottom w:val="single" w:sz="8" w:space="0" w:color="005096"/>
              <w:right w:val="nil"/>
            </w:tcBorders>
            <w:shd w:val="clear" w:color="auto" w:fill="auto"/>
            <w:noWrap/>
            <w:vAlign w:val="center"/>
          </w:tcPr>
          <w:p w:rsidR="0015501D" w:rsidRPr="0015501D" w:rsidRDefault="0015501D" w:rsidP="0015501D">
            <w:pPr>
              <w:jc w:val="center"/>
              <w:rPr>
                <w:rFonts w:ascii="Arial" w:hAnsi="Arial"/>
                <w:b/>
                <w:sz w:val="16"/>
                <w:szCs w:val="16"/>
              </w:rPr>
            </w:pPr>
            <w:r w:rsidRPr="0015501D">
              <w:rPr>
                <w:rFonts w:ascii="Arial" w:hAnsi="Arial" w:hint="eastAsia"/>
                <w:b/>
                <w:sz w:val="16"/>
                <w:szCs w:val="16"/>
              </w:rPr>
              <w:t>企业</w:t>
            </w:r>
          </w:p>
        </w:tc>
        <w:tc>
          <w:tcPr>
            <w:tcW w:w="1010" w:type="dxa"/>
            <w:tcBorders>
              <w:top w:val="single" w:sz="8" w:space="0" w:color="005096"/>
              <w:left w:val="nil"/>
              <w:bottom w:val="single" w:sz="8" w:space="0" w:color="005096"/>
              <w:right w:val="nil"/>
            </w:tcBorders>
            <w:shd w:val="clear" w:color="auto" w:fill="auto"/>
          </w:tcPr>
          <w:p w:rsidR="0015501D" w:rsidRPr="0015501D" w:rsidRDefault="0015501D" w:rsidP="0015501D">
            <w:pPr>
              <w:jc w:val="center"/>
              <w:rPr>
                <w:rFonts w:ascii="Arial" w:hAnsi="Arial"/>
                <w:b/>
                <w:sz w:val="16"/>
                <w:szCs w:val="16"/>
              </w:rPr>
            </w:pPr>
            <w:r w:rsidRPr="0015501D">
              <w:rPr>
                <w:rFonts w:ascii="Arial" w:hAnsi="Arial" w:hint="eastAsia"/>
                <w:b/>
                <w:sz w:val="16"/>
                <w:szCs w:val="16"/>
              </w:rPr>
              <w:t>地点</w:t>
            </w:r>
          </w:p>
        </w:tc>
        <w:tc>
          <w:tcPr>
            <w:tcW w:w="1152" w:type="dxa"/>
            <w:tcBorders>
              <w:top w:val="single" w:sz="8" w:space="0" w:color="005096"/>
              <w:left w:val="nil"/>
              <w:bottom w:val="single" w:sz="8" w:space="0" w:color="005096"/>
              <w:right w:val="nil"/>
            </w:tcBorders>
            <w:shd w:val="clear" w:color="auto" w:fill="auto"/>
            <w:vAlign w:val="center"/>
          </w:tcPr>
          <w:p w:rsidR="0015501D" w:rsidRPr="0015501D" w:rsidRDefault="0015501D" w:rsidP="0015501D">
            <w:pPr>
              <w:jc w:val="center"/>
              <w:rPr>
                <w:rFonts w:ascii="Arial" w:hAnsi="Arial"/>
                <w:b/>
                <w:sz w:val="16"/>
                <w:szCs w:val="16"/>
              </w:rPr>
            </w:pPr>
            <w:r w:rsidRPr="0015501D">
              <w:rPr>
                <w:rFonts w:ascii="Arial" w:hAnsi="Arial" w:hint="eastAsia"/>
                <w:b/>
                <w:sz w:val="16"/>
                <w:szCs w:val="16"/>
              </w:rPr>
              <w:t>集团</w:t>
            </w:r>
          </w:p>
        </w:tc>
        <w:tc>
          <w:tcPr>
            <w:tcW w:w="868" w:type="dxa"/>
            <w:tcBorders>
              <w:top w:val="single" w:sz="8" w:space="0" w:color="005096"/>
              <w:left w:val="nil"/>
              <w:bottom w:val="single" w:sz="8" w:space="0" w:color="005096"/>
              <w:right w:val="nil"/>
            </w:tcBorders>
            <w:shd w:val="clear" w:color="auto" w:fill="auto"/>
          </w:tcPr>
          <w:p w:rsidR="0015501D" w:rsidRPr="0015501D" w:rsidRDefault="0015501D" w:rsidP="0015501D">
            <w:pPr>
              <w:jc w:val="center"/>
              <w:rPr>
                <w:rFonts w:ascii="Arial" w:hAnsi="Arial"/>
                <w:b/>
                <w:sz w:val="16"/>
                <w:szCs w:val="16"/>
              </w:rPr>
            </w:pPr>
            <w:r w:rsidRPr="0015501D">
              <w:rPr>
                <w:rFonts w:ascii="Arial" w:hAnsi="Arial" w:hint="eastAsia"/>
                <w:b/>
                <w:sz w:val="16"/>
                <w:szCs w:val="16"/>
              </w:rPr>
              <w:t>生产线</w:t>
            </w:r>
          </w:p>
        </w:tc>
        <w:tc>
          <w:tcPr>
            <w:tcW w:w="1152" w:type="dxa"/>
            <w:tcBorders>
              <w:top w:val="single" w:sz="8" w:space="0" w:color="005096"/>
              <w:left w:val="nil"/>
              <w:bottom w:val="single" w:sz="8" w:space="0" w:color="005096"/>
              <w:right w:val="nil"/>
            </w:tcBorders>
            <w:shd w:val="clear" w:color="auto" w:fill="auto"/>
            <w:vAlign w:val="center"/>
          </w:tcPr>
          <w:p w:rsidR="0015501D" w:rsidRPr="0015501D" w:rsidRDefault="0015501D" w:rsidP="0015501D">
            <w:pPr>
              <w:jc w:val="center"/>
              <w:rPr>
                <w:rFonts w:ascii="Arial" w:hAnsi="Arial"/>
                <w:b/>
                <w:sz w:val="16"/>
                <w:szCs w:val="16"/>
              </w:rPr>
            </w:pPr>
            <w:r w:rsidRPr="0015501D">
              <w:rPr>
                <w:rFonts w:ascii="Arial" w:hAnsi="Arial" w:hint="eastAsia"/>
                <w:b/>
                <w:sz w:val="16"/>
                <w:szCs w:val="16"/>
              </w:rPr>
              <w:t>产能</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1010" w:type="dxa"/>
            <w:tcBorders>
              <w:top w:val="single" w:sz="8" w:space="0" w:color="005096"/>
              <w:left w:val="nil"/>
              <w:bottom w:val="single" w:sz="8" w:space="0" w:color="005096"/>
              <w:right w:val="nil"/>
            </w:tcBorders>
            <w:shd w:val="clear" w:color="auto" w:fill="auto"/>
            <w:noWrap/>
            <w:vAlign w:val="center"/>
          </w:tcPr>
          <w:p w:rsidR="0015501D" w:rsidRPr="0015501D" w:rsidRDefault="0015501D" w:rsidP="0015501D">
            <w:pPr>
              <w:jc w:val="center"/>
              <w:rPr>
                <w:rFonts w:ascii="Arial" w:hAnsi="Arial"/>
                <w:b/>
                <w:sz w:val="16"/>
                <w:szCs w:val="16"/>
              </w:rPr>
            </w:pPr>
            <w:r w:rsidRPr="0015501D">
              <w:rPr>
                <w:rFonts w:ascii="Arial" w:hAnsi="Arial" w:hint="eastAsia"/>
                <w:b/>
                <w:sz w:val="16"/>
                <w:szCs w:val="16"/>
              </w:rPr>
              <w:t>投产时间</w:t>
            </w:r>
          </w:p>
        </w:tc>
        <w:tc>
          <w:tcPr>
            <w:tcW w:w="1295" w:type="dxa"/>
            <w:tcBorders>
              <w:top w:val="single" w:sz="8" w:space="0" w:color="005096"/>
              <w:left w:val="nil"/>
              <w:bottom w:val="single" w:sz="8" w:space="0" w:color="005096"/>
              <w:right w:val="nil"/>
            </w:tcBorders>
          </w:tcPr>
          <w:p w:rsidR="0015501D" w:rsidRPr="0015501D" w:rsidRDefault="0015501D" w:rsidP="0015501D">
            <w:pPr>
              <w:jc w:val="center"/>
              <w:rPr>
                <w:rFonts w:ascii="Arial" w:hAnsi="Arial"/>
                <w:b/>
                <w:sz w:val="16"/>
                <w:szCs w:val="16"/>
              </w:rPr>
            </w:pPr>
            <w:r w:rsidRPr="0015501D">
              <w:rPr>
                <w:rFonts w:ascii="Arial" w:hAnsi="Arial" w:hint="eastAsia"/>
                <w:b/>
                <w:sz w:val="16"/>
                <w:szCs w:val="16"/>
              </w:rPr>
              <w:t>专利商</w:t>
            </w:r>
          </w:p>
        </w:tc>
      </w:tr>
      <w:tr w:rsidR="0015501D" w:rsidRPr="0015501D" w:rsidTr="003A3DAA">
        <w:trPr>
          <w:trHeight w:val="285"/>
        </w:trPr>
        <w:tc>
          <w:tcPr>
            <w:tcW w:w="1451" w:type="dxa"/>
            <w:vMerge w:val="restart"/>
            <w:tcBorders>
              <w:top w:val="single" w:sz="8" w:space="0" w:color="005096"/>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proofErr w:type="gramStart"/>
            <w:r w:rsidRPr="0015501D">
              <w:rPr>
                <w:rFonts w:eastAsia="宋体" w:hint="eastAsia"/>
                <w:sz w:val="18"/>
                <w:szCs w:val="16"/>
              </w:rPr>
              <w:t>逸盛石化</w:t>
            </w:r>
            <w:proofErr w:type="gramEnd"/>
          </w:p>
        </w:tc>
        <w:tc>
          <w:tcPr>
            <w:tcW w:w="1010" w:type="dxa"/>
            <w:tcBorders>
              <w:top w:val="single" w:sz="8" w:space="0" w:color="005096"/>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宁波</w:t>
            </w:r>
          </w:p>
        </w:tc>
        <w:tc>
          <w:tcPr>
            <w:tcW w:w="1152" w:type="dxa"/>
            <w:vMerge w:val="restart"/>
            <w:tcBorders>
              <w:top w:val="single" w:sz="8" w:space="0" w:color="005096"/>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荣盛石化</w:t>
            </w:r>
          </w:p>
          <w:p w:rsidR="0015501D" w:rsidRPr="0015501D" w:rsidRDefault="0015501D" w:rsidP="0015501D">
            <w:pPr>
              <w:jc w:val="center"/>
              <w:textAlignment w:val="center"/>
              <w:rPr>
                <w:rFonts w:eastAsia="宋体"/>
                <w:sz w:val="18"/>
                <w:szCs w:val="16"/>
              </w:rPr>
            </w:pPr>
            <w:proofErr w:type="gramStart"/>
            <w:r w:rsidRPr="0015501D">
              <w:rPr>
                <w:rFonts w:eastAsia="宋体" w:hint="eastAsia"/>
                <w:sz w:val="18"/>
                <w:szCs w:val="16"/>
              </w:rPr>
              <w:t>恒逸石化</w:t>
            </w:r>
            <w:proofErr w:type="gramEnd"/>
          </w:p>
        </w:tc>
        <w:tc>
          <w:tcPr>
            <w:tcW w:w="868" w:type="dxa"/>
            <w:tcBorders>
              <w:top w:val="single" w:sz="8" w:space="0" w:color="005096"/>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3#</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4#</w:t>
            </w:r>
          </w:p>
        </w:tc>
        <w:tc>
          <w:tcPr>
            <w:tcW w:w="1152" w:type="dxa"/>
            <w:tcBorders>
              <w:top w:val="single" w:sz="8" w:space="0" w:color="005096"/>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65</w:t>
            </w:r>
          </w:p>
          <w:p w:rsidR="0015501D" w:rsidRPr="0015501D" w:rsidRDefault="0015501D" w:rsidP="0015501D">
            <w:pPr>
              <w:jc w:val="center"/>
              <w:textAlignment w:val="center"/>
              <w:rPr>
                <w:rFonts w:eastAsia="宋体"/>
                <w:color w:val="FF0000"/>
                <w:sz w:val="18"/>
                <w:szCs w:val="16"/>
              </w:rPr>
            </w:pPr>
            <w:r w:rsidRPr="0015501D">
              <w:rPr>
                <w:rFonts w:eastAsia="宋体" w:hint="eastAsia"/>
                <w:color w:val="FF0000"/>
                <w:sz w:val="18"/>
                <w:szCs w:val="16"/>
                <w:highlight w:val="yellow"/>
              </w:rPr>
              <w:t>65</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r w:rsidRPr="0015501D">
              <w:rPr>
                <w:rFonts w:eastAsia="宋体"/>
                <w:sz w:val="18"/>
                <w:szCs w:val="16"/>
              </w:rPr>
              <w:t>00</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220</w:t>
            </w:r>
          </w:p>
        </w:tc>
        <w:tc>
          <w:tcPr>
            <w:tcW w:w="1010" w:type="dxa"/>
            <w:tcBorders>
              <w:top w:val="single" w:sz="8" w:space="0" w:color="005096"/>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2005.8</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2007.3</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2011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2014</w:t>
            </w:r>
          </w:p>
        </w:tc>
        <w:tc>
          <w:tcPr>
            <w:tcW w:w="1295" w:type="dxa"/>
            <w:tcBorders>
              <w:top w:val="single" w:sz="8" w:space="0" w:color="005096"/>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日立</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日立</w:t>
            </w:r>
          </w:p>
        </w:tc>
      </w:tr>
      <w:tr w:rsidR="0015501D" w:rsidRPr="0015501D" w:rsidTr="003A3DAA">
        <w:trPr>
          <w:trHeight w:val="285"/>
        </w:trPr>
        <w:tc>
          <w:tcPr>
            <w:tcW w:w="1451" w:type="dxa"/>
            <w:vMerge/>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大连</w:t>
            </w:r>
          </w:p>
        </w:tc>
        <w:tc>
          <w:tcPr>
            <w:tcW w:w="1152" w:type="dxa"/>
            <w:vMerge/>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p w:rsidR="0015501D" w:rsidRPr="0015501D" w:rsidRDefault="0015501D" w:rsidP="0015501D">
            <w:pPr>
              <w:jc w:val="center"/>
              <w:textAlignment w:val="center"/>
              <w:rPr>
                <w:rFonts w:eastAsia="宋体"/>
                <w:sz w:val="18"/>
                <w:szCs w:val="16"/>
              </w:rPr>
            </w:pPr>
            <w:r w:rsidRPr="0015501D">
              <w:rPr>
                <w:rFonts w:eastAsia="宋体"/>
                <w:sz w:val="18"/>
                <w:szCs w:val="16"/>
              </w:rPr>
              <w:t>3</w:t>
            </w:r>
            <w:r w:rsidRPr="0015501D">
              <w:rPr>
                <w:rFonts w:eastAsia="宋体" w:hint="eastAsia"/>
                <w:sz w:val="18"/>
                <w:szCs w:val="16"/>
              </w:rPr>
              <w:t>#</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150</w:t>
            </w:r>
          </w:p>
          <w:p w:rsidR="0015501D" w:rsidRPr="0015501D" w:rsidRDefault="0015501D" w:rsidP="0015501D">
            <w:pPr>
              <w:jc w:val="center"/>
              <w:textAlignment w:val="center"/>
              <w:rPr>
                <w:rFonts w:eastAsia="宋体"/>
                <w:sz w:val="18"/>
                <w:szCs w:val="16"/>
              </w:rPr>
            </w:pPr>
            <w:r w:rsidRPr="0015501D">
              <w:rPr>
                <w:rFonts w:eastAsia="宋体"/>
                <w:sz w:val="18"/>
                <w:szCs w:val="16"/>
              </w:rPr>
              <w:t>70</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375</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2010</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2012</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日立</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日立</w:t>
            </w:r>
          </w:p>
        </w:tc>
      </w:tr>
      <w:tr w:rsidR="0015501D" w:rsidRPr="0015501D" w:rsidTr="003A3DAA">
        <w:trPr>
          <w:trHeight w:val="285"/>
        </w:trPr>
        <w:tc>
          <w:tcPr>
            <w:tcW w:w="1451" w:type="dxa"/>
            <w:vMerge/>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洋浦</w:t>
            </w:r>
          </w:p>
        </w:tc>
        <w:tc>
          <w:tcPr>
            <w:tcW w:w="1152" w:type="dxa"/>
            <w:vMerge/>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210</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2012</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日立</w:t>
            </w: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恒力石化</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大连</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恒力集团</w:t>
            </w: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3#</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220</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220</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220</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2012</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2014</w:t>
            </w:r>
          </w:p>
          <w:p w:rsidR="0015501D" w:rsidRPr="0015501D" w:rsidRDefault="0015501D" w:rsidP="0015501D">
            <w:pPr>
              <w:jc w:val="center"/>
              <w:textAlignment w:val="center"/>
              <w:rPr>
                <w:rFonts w:eastAsia="宋体"/>
                <w:sz w:val="18"/>
                <w:szCs w:val="16"/>
              </w:rPr>
            </w:pPr>
            <w:r w:rsidRPr="0015501D">
              <w:rPr>
                <w:rFonts w:eastAsia="宋体"/>
                <w:sz w:val="18"/>
                <w:szCs w:val="16"/>
              </w:rPr>
              <w:t>2015</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tc>
      </w:tr>
      <w:tr w:rsidR="0015501D" w:rsidRPr="0015501D" w:rsidTr="003A3DAA">
        <w:trPr>
          <w:trHeight w:val="285"/>
        </w:trPr>
        <w:tc>
          <w:tcPr>
            <w:tcW w:w="1451" w:type="dxa"/>
            <w:vMerge w:val="restart"/>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翔鹭石化</w:t>
            </w: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厦门</w:t>
            </w:r>
          </w:p>
        </w:tc>
        <w:tc>
          <w:tcPr>
            <w:tcW w:w="1152" w:type="dxa"/>
            <w:vMerge w:val="restart"/>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东帝士</w:t>
            </w: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color w:val="FF0000"/>
                <w:sz w:val="18"/>
                <w:szCs w:val="16"/>
              </w:rPr>
            </w:pPr>
            <w:r w:rsidRPr="0015501D">
              <w:rPr>
                <w:rFonts w:eastAsia="宋体" w:hint="eastAsia"/>
                <w:color w:val="FF0000"/>
                <w:sz w:val="18"/>
                <w:szCs w:val="16"/>
                <w:highlight w:val="yellow"/>
              </w:rPr>
              <w:t>165</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2003</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日立</w:t>
            </w:r>
          </w:p>
        </w:tc>
      </w:tr>
      <w:tr w:rsidR="0015501D" w:rsidRPr="0015501D" w:rsidTr="003A3DAA">
        <w:trPr>
          <w:trHeight w:val="285"/>
        </w:trPr>
        <w:tc>
          <w:tcPr>
            <w:tcW w:w="1451" w:type="dxa"/>
            <w:vMerge/>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漳州</w:t>
            </w:r>
          </w:p>
        </w:tc>
        <w:tc>
          <w:tcPr>
            <w:tcW w:w="1152" w:type="dxa"/>
            <w:vMerge/>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sz w:val="18"/>
                <w:szCs w:val="16"/>
              </w:rPr>
              <w:t>150</w:t>
            </w:r>
          </w:p>
          <w:p w:rsidR="0015501D" w:rsidRPr="0015501D" w:rsidRDefault="0015501D" w:rsidP="0015501D">
            <w:pPr>
              <w:jc w:val="center"/>
              <w:textAlignment w:val="center"/>
              <w:rPr>
                <w:rFonts w:eastAsia="宋体"/>
                <w:sz w:val="18"/>
                <w:szCs w:val="16"/>
              </w:rPr>
            </w:pPr>
            <w:r w:rsidRPr="0015501D">
              <w:rPr>
                <w:rFonts w:eastAsia="宋体"/>
                <w:sz w:val="18"/>
                <w:szCs w:val="16"/>
              </w:rPr>
              <w:t>150</w:t>
            </w:r>
          </w:p>
          <w:p w:rsidR="0015501D" w:rsidRPr="0015501D" w:rsidRDefault="0015501D" w:rsidP="0015501D">
            <w:pPr>
              <w:jc w:val="center"/>
              <w:textAlignment w:val="center"/>
              <w:rPr>
                <w:rFonts w:eastAsia="宋体"/>
                <w:sz w:val="18"/>
                <w:szCs w:val="16"/>
              </w:rPr>
            </w:pPr>
            <w:r w:rsidRPr="0015501D">
              <w:rPr>
                <w:rFonts w:eastAsia="宋体"/>
                <w:sz w:val="18"/>
                <w:szCs w:val="16"/>
              </w:rPr>
              <w:t>150</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2014</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日立</w:t>
            </w: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仪征化纤</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仪征</w:t>
            </w:r>
          </w:p>
        </w:tc>
        <w:tc>
          <w:tcPr>
            <w:tcW w:w="1152" w:type="dxa"/>
            <w:vMerge w:val="restart"/>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中石化</w:t>
            </w: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t>3</w:t>
            </w:r>
            <w:r w:rsidRPr="0015501D">
              <w:rPr>
                <w:rFonts w:eastAsia="宋体"/>
                <w:sz w:val="18"/>
                <w:szCs w:val="16"/>
                <w:u w:val="single"/>
              </w:rPr>
              <w:t>3</w:t>
            </w:r>
          </w:p>
          <w:p w:rsidR="0015501D" w:rsidRPr="0015501D" w:rsidRDefault="0015501D" w:rsidP="0015501D">
            <w:pPr>
              <w:jc w:val="center"/>
              <w:textAlignment w:val="center"/>
              <w:rPr>
                <w:rFonts w:eastAsia="宋体"/>
                <w:sz w:val="18"/>
                <w:szCs w:val="16"/>
              </w:rPr>
            </w:pPr>
            <w:r w:rsidRPr="0015501D">
              <w:rPr>
                <w:rFonts w:eastAsia="宋体" w:hint="eastAsia"/>
                <w:sz w:val="18"/>
                <w:szCs w:val="16"/>
                <w:u w:val="single"/>
              </w:rPr>
              <w:t>66</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1995.8</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2003</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阿莫科</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扬子石化</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南京</w:t>
            </w:r>
          </w:p>
        </w:tc>
        <w:tc>
          <w:tcPr>
            <w:tcW w:w="1152" w:type="dxa"/>
            <w:vMerge/>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lastRenderedPageBreak/>
              <w:t>3#</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color w:val="FF0000"/>
                <w:sz w:val="18"/>
                <w:szCs w:val="16"/>
              </w:rPr>
            </w:pPr>
            <w:r w:rsidRPr="0015501D">
              <w:rPr>
                <w:rFonts w:eastAsia="宋体" w:hint="eastAsia"/>
                <w:color w:val="FF0000"/>
                <w:sz w:val="18"/>
                <w:szCs w:val="16"/>
                <w:highlight w:val="yellow"/>
              </w:rPr>
              <w:lastRenderedPageBreak/>
              <w:t>35</w:t>
            </w:r>
          </w:p>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t>35</w:t>
            </w:r>
          </w:p>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lastRenderedPageBreak/>
              <w:t>60</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lastRenderedPageBreak/>
              <w:t>1989</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2006</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lastRenderedPageBreak/>
              <w:t>2006</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lastRenderedPageBreak/>
              <w:t>阿莫科</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lastRenderedPageBreak/>
              <w:t>英威达</w:t>
            </w: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lastRenderedPageBreak/>
              <w:t>上海石化</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金山</w:t>
            </w:r>
          </w:p>
        </w:tc>
        <w:tc>
          <w:tcPr>
            <w:tcW w:w="1152" w:type="dxa"/>
            <w:vMerge/>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t>40</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1983.12</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三井</w:t>
            </w: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洛阳石化</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洛阳</w:t>
            </w:r>
          </w:p>
        </w:tc>
        <w:tc>
          <w:tcPr>
            <w:tcW w:w="1152" w:type="dxa"/>
            <w:vMerge/>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t>32.5</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2000</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阿莫科</w:t>
            </w: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天津石化</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天津</w:t>
            </w:r>
          </w:p>
        </w:tc>
        <w:tc>
          <w:tcPr>
            <w:tcW w:w="1152" w:type="dxa"/>
            <w:vMerge/>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t>32</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2000</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三井</w:t>
            </w:r>
          </w:p>
        </w:tc>
      </w:tr>
      <w:tr w:rsidR="0015501D" w:rsidRPr="0015501D" w:rsidTr="003A3DAA">
        <w:trPr>
          <w:trHeight w:val="826"/>
        </w:trPr>
        <w:tc>
          <w:tcPr>
            <w:tcW w:w="1451"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绍兴远东</w:t>
            </w: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宁波</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华联控股</w:t>
            </w: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3#</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4#</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color w:val="FF0000"/>
                <w:sz w:val="18"/>
                <w:szCs w:val="16"/>
                <w:highlight w:val="yellow"/>
              </w:rPr>
            </w:pPr>
            <w:r w:rsidRPr="0015501D">
              <w:rPr>
                <w:rFonts w:eastAsia="宋体" w:hint="eastAsia"/>
                <w:color w:val="FF0000"/>
                <w:sz w:val="18"/>
                <w:szCs w:val="16"/>
                <w:highlight w:val="yellow"/>
              </w:rPr>
              <w:t>60</w:t>
            </w:r>
          </w:p>
          <w:p w:rsidR="0015501D" w:rsidRPr="0015501D" w:rsidRDefault="0015501D" w:rsidP="0015501D">
            <w:pPr>
              <w:jc w:val="center"/>
              <w:textAlignment w:val="center"/>
              <w:rPr>
                <w:rFonts w:eastAsia="宋体"/>
                <w:color w:val="FF0000"/>
                <w:sz w:val="18"/>
                <w:szCs w:val="16"/>
                <w:highlight w:val="yellow"/>
              </w:rPr>
            </w:pPr>
            <w:r w:rsidRPr="0015501D">
              <w:rPr>
                <w:rFonts w:eastAsia="宋体" w:hint="eastAsia"/>
                <w:color w:val="FF0000"/>
                <w:sz w:val="18"/>
                <w:szCs w:val="16"/>
                <w:highlight w:val="yellow"/>
              </w:rPr>
              <w:t>60</w:t>
            </w:r>
          </w:p>
          <w:p w:rsidR="0015501D" w:rsidRPr="0015501D" w:rsidRDefault="0015501D" w:rsidP="0015501D">
            <w:pPr>
              <w:jc w:val="center"/>
              <w:textAlignment w:val="center"/>
              <w:rPr>
                <w:rFonts w:eastAsia="宋体"/>
                <w:color w:val="FF0000"/>
                <w:sz w:val="18"/>
                <w:szCs w:val="16"/>
                <w:highlight w:val="yellow"/>
              </w:rPr>
            </w:pPr>
            <w:r w:rsidRPr="0015501D">
              <w:rPr>
                <w:rFonts w:eastAsia="宋体" w:hint="eastAsia"/>
                <w:color w:val="FF0000"/>
                <w:sz w:val="18"/>
                <w:szCs w:val="16"/>
                <w:highlight w:val="yellow"/>
              </w:rPr>
              <w:t>60</w:t>
            </w:r>
          </w:p>
          <w:p w:rsidR="0015501D" w:rsidRPr="0015501D" w:rsidRDefault="0015501D" w:rsidP="0015501D">
            <w:pPr>
              <w:jc w:val="center"/>
              <w:textAlignment w:val="center"/>
              <w:rPr>
                <w:rFonts w:eastAsia="宋体"/>
                <w:color w:val="FF0000"/>
                <w:sz w:val="18"/>
                <w:szCs w:val="16"/>
              </w:rPr>
            </w:pPr>
            <w:r w:rsidRPr="0015501D">
              <w:rPr>
                <w:rFonts w:eastAsia="宋体" w:hint="eastAsia"/>
                <w:color w:val="FF0000"/>
                <w:sz w:val="18"/>
                <w:szCs w:val="16"/>
                <w:highlight w:val="yellow"/>
              </w:rPr>
              <w:t>140</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2005</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2006</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2006</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2006</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伊斯特</w:t>
            </w:r>
            <w:proofErr w:type="gramStart"/>
            <w:r w:rsidRPr="0015501D">
              <w:rPr>
                <w:rFonts w:eastAsia="宋体" w:hint="eastAsia"/>
                <w:sz w:val="18"/>
                <w:szCs w:val="16"/>
              </w:rPr>
              <w:t>曼</w:t>
            </w:r>
            <w:proofErr w:type="gramEnd"/>
          </w:p>
          <w:p w:rsidR="0015501D" w:rsidRPr="0015501D" w:rsidRDefault="0015501D" w:rsidP="0015501D">
            <w:pPr>
              <w:jc w:val="center"/>
              <w:textAlignment w:val="center"/>
              <w:rPr>
                <w:rFonts w:eastAsia="宋体"/>
                <w:sz w:val="18"/>
                <w:szCs w:val="16"/>
              </w:rPr>
            </w:pP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p w:rsidR="0015501D" w:rsidRPr="0015501D" w:rsidRDefault="0015501D" w:rsidP="0015501D">
            <w:pPr>
              <w:jc w:val="center"/>
              <w:textAlignment w:val="center"/>
              <w:rPr>
                <w:rFonts w:eastAsia="宋体"/>
                <w:sz w:val="18"/>
                <w:szCs w:val="16"/>
              </w:rPr>
            </w:pP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珠海</w:t>
            </w:r>
            <w:r w:rsidRPr="0015501D">
              <w:rPr>
                <w:rFonts w:eastAsia="宋体" w:hint="eastAsia"/>
                <w:sz w:val="18"/>
                <w:szCs w:val="16"/>
              </w:rPr>
              <w:t>BP</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珠海</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BP</w:t>
            </w: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p w:rsidR="0015501D" w:rsidRPr="0015501D" w:rsidRDefault="0015501D" w:rsidP="0015501D">
            <w:pPr>
              <w:jc w:val="center"/>
              <w:textAlignment w:val="center"/>
              <w:rPr>
                <w:rFonts w:eastAsia="宋体"/>
                <w:sz w:val="18"/>
                <w:szCs w:val="16"/>
              </w:rPr>
            </w:pPr>
            <w:r w:rsidRPr="0015501D">
              <w:rPr>
                <w:rFonts w:eastAsia="宋体"/>
                <w:sz w:val="18"/>
                <w:szCs w:val="16"/>
              </w:rPr>
              <w:t>3#</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color w:val="FF0000"/>
                <w:sz w:val="18"/>
                <w:szCs w:val="16"/>
              </w:rPr>
            </w:pPr>
            <w:r w:rsidRPr="0015501D">
              <w:rPr>
                <w:rFonts w:eastAsia="宋体" w:hint="eastAsia"/>
                <w:color w:val="FF0000"/>
                <w:sz w:val="18"/>
                <w:szCs w:val="16"/>
                <w:highlight w:val="yellow"/>
              </w:rPr>
              <w:t>60</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110</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125</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2003</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2008</w:t>
            </w:r>
          </w:p>
          <w:p w:rsidR="0015501D" w:rsidRPr="0015501D" w:rsidRDefault="0015501D" w:rsidP="0015501D">
            <w:pPr>
              <w:jc w:val="center"/>
              <w:textAlignment w:val="center"/>
              <w:rPr>
                <w:rFonts w:eastAsia="宋体"/>
                <w:sz w:val="18"/>
                <w:szCs w:val="16"/>
              </w:rPr>
            </w:pPr>
            <w:r w:rsidRPr="0015501D">
              <w:rPr>
                <w:rFonts w:eastAsia="宋体"/>
                <w:sz w:val="18"/>
                <w:szCs w:val="16"/>
              </w:rPr>
              <w:t>2015</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阿莫科</w:t>
            </w:r>
          </w:p>
        </w:tc>
      </w:tr>
      <w:tr w:rsidR="0015501D" w:rsidRPr="0015501D" w:rsidTr="003A3DAA">
        <w:trPr>
          <w:trHeight w:val="285"/>
        </w:trPr>
        <w:tc>
          <w:tcPr>
            <w:tcW w:w="1451"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海伦石化</w:t>
            </w: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江阴</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三房</w:t>
            </w:r>
            <w:proofErr w:type="gramStart"/>
            <w:r w:rsidRPr="0015501D">
              <w:rPr>
                <w:rFonts w:eastAsia="宋体" w:hint="eastAsia"/>
                <w:sz w:val="18"/>
                <w:szCs w:val="16"/>
              </w:rPr>
              <w:t>巷集团</w:t>
            </w:r>
            <w:proofErr w:type="gramEnd"/>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120</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120</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2014</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proofErr w:type="gramStart"/>
            <w:r w:rsidRPr="0015501D">
              <w:rPr>
                <w:rFonts w:eastAsia="宋体" w:hint="eastAsia"/>
                <w:sz w:val="18"/>
                <w:szCs w:val="16"/>
              </w:rPr>
              <w:t>中纺院</w:t>
            </w:r>
            <w:proofErr w:type="gramEnd"/>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嘉兴石化</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嘉兴</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roofErr w:type="gramStart"/>
            <w:r w:rsidRPr="0015501D">
              <w:rPr>
                <w:rFonts w:eastAsia="宋体" w:hint="eastAsia"/>
                <w:sz w:val="18"/>
                <w:szCs w:val="16"/>
              </w:rPr>
              <w:t>桐昆股份</w:t>
            </w:r>
            <w:proofErr w:type="gramEnd"/>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150</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2012</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tc>
      </w:tr>
      <w:tr w:rsidR="0015501D" w:rsidRPr="0015501D" w:rsidTr="003A3DAA">
        <w:trPr>
          <w:trHeight w:val="285"/>
        </w:trPr>
        <w:tc>
          <w:tcPr>
            <w:tcW w:w="1451"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proofErr w:type="gramStart"/>
            <w:r w:rsidRPr="0015501D">
              <w:rPr>
                <w:rFonts w:eastAsia="宋体" w:hint="eastAsia"/>
                <w:sz w:val="18"/>
                <w:szCs w:val="16"/>
              </w:rPr>
              <w:t>虹港石化</w:t>
            </w:r>
            <w:proofErr w:type="gramEnd"/>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连云港</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roofErr w:type="gramStart"/>
            <w:r w:rsidRPr="0015501D">
              <w:rPr>
                <w:rFonts w:eastAsia="宋体" w:hint="eastAsia"/>
                <w:sz w:val="18"/>
                <w:szCs w:val="16"/>
              </w:rPr>
              <w:t>盛虹集团</w:t>
            </w:r>
            <w:proofErr w:type="gramEnd"/>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150</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2014</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台化兴业</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宁波</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台湾化纤</w:t>
            </w: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120</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2006</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285"/>
        </w:trPr>
        <w:tc>
          <w:tcPr>
            <w:tcW w:w="1451"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蓬威石化</w:t>
            </w: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重庆</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东方希望</w:t>
            </w: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color w:val="FF0000"/>
                <w:sz w:val="18"/>
                <w:szCs w:val="16"/>
                <w:highlight w:val="yellow"/>
              </w:rPr>
              <w:t>90</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2009</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proofErr w:type="gramStart"/>
            <w:r w:rsidRPr="0015501D">
              <w:rPr>
                <w:rFonts w:eastAsia="宋体" w:hint="eastAsia"/>
                <w:sz w:val="18"/>
                <w:szCs w:val="16"/>
              </w:rPr>
              <w:t>中纺院</w:t>
            </w:r>
            <w:proofErr w:type="gramEnd"/>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汉邦石化</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江阴</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澄星集团</w:t>
            </w: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u w:val="single"/>
              </w:rPr>
            </w:pPr>
            <w:r w:rsidRPr="0015501D">
              <w:rPr>
                <w:rFonts w:eastAsia="宋体"/>
                <w:sz w:val="18"/>
                <w:szCs w:val="16"/>
                <w:u w:val="single"/>
              </w:rPr>
              <w:t>60</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2010</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tc>
      </w:tr>
      <w:tr w:rsidR="0015501D" w:rsidRPr="0015501D" w:rsidTr="003A3DAA">
        <w:trPr>
          <w:trHeight w:val="285"/>
        </w:trPr>
        <w:tc>
          <w:tcPr>
            <w:tcW w:w="1451"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亚东石化</w:t>
            </w: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上海</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台湾远东</w:t>
            </w: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t>70</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2006</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宁波三菱</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宁波</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三菱化学</w:t>
            </w: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t>60</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2007</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三菱</w:t>
            </w:r>
          </w:p>
        </w:tc>
      </w:tr>
      <w:tr w:rsidR="0015501D" w:rsidRPr="0015501D" w:rsidTr="003A3DAA">
        <w:trPr>
          <w:trHeight w:val="285"/>
        </w:trPr>
        <w:tc>
          <w:tcPr>
            <w:tcW w:w="1451"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佳龙石化</w:t>
            </w: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石狮</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佳龙集团</w:t>
            </w: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u w:val="single"/>
              </w:rPr>
            </w:pPr>
            <w:r w:rsidRPr="0015501D">
              <w:rPr>
                <w:rFonts w:eastAsia="宋体" w:hint="eastAsia"/>
                <w:sz w:val="18"/>
                <w:szCs w:val="16"/>
                <w:u w:val="single"/>
              </w:rPr>
              <w:t>60</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2010</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tc>
      </w:tr>
      <w:tr w:rsidR="0015501D" w:rsidRPr="0015501D" w:rsidTr="003A3DAA">
        <w:trPr>
          <w:trHeight w:val="285"/>
        </w:trPr>
        <w:tc>
          <w:tcPr>
            <w:tcW w:w="1451"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辽阳石化</w:t>
            </w:r>
          </w:p>
        </w:tc>
        <w:tc>
          <w:tcPr>
            <w:tcW w:w="1010"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辽阳</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中石油</w:t>
            </w:r>
          </w:p>
        </w:tc>
        <w:tc>
          <w:tcPr>
            <w:tcW w:w="868"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p>
        </w:tc>
        <w:tc>
          <w:tcPr>
            <w:tcW w:w="1152" w:type="dxa"/>
            <w:tcBorders>
              <w:left w:val="nil"/>
              <w:right w:val="nil"/>
            </w:tcBorders>
            <w:shd w:val="clear" w:color="auto" w:fill="F8F8F8"/>
            <w:vAlign w:val="center"/>
          </w:tcPr>
          <w:p w:rsidR="0015501D" w:rsidRPr="0015501D" w:rsidRDefault="0015501D" w:rsidP="0015501D">
            <w:pPr>
              <w:jc w:val="center"/>
              <w:textAlignment w:val="center"/>
              <w:rPr>
                <w:rFonts w:eastAsia="宋体"/>
                <w:color w:val="FF0000"/>
                <w:sz w:val="18"/>
                <w:szCs w:val="16"/>
                <w:highlight w:val="yellow"/>
              </w:rPr>
            </w:pPr>
            <w:r w:rsidRPr="0015501D">
              <w:rPr>
                <w:rFonts w:eastAsia="宋体" w:hint="eastAsia"/>
                <w:color w:val="FF0000"/>
                <w:sz w:val="18"/>
                <w:szCs w:val="16"/>
                <w:highlight w:val="yellow"/>
              </w:rPr>
              <w:t>27</w:t>
            </w:r>
          </w:p>
          <w:p w:rsidR="0015501D" w:rsidRPr="0015501D" w:rsidRDefault="0015501D" w:rsidP="0015501D">
            <w:pPr>
              <w:jc w:val="center"/>
              <w:textAlignment w:val="center"/>
              <w:rPr>
                <w:rFonts w:eastAsia="宋体"/>
                <w:sz w:val="18"/>
                <w:szCs w:val="16"/>
              </w:rPr>
            </w:pPr>
            <w:r w:rsidRPr="0015501D">
              <w:rPr>
                <w:rFonts w:eastAsia="宋体" w:hint="eastAsia"/>
                <w:color w:val="FF0000"/>
                <w:sz w:val="18"/>
                <w:szCs w:val="16"/>
                <w:highlight w:val="yellow"/>
              </w:rPr>
              <w:t>53</w:t>
            </w:r>
          </w:p>
        </w:tc>
        <w:tc>
          <w:tcPr>
            <w:tcW w:w="1010" w:type="dxa"/>
            <w:tcBorders>
              <w:left w:val="nil"/>
              <w:right w:val="nil"/>
            </w:tcBorders>
            <w:shd w:val="clear" w:color="auto" w:fill="F8F8F8"/>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1996.9</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2007</w:t>
            </w:r>
          </w:p>
        </w:tc>
        <w:tc>
          <w:tcPr>
            <w:tcW w:w="1295" w:type="dxa"/>
            <w:tcBorders>
              <w:left w:val="nil"/>
              <w:right w:val="nil"/>
            </w:tcBorders>
            <w:shd w:val="clear" w:color="auto" w:fill="F8F8F8"/>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杜邦</w:t>
            </w:r>
          </w:p>
          <w:p w:rsidR="0015501D" w:rsidRPr="0015501D" w:rsidRDefault="0015501D" w:rsidP="0015501D">
            <w:pPr>
              <w:jc w:val="center"/>
              <w:textAlignment w:val="center"/>
              <w:rPr>
                <w:rFonts w:eastAsia="宋体"/>
                <w:sz w:val="18"/>
                <w:szCs w:val="16"/>
              </w:rPr>
            </w:pPr>
            <w:r w:rsidRPr="0015501D">
              <w:rPr>
                <w:rFonts w:eastAsia="宋体" w:hint="eastAsia"/>
                <w:sz w:val="18"/>
                <w:szCs w:val="16"/>
              </w:rPr>
              <w:t>英威达</w:t>
            </w:r>
          </w:p>
        </w:tc>
      </w:tr>
      <w:tr w:rsidR="0015501D" w:rsidRPr="0015501D" w:rsidTr="003A3DAA">
        <w:trPr>
          <w:trHeight w:val="219"/>
        </w:trPr>
        <w:tc>
          <w:tcPr>
            <w:tcW w:w="1451"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乌鲁木齐石化</w:t>
            </w:r>
          </w:p>
        </w:tc>
        <w:tc>
          <w:tcPr>
            <w:tcW w:w="1010"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乌鲁木齐</w:t>
            </w: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中石油</w:t>
            </w:r>
          </w:p>
        </w:tc>
        <w:tc>
          <w:tcPr>
            <w:tcW w:w="868"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115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u w:val="single"/>
              </w:rPr>
            </w:pPr>
            <w:r w:rsidRPr="0015501D">
              <w:rPr>
                <w:rFonts w:eastAsia="宋体"/>
                <w:sz w:val="18"/>
                <w:szCs w:val="16"/>
                <w:u w:val="single"/>
              </w:rPr>
              <w:t>9</w:t>
            </w:r>
          </w:p>
        </w:tc>
        <w:tc>
          <w:tcPr>
            <w:tcW w:w="1010"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1995</w:t>
            </w:r>
          </w:p>
        </w:tc>
        <w:tc>
          <w:tcPr>
            <w:tcW w:w="1295"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杜邦</w:t>
            </w:r>
          </w:p>
        </w:tc>
      </w:tr>
      <w:tr w:rsidR="0015501D" w:rsidRPr="0015501D" w:rsidTr="003A3DAA">
        <w:trPr>
          <w:trHeight w:val="285"/>
        </w:trPr>
        <w:tc>
          <w:tcPr>
            <w:tcW w:w="1451" w:type="dxa"/>
            <w:tcBorders>
              <w:left w:val="nil"/>
              <w:bottom w:val="single" w:sz="8" w:space="0" w:color="005096"/>
              <w:right w:val="nil"/>
            </w:tcBorders>
            <w:shd w:val="clear" w:color="auto" w:fill="DBE5F1"/>
            <w:noWrap/>
            <w:vAlign w:val="center"/>
          </w:tcPr>
          <w:p w:rsidR="0015501D" w:rsidRPr="0015501D" w:rsidRDefault="0015501D" w:rsidP="0015501D">
            <w:pPr>
              <w:widowControl/>
              <w:jc w:val="center"/>
              <w:rPr>
                <w:rFonts w:eastAsia="宋体"/>
                <w:b/>
                <w:color w:val="005096"/>
                <w:kern w:val="0"/>
                <w:sz w:val="18"/>
                <w:szCs w:val="18"/>
              </w:rPr>
            </w:pPr>
            <w:r w:rsidRPr="0015501D">
              <w:rPr>
                <w:rFonts w:eastAsia="宋体" w:hint="eastAsia"/>
                <w:b/>
                <w:color w:val="005096"/>
                <w:kern w:val="0"/>
                <w:sz w:val="18"/>
                <w:szCs w:val="18"/>
              </w:rPr>
              <w:t>合计</w:t>
            </w:r>
          </w:p>
        </w:tc>
        <w:tc>
          <w:tcPr>
            <w:tcW w:w="1010" w:type="dxa"/>
            <w:tcBorders>
              <w:left w:val="nil"/>
              <w:bottom w:val="single" w:sz="8" w:space="0" w:color="005096"/>
              <w:right w:val="nil"/>
            </w:tcBorders>
            <w:shd w:val="clear" w:color="auto" w:fill="DBE5F1"/>
            <w:vAlign w:val="center"/>
          </w:tcPr>
          <w:p w:rsidR="0015501D" w:rsidRPr="0015501D" w:rsidRDefault="0015501D" w:rsidP="0015501D">
            <w:pPr>
              <w:jc w:val="center"/>
              <w:textAlignment w:val="center"/>
              <w:rPr>
                <w:rFonts w:eastAsia="宋体"/>
                <w:b/>
                <w:sz w:val="18"/>
                <w:szCs w:val="16"/>
              </w:rPr>
            </w:pPr>
          </w:p>
        </w:tc>
        <w:tc>
          <w:tcPr>
            <w:tcW w:w="1152" w:type="dxa"/>
            <w:tcBorders>
              <w:left w:val="nil"/>
              <w:bottom w:val="single" w:sz="8" w:space="0" w:color="005096"/>
              <w:right w:val="nil"/>
            </w:tcBorders>
            <w:shd w:val="clear" w:color="auto" w:fill="DBE5F1"/>
            <w:vAlign w:val="center"/>
          </w:tcPr>
          <w:p w:rsidR="0015501D" w:rsidRPr="0015501D" w:rsidRDefault="0015501D" w:rsidP="0015501D">
            <w:pPr>
              <w:jc w:val="center"/>
              <w:textAlignment w:val="center"/>
              <w:rPr>
                <w:rFonts w:eastAsia="宋体"/>
                <w:b/>
                <w:sz w:val="18"/>
                <w:szCs w:val="16"/>
              </w:rPr>
            </w:pPr>
          </w:p>
        </w:tc>
        <w:tc>
          <w:tcPr>
            <w:tcW w:w="868" w:type="dxa"/>
            <w:tcBorders>
              <w:left w:val="nil"/>
              <w:bottom w:val="single" w:sz="8" w:space="0" w:color="005096"/>
              <w:right w:val="nil"/>
            </w:tcBorders>
            <w:shd w:val="clear" w:color="auto" w:fill="DBE5F1"/>
            <w:vAlign w:val="center"/>
          </w:tcPr>
          <w:p w:rsidR="0015501D" w:rsidRPr="0015501D" w:rsidRDefault="0015501D" w:rsidP="0015501D">
            <w:pPr>
              <w:jc w:val="center"/>
              <w:textAlignment w:val="center"/>
              <w:rPr>
                <w:rFonts w:eastAsia="宋体"/>
                <w:b/>
                <w:sz w:val="18"/>
                <w:szCs w:val="16"/>
              </w:rPr>
            </w:pPr>
          </w:p>
        </w:tc>
        <w:tc>
          <w:tcPr>
            <w:tcW w:w="1152" w:type="dxa"/>
            <w:tcBorders>
              <w:left w:val="nil"/>
              <w:bottom w:val="single" w:sz="8" w:space="0" w:color="005096"/>
              <w:right w:val="nil"/>
            </w:tcBorders>
            <w:shd w:val="clear" w:color="auto" w:fill="DBE5F1"/>
            <w:vAlign w:val="center"/>
          </w:tcPr>
          <w:p w:rsidR="0015501D" w:rsidRPr="0015501D" w:rsidRDefault="0015501D" w:rsidP="0015501D">
            <w:pPr>
              <w:jc w:val="center"/>
              <w:textAlignment w:val="center"/>
              <w:rPr>
                <w:rFonts w:eastAsia="宋体"/>
                <w:b/>
                <w:sz w:val="18"/>
                <w:szCs w:val="16"/>
              </w:rPr>
            </w:pPr>
            <w:r w:rsidRPr="0015501D">
              <w:rPr>
                <w:rFonts w:eastAsia="宋体" w:hint="eastAsia"/>
                <w:b/>
                <w:sz w:val="18"/>
                <w:szCs w:val="16"/>
              </w:rPr>
              <w:t>4</w:t>
            </w:r>
            <w:r w:rsidRPr="0015501D">
              <w:rPr>
                <w:rFonts w:eastAsia="宋体"/>
                <w:b/>
                <w:sz w:val="18"/>
                <w:szCs w:val="16"/>
              </w:rPr>
              <w:t>667.5</w:t>
            </w:r>
          </w:p>
        </w:tc>
        <w:tc>
          <w:tcPr>
            <w:tcW w:w="1010" w:type="dxa"/>
            <w:tcBorders>
              <w:left w:val="nil"/>
              <w:bottom w:val="single" w:sz="8" w:space="0" w:color="005096"/>
              <w:right w:val="nil"/>
            </w:tcBorders>
            <w:shd w:val="clear" w:color="auto" w:fill="DBE5F1"/>
            <w:noWrap/>
            <w:vAlign w:val="center"/>
          </w:tcPr>
          <w:p w:rsidR="0015501D" w:rsidRPr="0015501D" w:rsidRDefault="0015501D" w:rsidP="0015501D">
            <w:pPr>
              <w:jc w:val="center"/>
              <w:textAlignment w:val="center"/>
              <w:rPr>
                <w:rFonts w:eastAsia="宋体"/>
                <w:b/>
                <w:sz w:val="18"/>
                <w:szCs w:val="16"/>
              </w:rPr>
            </w:pPr>
          </w:p>
        </w:tc>
        <w:tc>
          <w:tcPr>
            <w:tcW w:w="1295" w:type="dxa"/>
            <w:tcBorders>
              <w:left w:val="nil"/>
              <w:bottom w:val="single" w:sz="8" w:space="0" w:color="005096"/>
              <w:right w:val="nil"/>
            </w:tcBorders>
            <w:shd w:val="clear" w:color="auto" w:fill="DBE5F1"/>
          </w:tcPr>
          <w:p w:rsidR="0015501D" w:rsidRPr="0015501D" w:rsidRDefault="0015501D" w:rsidP="0015501D">
            <w:pPr>
              <w:jc w:val="center"/>
              <w:textAlignment w:val="center"/>
              <w:rPr>
                <w:rFonts w:eastAsia="宋体"/>
                <w:b/>
                <w:sz w:val="18"/>
                <w:szCs w:val="16"/>
              </w:rPr>
            </w:pPr>
          </w:p>
        </w:tc>
      </w:tr>
    </w:tbl>
    <w:p w:rsidR="0015501D" w:rsidRPr="0015501D" w:rsidRDefault="0015501D" w:rsidP="005143F4">
      <w:pPr>
        <w:spacing w:afterLines="50" w:line="360" w:lineRule="exact"/>
        <w:rPr>
          <w:sz w:val="16"/>
          <w:szCs w:val="16"/>
        </w:rPr>
      </w:pPr>
      <w:r w:rsidRPr="0015501D">
        <w:rPr>
          <w:rFonts w:hint="eastAsia"/>
          <w:sz w:val="16"/>
          <w:szCs w:val="16"/>
        </w:rPr>
        <w:t>黄</w:t>
      </w:r>
      <w:r w:rsidRPr="0015501D">
        <w:rPr>
          <w:sz w:val="16"/>
          <w:szCs w:val="16"/>
        </w:rPr>
        <w:t>底红字为长期停工</w:t>
      </w:r>
      <w:r w:rsidRPr="0015501D">
        <w:rPr>
          <w:rFonts w:hint="eastAsia"/>
          <w:sz w:val="16"/>
          <w:szCs w:val="16"/>
        </w:rPr>
        <w:t>产能</w:t>
      </w:r>
      <w:r w:rsidRPr="0015501D">
        <w:rPr>
          <w:sz w:val="16"/>
          <w:szCs w:val="16"/>
        </w:rPr>
        <w:t>，</w:t>
      </w:r>
      <w:r w:rsidRPr="0015501D">
        <w:rPr>
          <w:rFonts w:hint="eastAsia"/>
          <w:sz w:val="16"/>
          <w:szCs w:val="16"/>
        </w:rPr>
        <w:t>下划线</w:t>
      </w:r>
      <w:r w:rsidRPr="0015501D">
        <w:rPr>
          <w:sz w:val="16"/>
          <w:szCs w:val="16"/>
        </w:rPr>
        <w:t>为</w:t>
      </w:r>
      <w:r w:rsidRPr="0015501D">
        <w:rPr>
          <w:sz w:val="16"/>
          <w:szCs w:val="16"/>
        </w:rPr>
        <w:t>100</w:t>
      </w:r>
      <w:r w:rsidRPr="0015501D">
        <w:rPr>
          <w:rFonts w:hint="eastAsia"/>
          <w:sz w:val="16"/>
          <w:szCs w:val="16"/>
        </w:rPr>
        <w:t>万</w:t>
      </w:r>
      <w:r w:rsidRPr="0015501D">
        <w:rPr>
          <w:sz w:val="16"/>
          <w:szCs w:val="16"/>
        </w:rPr>
        <w:t>以下小</w:t>
      </w:r>
      <w:r w:rsidRPr="0015501D">
        <w:rPr>
          <w:rFonts w:hint="eastAsia"/>
          <w:sz w:val="16"/>
          <w:szCs w:val="16"/>
        </w:rPr>
        <w:t>厂</w:t>
      </w:r>
      <w:r w:rsidRPr="0015501D">
        <w:rPr>
          <w:sz w:val="16"/>
          <w:szCs w:val="16"/>
        </w:rPr>
        <w:t>产能</w:t>
      </w:r>
      <w:r w:rsidRPr="0015501D">
        <w:rPr>
          <w:rFonts w:hint="eastAsia"/>
          <w:sz w:val="16"/>
          <w:szCs w:val="16"/>
        </w:rPr>
        <w:t>。资料</w:t>
      </w:r>
      <w:r w:rsidRPr="0015501D">
        <w:rPr>
          <w:sz w:val="16"/>
          <w:szCs w:val="16"/>
        </w:rPr>
        <w:t>来源：</w:t>
      </w:r>
      <w:r w:rsidRPr="0015501D">
        <w:rPr>
          <w:rFonts w:hint="eastAsia"/>
          <w:sz w:val="16"/>
          <w:szCs w:val="16"/>
        </w:rPr>
        <w:t>民生证券研究院整理</w:t>
      </w:r>
    </w:p>
    <w:p w:rsidR="0015501D" w:rsidRPr="0015501D" w:rsidRDefault="0015501D" w:rsidP="0015501D">
      <w:pPr>
        <w:spacing w:line="360" w:lineRule="exact"/>
        <w:rPr>
          <w:b/>
          <w:color w:val="005096"/>
          <w:sz w:val="18"/>
          <w:szCs w:val="20"/>
        </w:rPr>
      </w:pPr>
      <w:bookmarkStart w:id="25" w:name="_Toc440897120"/>
      <w:r w:rsidRPr="0015501D">
        <w:rPr>
          <w:rFonts w:hint="eastAsia"/>
          <w:b/>
          <w:color w:val="005096"/>
          <w:sz w:val="18"/>
          <w:szCs w:val="20"/>
        </w:rPr>
        <w:t>表</w:t>
      </w:r>
      <w:r w:rsidRPr="0015501D">
        <w:rPr>
          <w:b/>
          <w:color w:val="005096"/>
          <w:sz w:val="18"/>
          <w:szCs w:val="20"/>
        </w:rPr>
        <w:t>1</w:t>
      </w:r>
      <w:r w:rsidR="007A307A">
        <w:rPr>
          <w:b/>
          <w:color w:val="005096"/>
          <w:sz w:val="18"/>
          <w:szCs w:val="20"/>
        </w:rPr>
        <w:t>2</w:t>
      </w:r>
      <w:r w:rsidRPr="0015501D">
        <w:rPr>
          <w:rFonts w:hint="eastAsia"/>
          <w:b/>
          <w:color w:val="005096"/>
          <w:sz w:val="18"/>
          <w:szCs w:val="20"/>
        </w:rPr>
        <w:t>：未来</w:t>
      </w:r>
      <w:r w:rsidRPr="0015501D">
        <w:rPr>
          <w:rFonts w:hint="eastAsia"/>
          <w:b/>
          <w:color w:val="005096"/>
          <w:sz w:val="18"/>
          <w:szCs w:val="20"/>
        </w:rPr>
        <w:t>PTA</w:t>
      </w:r>
      <w:r w:rsidRPr="0015501D">
        <w:rPr>
          <w:rFonts w:hint="eastAsia"/>
          <w:b/>
          <w:color w:val="005096"/>
          <w:sz w:val="18"/>
          <w:szCs w:val="20"/>
        </w:rPr>
        <w:t>新增</w:t>
      </w:r>
      <w:r w:rsidRPr="0015501D">
        <w:rPr>
          <w:b/>
          <w:color w:val="005096"/>
          <w:sz w:val="18"/>
          <w:szCs w:val="20"/>
        </w:rPr>
        <w:t>产能</w:t>
      </w:r>
      <w:bookmarkEnd w:id="25"/>
    </w:p>
    <w:tbl>
      <w:tblPr>
        <w:tblW w:w="5683" w:type="dxa"/>
        <w:tblInd w:w="108" w:type="dxa"/>
        <w:tblLayout w:type="fixed"/>
        <w:tblLook w:val="00A0"/>
      </w:tblPr>
      <w:tblGrid>
        <w:gridCol w:w="1573"/>
        <w:gridCol w:w="992"/>
        <w:gridCol w:w="3118"/>
      </w:tblGrid>
      <w:tr w:rsidR="0015501D" w:rsidRPr="0015501D" w:rsidTr="003A3DAA">
        <w:trPr>
          <w:trHeight w:val="285"/>
        </w:trPr>
        <w:tc>
          <w:tcPr>
            <w:tcW w:w="1573" w:type="dxa"/>
            <w:tcBorders>
              <w:top w:val="single" w:sz="8" w:space="0" w:color="005096"/>
              <w:left w:val="nil"/>
              <w:bottom w:val="single" w:sz="8" w:space="0" w:color="005096"/>
              <w:right w:val="nil"/>
            </w:tcBorders>
            <w:noWrap/>
            <w:vAlign w:val="center"/>
          </w:tcPr>
          <w:p w:rsidR="0015501D" w:rsidRPr="0015501D" w:rsidRDefault="0015501D" w:rsidP="0015501D">
            <w:pPr>
              <w:rPr>
                <w:rFonts w:ascii="Arial" w:hAnsi="Arial"/>
                <w:b/>
                <w:sz w:val="16"/>
                <w:szCs w:val="16"/>
              </w:rPr>
            </w:pPr>
            <w:r w:rsidRPr="0015501D">
              <w:rPr>
                <w:rFonts w:ascii="Arial" w:hAnsi="Arial" w:hint="eastAsia"/>
                <w:b/>
                <w:sz w:val="16"/>
                <w:szCs w:val="16"/>
              </w:rPr>
              <w:t>项目</w:t>
            </w:r>
          </w:p>
        </w:tc>
        <w:tc>
          <w:tcPr>
            <w:tcW w:w="992" w:type="dxa"/>
            <w:tcBorders>
              <w:top w:val="single" w:sz="8" w:space="0" w:color="005096"/>
              <w:left w:val="nil"/>
              <w:bottom w:val="single" w:sz="8" w:space="0" w:color="005096"/>
              <w:right w:val="nil"/>
            </w:tcBorders>
            <w:shd w:val="clear" w:color="auto" w:fill="auto"/>
            <w:vAlign w:val="center"/>
          </w:tcPr>
          <w:p w:rsidR="0015501D" w:rsidRPr="0015501D" w:rsidRDefault="0015501D" w:rsidP="0015501D">
            <w:pPr>
              <w:rPr>
                <w:rFonts w:ascii="Arial" w:hAnsi="Arial"/>
                <w:b/>
                <w:kern w:val="0"/>
                <w:sz w:val="16"/>
                <w:szCs w:val="18"/>
              </w:rPr>
            </w:pPr>
            <w:r w:rsidRPr="0015501D">
              <w:rPr>
                <w:rFonts w:ascii="Arial" w:hAnsi="宋体" w:hint="eastAsia"/>
                <w:b/>
                <w:kern w:val="0"/>
                <w:sz w:val="16"/>
                <w:szCs w:val="18"/>
              </w:rPr>
              <w:t>产能</w:t>
            </w:r>
            <w:r w:rsidRPr="0015501D">
              <w:rPr>
                <w:rFonts w:ascii="Arial" w:hAnsi="宋体" w:hint="eastAsia"/>
                <w:b/>
                <w:kern w:val="0"/>
                <w:sz w:val="16"/>
                <w:szCs w:val="18"/>
              </w:rPr>
              <w:t>(</w:t>
            </w:r>
            <w:r w:rsidRPr="0015501D">
              <w:rPr>
                <w:rFonts w:ascii="Arial" w:hAnsi="宋体" w:hint="eastAsia"/>
                <w:b/>
                <w:kern w:val="0"/>
                <w:sz w:val="16"/>
                <w:szCs w:val="18"/>
              </w:rPr>
              <w:t>万吨</w:t>
            </w:r>
            <w:r w:rsidRPr="0015501D">
              <w:rPr>
                <w:rFonts w:ascii="Arial" w:hAnsi="宋体" w:hint="eastAsia"/>
                <w:b/>
                <w:kern w:val="0"/>
                <w:sz w:val="16"/>
                <w:szCs w:val="18"/>
              </w:rPr>
              <w:t>)</w:t>
            </w:r>
          </w:p>
        </w:tc>
        <w:tc>
          <w:tcPr>
            <w:tcW w:w="3118" w:type="dxa"/>
            <w:tcBorders>
              <w:top w:val="single" w:sz="8" w:space="0" w:color="005096"/>
              <w:left w:val="nil"/>
              <w:bottom w:val="single" w:sz="8" w:space="0" w:color="005096"/>
              <w:right w:val="nil"/>
            </w:tcBorders>
            <w:noWrap/>
            <w:vAlign w:val="center"/>
          </w:tcPr>
          <w:p w:rsidR="0015501D" w:rsidRPr="0015501D" w:rsidRDefault="0015501D" w:rsidP="0015501D">
            <w:pPr>
              <w:jc w:val="center"/>
              <w:rPr>
                <w:rFonts w:ascii="Arial" w:hAnsi="Arial"/>
                <w:b/>
                <w:kern w:val="0"/>
                <w:sz w:val="16"/>
                <w:szCs w:val="18"/>
              </w:rPr>
            </w:pPr>
            <w:r w:rsidRPr="0015501D">
              <w:rPr>
                <w:rFonts w:ascii="Arial" w:hAnsi="宋体" w:hint="eastAsia"/>
                <w:b/>
                <w:kern w:val="0"/>
                <w:sz w:val="16"/>
                <w:szCs w:val="18"/>
              </w:rPr>
              <w:t>计划</w:t>
            </w:r>
            <w:r w:rsidRPr="0015501D">
              <w:rPr>
                <w:rFonts w:ascii="Arial" w:hAnsi="宋体"/>
                <w:b/>
                <w:kern w:val="0"/>
                <w:sz w:val="16"/>
                <w:szCs w:val="18"/>
              </w:rPr>
              <w:t>投产</w:t>
            </w:r>
          </w:p>
        </w:tc>
      </w:tr>
      <w:tr w:rsidR="0015501D" w:rsidRPr="0015501D" w:rsidTr="003A3DAA">
        <w:trPr>
          <w:trHeight w:val="285"/>
        </w:trPr>
        <w:tc>
          <w:tcPr>
            <w:tcW w:w="1573" w:type="dxa"/>
            <w:tcBorders>
              <w:top w:val="single" w:sz="8" w:space="0" w:color="005096"/>
              <w:left w:val="nil"/>
              <w:right w:val="nil"/>
            </w:tcBorders>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201</w:t>
            </w:r>
            <w:r w:rsidRPr="0015501D">
              <w:rPr>
                <w:rFonts w:eastAsia="宋体"/>
                <w:b/>
                <w:color w:val="005096"/>
                <w:kern w:val="0"/>
                <w:sz w:val="18"/>
                <w:szCs w:val="18"/>
              </w:rPr>
              <w:t>6</w:t>
            </w:r>
            <w:r w:rsidRPr="0015501D">
              <w:rPr>
                <w:rFonts w:eastAsia="宋体" w:hint="eastAsia"/>
                <w:b/>
                <w:color w:val="005096"/>
                <w:kern w:val="0"/>
                <w:sz w:val="18"/>
                <w:szCs w:val="18"/>
              </w:rPr>
              <w:t>年拟投产</w:t>
            </w:r>
          </w:p>
        </w:tc>
        <w:tc>
          <w:tcPr>
            <w:tcW w:w="992" w:type="dxa"/>
            <w:tcBorders>
              <w:top w:val="single" w:sz="8" w:space="0" w:color="005096"/>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3118" w:type="dxa"/>
            <w:tcBorders>
              <w:top w:val="single" w:sz="8" w:space="0" w:color="005096"/>
              <w:left w:val="nil"/>
              <w:right w:val="nil"/>
            </w:tcBorders>
            <w:noWrap/>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江阴汉邦二期</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220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已</w:t>
            </w:r>
            <w:r w:rsidRPr="0015501D">
              <w:rPr>
                <w:rFonts w:eastAsia="宋体"/>
                <w:sz w:val="18"/>
                <w:szCs w:val="16"/>
              </w:rPr>
              <w:t>建</w:t>
            </w:r>
            <w:r w:rsidRPr="0015501D">
              <w:rPr>
                <w:rFonts w:eastAsia="宋体" w:hint="eastAsia"/>
                <w:sz w:val="18"/>
                <w:szCs w:val="16"/>
              </w:rPr>
              <w:t>，</w:t>
            </w:r>
            <w:r w:rsidRPr="0015501D">
              <w:rPr>
                <w:rFonts w:eastAsia="宋体" w:hint="eastAsia"/>
                <w:sz w:val="18"/>
                <w:szCs w:val="16"/>
              </w:rPr>
              <w:t>2016.3</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四川</w:t>
            </w:r>
            <w:proofErr w:type="gramStart"/>
            <w:r w:rsidRPr="0015501D">
              <w:rPr>
                <w:rFonts w:eastAsia="宋体" w:hint="eastAsia"/>
                <w:color w:val="005096"/>
                <w:kern w:val="0"/>
                <w:sz w:val="18"/>
                <w:szCs w:val="18"/>
              </w:rPr>
              <w:t>晟</w:t>
            </w:r>
            <w:proofErr w:type="gramEnd"/>
            <w:r w:rsidRPr="0015501D">
              <w:rPr>
                <w:rFonts w:eastAsia="宋体" w:hint="eastAsia"/>
                <w:color w:val="005096"/>
                <w:kern w:val="0"/>
                <w:sz w:val="18"/>
                <w:szCs w:val="18"/>
              </w:rPr>
              <w:t>达</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100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已建</w:t>
            </w:r>
            <w:r w:rsidRPr="0015501D">
              <w:rPr>
                <w:rFonts w:eastAsia="宋体"/>
                <w:sz w:val="18"/>
                <w:szCs w:val="16"/>
              </w:rPr>
              <w:t>，</w:t>
            </w:r>
            <w:r w:rsidRPr="0015501D">
              <w:rPr>
                <w:rFonts w:eastAsia="宋体" w:hint="eastAsia"/>
                <w:sz w:val="18"/>
                <w:szCs w:val="16"/>
              </w:rPr>
              <w:t>2016</w:t>
            </w:r>
            <w:r w:rsidRPr="0015501D">
              <w:rPr>
                <w:rFonts w:eastAsia="宋体"/>
                <w:sz w:val="18"/>
                <w:szCs w:val="16"/>
              </w:rPr>
              <w:t>Q2</w:t>
            </w:r>
          </w:p>
        </w:tc>
      </w:tr>
      <w:tr w:rsidR="0015501D" w:rsidRPr="0015501D" w:rsidTr="003A3DAA">
        <w:trPr>
          <w:trHeight w:val="285"/>
        </w:trPr>
        <w:tc>
          <w:tcPr>
            <w:tcW w:w="1573" w:type="dxa"/>
            <w:tcBorders>
              <w:left w:val="nil"/>
              <w:right w:val="nil"/>
            </w:tcBorders>
            <w:shd w:val="clear" w:color="auto" w:fill="auto"/>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小计</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b/>
                <w:sz w:val="18"/>
                <w:szCs w:val="16"/>
              </w:rPr>
            </w:pPr>
            <w:r w:rsidRPr="0015501D">
              <w:rPr>
                <w:rFonts w:eastAsia="宋体" w:hint="eastAsia"/>
                <w:b/>
                <w:sz w:val="18"/>
                <w:szCs w:val="16"/>
              </w:rPr>
              <w:t>320</w:t>
            </w:r>
          </w:p>
        </w:tc>
        <w:tc>
          <w:tcPr>
            <w:tcW w:w="3118" w:type="dxa"/>
            <w:tcBorders>
              <w:left w:val="nil"/>
              <w:right w:val="nil"/>
            </w:tcBorders>
            <w:shd w:val="clear" w:color="auto" w:fill="auto"/>
            <w:noWrap/>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17</w:t>
            </w:r>
            <w:r w:rsidRPr="0015501D">
              <w:rPr>
                <w:rFonts w:eastAsia="宋体"/>
                <w:b/>
                <w:color w:val="005096"/>
                <w:kern w:val="0"/>
                <w:sz w:val="18"/>
                <w:szCs w:val="18"/>
              </w:rPr>
              <w:t>-18</w:t>
            </w:r>
            <w:r w:rsidRPr="0015501D">
              <w:rPr>
                <w:rFonts w:eastAsia="宋体" w:hint="eastAsia"/>
                <w:b/>
                <w:color w:val="005096"/>
                <w:kern w:val="0"/>
                <w:sz w:val="18"/>
                <w:szCs w:val="18"/>
              </w:rPr>
              <w:t>年投产</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嘉兴石化</w:t>
            </w:r>
            <w:r w:rsidRPr="0015501D">
              <w:rPr>
                <w:rFonts w:eastAsia="宋体"/>
                <w:color w:val="005096"/>
                <w:kern w:val="0"/>
                <w:sz w:val="18"/>
                <w:szCs w:val="18"/>
              </w:rPr>
              <w:t>二期</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120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在建</w:t>
            </w:r>
            <w:r w:rsidRPr="0015501D">
              <w:rPr>
                <w:rFonts w:eastAsia="宋体"/>
                <w:sz w:val="18"/>
                <w:szCs w:val="16"/>
              </w:rPr>
              <w:t>，</w:t>
            </w:r>
            <w:r w:rsidRPr="0015501D">
              <w:rPr>
                <w:rFonts w:eastAsia="宋体" w:hint="eastAsia"/>
                <w:sz w:val="18"/>
                <w:szCs w:val="16"/>
              </w:rPr>
              <w:t>2017</w:t>
            </w:r>
            <w:r w:rsidRPr="0015501D">
              <w:rPr>
                <w:rFonts w:eastAsia="宋体" w:hint="eastAsia"/>
                <w:sz w:val="18"/>
                <w:szCs w:val="16"/>
              </w:rPr>
              <w:t>投产</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宝塔石化</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120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sz w:val="18"/>
                <w:szCs w:val="16"/>
              </w:rPr>
              <w:t>2016</w:t>
            </w:r>
            <w:r w:rsidRPr="0015501D">
              <w:rPr>
                <w:rFonts w:eastAsia="宋体" w:hint="eastAsia"/>
                <w:sz w:val="18"/>
                <w:szCs w:val="16"/>
              </w:rPr>
              <w:t>年</w:t>
            </w:r>
            <w:r w:rsidRPr="0015501D">
              <w:rPr>
                <w:rFonts w:eastAsia="宋体"/>
                <w:sz w:val="18"/>
                <w:szCs w:val="16"/>
              </w:rPr>
              <w:t>建</w:t>
            </w:r>
            <w:r w:rsidRPr="0015501D">
              <w:rPr>
                <w:rFonts w:eastAsia="宋体" w:hint="eastAsia"/>
                <w:sz w:val="18"/>
                <w:szCs w:val="16"/>
              </w:rPr>
              <w:t>，</w:t>
            </w:r>
            <w:r w:rsidRPr="0015501D">
              <w:rPr>
                <w:rFonts w:eastAsia="宋体" w:hint="eastAsia"/>
                <w:sz w:val="18"/>
                <w:szCs w:val="16"/>
              </w:rPr>
              <w:t>201</w:t>
            </w:r>
            <w:r w:rsidRPr="0015501D">
              <w:rPr>
                <w:rFonts w:eastAsia="宋体"/>
                <w:sz w:val="18"/>
                <w:szCs w:val="16"/>
              </w:rPr>
              <w:t>7-2018</w:t>
            </w:r>
            <w:r w:rsidRPr="0015501D">
              <w:rPr>
                <w:rFonts w:eastAsia="宋体" w:hint="eastAsia"/>
                <w:sz w:val="18"/>
                <w:szCs w:val="16"/>
              </w:rPr>
              <w:t>投产</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proofErr w:type="gramStart"/>
            <w:r w:rsidRPr="0015501D">
              <w:rPr>
                <w:rFonts w:eastAsia="宋体" w:hint="eastAsia"/>
                <w:color w:val="005096"/>
                <w:kern w:val="0"/>
                <w:sz w:val="18"/>
                <w:szCs w:val="18"/>
              </w:rPr>
              <w:t>宁波逸盛</w:t>
            </w:r>
            <w:proofErr w:type="gramEnd"/>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330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2016</w:t>
            </w:r>
            <w:r w:rsidRPr="0015501D">
              <w:rPr>
                <w:rFonts w:eastAsia="宋体" w:hint="eastAsia"/>
                <w:sz w:val="18"/>
                <w:szCs w:val="16"/>
              </w:rPr>
              <w:t>年建</w:t>
            </w:r>
            <w:r w:rsidRPr="0015501D">
              <w:rPr>
                <w:rFonts w:eastAsia="宋体"/>
                <w:sz w:val="18"/>
                <w:szCs w:val="16"/>
              </w:rPr>
              <w:t>，</w:t>
            </w:r>
            <w:r w:rsidRPr="0015501D">
              <w:rPr>
                <w:rFonts w:eastAsia="宋体" w:hint="eastAsia"/>
                <w:sz w:val="18"/>
                <w:szCs w:val="16"/>
              </w:rPr>
              <w:t>2017</w:t>
            </w:r>
            <w:r w:rsidRPr="0015501D">
              <w:rPr>
                <w:rFonts w:eastAsia="宋体"/>
                <w:sz w:val="18"/>
                <w:szCs w:val="16"/>
              </w:rPr>
              <w:t>-2018</w:t>
            </w:r>
            <w:r w:rsidRPr="0015501D">
              <w:rPr>
                <w:rFonts w:eastAsia="宋体" w:hint="eastAsia"/>
                <w:sz w:val="18"/>
                <w:szCs w:val="16"/>
              </w:rPr>
              <w:t>投产</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小计</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b/>
                <w:sz w:val="18"/>
                <w:szCs w:val="16"/>
              </w:rPr>
            </w:pPr>
            <w:r w:rsidRPr="0015501D">
              <w:rPr>
                <w:rFonts w:eastAsia="宋体" w:hint="eastAsia"/>
                <w:b/>
                <w:sz w:val="18"/>
                <w:szCs w:val="16"/>
              </w:rPr>
              <w:t>570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其他宣称</w:t>
            </w:r>
            <w:r w:rsidRPr="0015501D">
              <w:rPr>
                <w:rFonts w:eastAsia="宋体"/>
                <w:b/>
                <w:color w:val="005096"/>
                <w:kern w:val="0"/>
                <w:sz w:val="18"/>
                <w:szCs w:val="18"/>
              </w:rPr>
              <w:t>产能</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中泰新材</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120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未建</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proofErr w:type="gramStart"/>
            <w:r w:rsidRPr="0015501D">
              <w:rPr>
                <w:rFonts w:eastAsia="宋体" w:hint="eastAsia"/>
                <w:color w:val="005096"/>
                <w:kern w:val="0"/>
                <w:sz w:val="18"/>
                <w:szCs w:val="18"/>
              </w:rPr>
              <w:t>洛阳龙宇</w:t>
            </w:r>
            <w:proofErr w:type="gramEnd"/>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100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未建</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乌石化</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100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已无意向</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福建佳龙</w:t>
            </w:r>
            <w:r w:rsidRPr="0015501D">
              <w:rPr>
                <w:rFonts w:eastAsia="宋体"/>
                <w:color w:val="005096"/>
                <w:kern w:val="0"/>
                <w:sz w:val="18"/>
                <w:szCs w:val="18"/>
              </w:rPr>
              <w:t>二期</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110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已</w:t>
            </w:r>
            <w:r w:rsidRPr="0015501D">
              <w:rPr>
                <w:rFonts w:eastAsia="宋体"/>
                <w:sz w:val="18"/>
                <w:szCs w:val="16"/>
              </w:rPr>
              <w:t>无意向</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proofErr w:type="gramStart"/>
            <w:r w:rsidRPr="0015501D">
              <w:rPr>
                <w:rFonts w:eastAsia="宋体" w:hint="eastAsia"/>
                <w:color w:val="005096"/>
                <w:kern w:val="0"/>
                <w:sz w:val="18"/>
                <w:szCs w:val="18"/>
              </w:rPr>
              <w:t>远东仪</w:t>
            </w:r>
            <w:proofErr w:type="gramEnd"/>
            <w:r w:rsidRPr="0015501D">
              <w:rPr>
                <w:rFonts w:eastAsia="宋体" w:hint="eastAsia"/>
                <w:color w:val="005096"/>
                <w:kern w:val="0"/>
                <w:sz w:val="18"/>
                <w:szCs w:val="18"/>
              </w:rPr>
              <w:t>化石化</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已</w:t>
            </w:r>
            <w:r w:rsidRPr="0015501D">
              <w:rPr>
                <w:rFonts w:eastAsia="宋体"/>
                <w:sz w:val="18"/>
                <w:szCs w:val="16"/>
              </w:rPr>
              <w:t>无意向</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其他</w:t>
            </w:r>
            <w:r w:rsidRPr="0015501D">
              <w:rPr>
                <w:rFonts w:eastAsia="宋体"/>
                <w:color w:val="005096"/>
                <w:kern w:val="0"/>
                <w:sz w:val="18"/>
                <w:szCs w:val="18"/>
              </w:rPr>
              <w:t>扩建</w:t>
            </w:r>
            <w:r w:rsidRPr="0015501D">
              <w:rPr>
                <w:rFonts w:eastAsia="宋体" w:hint="eastAsia"/>
                <w:color w:val="005096"/>
                <w:kern w:val="0"/>
                <w:sz w:val="18"/>
                <w:szCs w:val="18"/>
              </w:rPr>
              <w:t>项目</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sz w:val="18"/>
                <w:szCs w:val="16"/>
              </w:rPr>
              <w:t>47</w:t>
            </w:r>
            <w:r w:rsidRPr="0015501D">
              <w:rPr>
                <w:rFonts w:eastAsia="宋体" w:hint="eastAsia"/>
                <w:sz w:val="18"/>
                <w:szCs w:val="16"/>
              </w:rPr>
              <w:t>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仅宣称</w:t>
            </w:r>
          </w:p>
        </w:tc>
      </w:tr>
      <w:tr w:rsidR="0015501D" w:rsidRPr="0015501D" w:rsidTr="003A3DAA">
        <w:trPr>
          <w:trHeight w:val="285"/>
        </w:trPr>
        <w:tc>
          <w:tcPr>
            <w:tcW w:w="1573" w:type="dxa"/>
            <w:tcBorders>
              <w:left w:val="nil"/>
              <w:right w:val="nil"/>
            </w:tcBorders>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小计</w:t>
            </w:r>
          </w:p>
        </w:tc>
        <w:tc>
          <w:tcPr>
            <w:tcW w:w="992" w:type="dxa"/>
            <w:tcBorders>
              <w:left w:val="nil"/>
              <w:right w:val="nil"/>
            </w:tcBorders>
            <w:shd w:val="clear" w:color="auto" w:fill="auto"/>
            <w:vAlign w:val="center"/>
          </w:tcPr>
          <w:p w:rsidR="0015501D" w:rsidRPr="0015501D" w:rsidRDefault="0015501D" w:rsidP="0015501D">
            <w:pPr>
              <w:jc w:val="center"/>
              <w:textAlignment w:val="center"/>
              <w:rPr>
                <w:rFonts w:eastAsia="宋体"/>
                <w:b/>
                <w:sz w:val="18"/>
                <w:szCs w:val="16"/>
              </w:rPr>
            </w:pPr>
            <w:r w:rsidRPr="0015501D">
              <w:rPr>
                <w:rFonts w:eastAsia="宋体"/>
                <w:b/>
                <w:sz w:val="18"/>
                <w:szCs w:val="16"/>
              </w:rPr>
              <w:t>1100</w:t>
            </w:r>
          </w:p>
        </w:tc>
        <w:tc>
          <w:tcPr>
            <w:tcW w:w="3118" w:type="dxa"/>
            <w:tcBorders>
              <w:left w:val="nil"/>
              <w:right w:val="nil"/>
            </w:tcBorders>
            <w:noWrap/>
            <w:vAlign w:val="center"/>
          </w:tcPr>
          <w:p w:rsidR="0015501D" w:rsidRPr="0015501D" w:rsidRDefault="0015501D" w:rsidP="0015501D">
            <w:pPr>
              <w:jc w:val="center"/>
              <w:textAlignment w:val="center"/>
              <w:rPr>
                <w:rFonts w:eastAsia="宋体"/>
                <w:sz w:val="18"/>
                <w:szCs w:val="16"/>
              </w:rPr>
            </w:pPr>
          </w:p>
        </w:tc>
      </w:tr>
      <w:tr w:rsidR="0015501D" w:rsidRPr="0015501D" w:rsidTr="003A3DAA">
        <w:trPr>
          <w:trHeight w:val="66"/>
        </w:trPr>
        <w:tc>
          <w:tcPr>
            <w:tcW w:w="1573" w:type="dxa"/>
            <w:tcBorders>
              <w:left w:val="nil"/>
              <w:bottom w:val="single" w:sz="8" w:space="0" w:color="005096"/>
              <w:right w:val="nil"/>
            </w:tcBorders>
            <w:shd w:val="clear" w:color="auto" w:fill="DBE5F1"/>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合计</w:t>
            </w:r>
          </w:p>
        </w:tc>
        <w:tc>
          <w:tcPr>
            <w:tcW w:w="992" w:type="dxa"/>
            <w:tcBorders>
              <w:left w:val="nil"/>
              <w:bottom w:val="single" w:sz="8" w:space="0" w:color="005096"/>
              <w:right w:val="nil"/>
            </w:tcBorders>
            <w:shd w:val="clear" w:color="auto" w:fill="DBE5F1"/>
            <w:vAlign w:val="center"/>
          </w:tcPr>
          <w:p w:rsidR="0015501D" w:rsidRPr="0015501D" w:rsidRDefault="0015501D" w:rsidP="0015501D">
            <w:pPr>
              <w:jc w:val="center"/>
              <w:textAlignment w:val="center"/>
              <w:rPr>
                <w:rFonts w:eastAsia="宋体"/>
                <w:b/>
                <w:sz w:val="18"/>
                <w:szCs w:val="16"/>
              </w:rPr>
            </w:pPr>
            <w:r w:rsidRPr="0015501D">
              <w:rPr>
                <w:rFonts w:eastAsia="宋体" w:hint="eastAsia"/>
                <w:b/>
                <w:sz w:val="18"/>
                <w:szCs w:val="16"/>
              </w:rPr>
              <w:t>1990</w:t>
            </w:r>
          </w:p>
        </w:tc>
        <w:tc>
          <w:tcPr>
            <w:tcW w:w="3118" w:type="dxa"/>
            <w:tcBorders>
              <w:left w:val="nil"/>
              <w:bottom w:val="single" w:sz="8" w:space="0" w:color="005096"/>
              <w:right w:val="nil"/>
            </w:tcBorders>
            <w:shd w:val="clear" w:color="auto" w:fill="DBE5F1"/>
            <w:noWrap/>
            <w:vAlign w:val="center"/>
          </w:tcPr>
          <w:p w:rsidR="0015501D" w:rsidRPr="0015501D" w:rsidRDefault="0015501D" w:rsidP="0015501D">
            <w:pPr>
              <w:jc w:val="center"/>
              <w:textAlignment w:val="center"/>
              <w:rPr>
                <w:rFonts w:eastAsia="宋体"/>
                <w:sz w:val="18"/>
                <w:szCs w:val="16"/>
              </w:rPr>
            </w:pPr>
          </w:p>
        </w:tc>
      </w:tr>
    </w:tbl>
    <w:p w:rsidR="0015501D" w:rsidRPr="0015501D" w:rsidRDefault="0015501D" w:rsidP="005143F4">
      <w:pPr>
        <w:spacing w:afterLines="50" w:line="360" w:lineRule="exact"/>
        <w:rPr>
          <w:sz w:val="16"/>
          <w:szCs w:val="16"/>
        </w:rPr>
      </w:pPr>
      <w:r w:rsidRPr="0015501D">
        <w:rPr>
          <w:rFonts w:hint="eastAsia"/>
          <w:sz w:val="16"/>
          <w:szCs w:val="16"/>
        </w:rPr>
        <w:t>资料来源：民生证券研究院整理</w:t>
      </w:r>
    </w:p>
    <w:p w:rsidR="0015501D" w:rsidRPr="0015501D" w:rsidRDefault="0015501D" w:rsidP="0015501D">
      <w:pPr>
        <w:spacing w:line="360" w:lineRule="auto"/>
        <w:ind w:rightChars="1000" w:right="2100"/>
        <w:rPr>
          <w:rFonts w:ascii="楷体" w:eastAsia="楷体" w:hAnsi="楷体"/>
          <w:b/>
          <w:szCs w:val="21"/>
        </w:rPr>
      </w:pPr>
    </w:p>
    <w:p w:rsidR="0015501D" w:rsidRPr="0015501D" w:rsidRDefault="00F33329" w:rsidP="0015501D">
      <w:pPr>
        <w:numPr>
          <w:ilvl w:val="0"/>
          <w:numId w:val="35"/>
        </w:numPr>
        <w:spacing w:line="360" w:lineRule="auto"/>
        <w:ind w:rightChars="1000" w:right="2100"/>
        <w:rPr>
          <w:rFonts w:ascii="楷体" w:eastAsia="楷体" w:hAnsi="楷体"/>
          <w:b/>
          <w:szCs w:val="21"/>
        </w:rPr>
      </w:pPr>
      <w:r>
        <w:rPr>
          <w:rFonts w:ascii="楷体" w:eastAsia="楷体" w:hAnsi="楷体" w:hint="eastAsia"/>
          <w:b/>
          <w:szCs w:val="21"/>
        </w:rPr>
        <w:t>去产能进程：</w:t>
      </w:r>
      <w:r w:rsidR="0015501D" w:rsidRPr="0015501D">
        <w:rPr>
          <w:rFonts w:ascii="楷体" w:eastAsia="楷体" w:hAnsi="楷体" w:hint="eastAsia"/>
          <w:b/>
          <w:szCs w:val="21"/>
        </w:rPr>
        <w:t>问题产能加速退出，实际开工率高，未来供需有望保持平衡</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lastRenderedPageBreak/>
        <w:t>2015年PTA总产能4665万吨，减去问题产能1265万吨后，实际有效产能3400万吨，再减去轮检产能(300~500万吨)，当前PTA开工产能约3070万吨，名义开工率66%，以有效产能3400万吨计，实际开工率高达90%。</w:t>
      </w:r>
    </w:p>
    <w:p w:rsidR="0015501D" w:rsidRPr="0015501D" w:rsidRDefault="0015501D" w:rsidP="0015501D">
      <w:pPr>
        <w:spacing w:line="360" w:lineRule="auto"/>
        <w:ind w:rightChars="1000" w:right="2100" w:firstLine="420"/>
        <w:rPr>
          <w:rFonts w:ascii="楷体" w:eastAsia="楷体" w:hAnsi="楷体"/>
          <w:b/>
          <w:szCs w:val="21"/>
        </w:rPr>
      </w:pPr>
      <w:r w:rsidRPr="0015501D">
        <w:rPr>
          <w:rFonts w:ascii="楷体" w:eastAsia="楷体" w:hAnsi="楷体" w:hint="eastAsia"/>
          <w:szCs w:val="21"/>
        </w:rPr>
        <w:t>截至2015年底聚酯总产能4850万吨，聚酯工厂全年开工率在70~80%之间（平均75%），对应PTA需求量为2920~3330万吨（平均3130万吨），也就是说供需仍旧处在平衡状态。聚酯工厂和PTA工厂的PTA库存均在4天左右，仍维持相对低位。</w:t>
      </w:r>
      <w:r w:rsidRPr="0015501D">
        <w:rPr>
          <w:rFonts w:ascii="楷体" w:eastAsia="楷体" w:hAnsi="楷体" w:hint="eastAsia"/>
          <w:b/>
          <w:szCs w:val="21"/>
        </w:rPr>
        <w:t>我们认为2016年PTA有望保持供需平衡。</w:t>
      </w:r>
    </w:p>
    <w:p w:rsidR="0015501D" w:rsidRPr="0015501D" w:rsidRDefault="0015501D" w:rsidP="0015501D">
      <w:pPr>
        <w:spacing w:line="360" w:lineRule="exact"/>
        <w:rPr>
          <w:b/>
          <w:color w:val="005096"/>
          <w:sz w:val="18"/>
          <w:szCs w:val="20"/>
        </w:rPr>
      </w:pPr>
      <w:r w:rsidRPr="0015501D">
        <w:rPr>
          <w:rFonts w:hint="eastAsia"/>
          <w:b/>
          <w:color w:val="005096"/>
          <w:sz w:val="18"/>
          <w:szCs w:val="20"/>
        </w:rPr>
        <w:t>图</w:t>
      </w:r>
      <w:r w:rsidR="004A065D">
        <w:rPr>
          <w:rFonts w:hint="eastAsia"/>
          <w:b/>
          <w:color w:val="005096"/>
          <w:sz w:val="18"/>
          <w:szCs w:val="20"/>
        </w:rPr>
        <w:t>3</w:t>
      </w:r>
      <w:r w:rsidR="005D7D5C">
        <w:rPr>
          <w:b/>
          <w:color w:val="005096"/>
          <w:sz w:val="18"/>
          <w:szCs w:val="20"/>
        </w:rPr>
        <w:t>9</w:t>
      </w:r>
      <w:r w:rsidRPr="0015501D">
        <w:rPr>
          <w:rFonts w:hint="eastAsia"/>
          <w:b/>
          <w:color w:val="005096"/>
          <w:sz w:val="18"/>
          <w:szCs w:val="20"/>
        </w:rPr>
        <w:t>：聚酯产业链负荷率</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38"/>
      </w:tblGrid>
      <w:tr w:rsidR="0015501D" w:rsidRPr="0015501D" w:rsidTr="003A3DAA">
        <w:trPr>
          <w:trHeight w:hRule="exact" w:val="3142"/>
        </w:trPr>
        <w:tc>
          <w:tcPr>
            <w:tcW w:w="7763" w:type="dxa"/>
            <w:tcBorders>
              <w:top w:val="single" w:sz="8" w:space="0" w:color="005096"/>
              <w:left w:val="nil"/>
              <w:bottom w:val="single" w:sz="8" w:space="0" w:color="005096"/>
              <w:right w:val="nil"/>
            </w:tcBorders>
          </w:tcPr>
          <w:p w:rsidR="0015501D" w:rsidRPr="0015501D" w:rsidRDefault="0015501D" w:rsidP="0015501D">
            <w:pPr>
              <w:autoSpaceDE w:val="0"/>
              <w:autoSpaceDN w:val="0"/>
              <w:jc w:val="center"/>
              <w:rPr>
                <w:sz w:val="24"/>
              </w:rPr>
            </w:pPr>
            <w:r w:rsidRPr="0015501D">
              <w:rPr>
                <w:noProof/>
              </w:rPr>
              <w:drawing>
                <wp:inline distT="0" distB="0" distL="0" distR="0">
                  <wp:extent cx="4595495" cy="1903730"/>
                  <wp:effectExtent l="0" t="0" r="0" b="127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15501D" w:rsidRPr="0015501D" w:rsidRDefault="0015501D" w:rsidP="0015501D">
      <w:pPr>
        <w:spacing w:line="360" w:lineRule="auto"/>
        <w:ind w:rightChars="1000" w:right="2100"/>
        <w:rPr>
          <w:rFonts w:ascii="楷体" w:eastAsia="楷体" w:hAnsi="楷体"/>
          <w:szCs w:val="21"/>
        </w:rPr>
      </w:pPr>
      <w:r w:rsidRPr="0015501D">
        <w:rPr>
          <w:rFonts w:hint="eastAsia"/>
          <w:sz w:val="16"/>
          <w:szCs w:val="16"/>
        </w:rPr>
        <w:t>资料来源</w:t>
      </w:r>
      <w:r w:rsidRPr="0015501D">
        <w:rPr>
          <w:sz w:val="16"/>
          <w:szCs w:val="16"/>
        </w:rPr>
        <w:t>：</w:t>
      </w:r>
      <w:r w:rsidRPr="0015501D">
        <w:rPr>
          <w:sz w:val="16"/>
          <w:szCs w:val="16"/>
        </w:rPr>
        <w:t>Wind</w:t>
      </w:r>
      <w:r w:rsidRPr="0015501D">
        <w:rPr>
          <w:sz w:val="16"/>
          <w:szCs w:val="16"/>
        </w:rPr>
        <w:t>资讯、民生证券研究院整理</w:t>
      </w:r>
    </w:p>
    <w:p w:rsidR="0015501D" w:rsidRPr="0015501D" w:rsidRDefault="0015501D" w:rsidP="0015501D">
      <w:pPr>
        <w:spacing w:line="360" w:lineRule="exact"/>
        <w:rPr>
          <w:b/>
          <w:color w:val="005096"/>
          <w:sz w:val="18"/>
          <w:szCs w:val="20"/>
        </w:rPr>
      </w:pPr>
      <w:bookmarkStart w:id="26" w:name="_Toc440897121"/>
      <w:r w:rsidRPr="0015501D">
        <w:rPr>
          <w:rFonts w:hint="eastAsia"/>
          <w:b/>
          <w:color w:val="005096"/>
          <w:sz w:val="18"/>
          <w:szCs w:val="20"/>
        </w:rPr>
        <w:t>表</w:t>
      </w:r>
      <w:r w:rsidRPr="0015501D">
        <w:rPr>
          <w:b/>
          <w:color w:val="005096"/>
          <w:sz w:val="18"/>
          <w:szCs w:val="20"/>
        </w:rPr>
        <w:t>1</w:t>
      </w:r>
      <w:r w:rsidR="007A307A">
        <w:rPr>
          <w:b/>
          <w:color w:val="005096"/>
          <w:sz w:val="18"/>
          <w:szCs w:val="20"/>
        </w:rPr>
        <w:t>3</w:t>
      </w:r>
      <w:r w:rsidRPr="0015501D">
        <w:rPr>
          <w:rFonts w:hint="eastAsia"/>
          <w:b/>
          <w:color w:val="005096"/>
          <w:sz w:val="18"/>
          <w:szCs w:val="20"/>
        </w:rPr>
        <w:t>：</w:t>
      </w:r>
      <w:r w:rsidRPr="0015501D">
        <w:rPr>
          <w:rFonts w:hint="eastAsia"/>
          <w:b/>
          <w:color w:val="005096"/>
          <w:sz w:val="18"/>
          <w:szCs w:val="20"/>
        </w:rPr>
        <w:t>P</w:t>
      </w:r>
      <w:r w:rsidRPr="0015501D">
        <w:rPr>
          <w:b/>
          <w:color w:val="005096"/>
          <w:sz w:val="18"/>
          <w:szCs w:val="20"/>
        </w:rPr>
        <w:t>TA</w:t>
      </w:r>
      <w:r w:rsidRPr="0015501D">
        <w:rPr>
          <w:rFonts w:hint="eastAsia"/>
          <w:b/>
          <w:color w:val="005096"/>
          <w:sz w:val="18"/>
          <w:szCs w:val="20"/>
        </w:rPr>
        <w:t>问题产能</w:t>
      </w:r>
      <w:bookmarkEnd w:id="26"/>
      <w:r w:rsidRPr="0015501D">
        <w:rPr>
          <w:b/>
          <w:color w:val="005096"/>
          <w:sz w:val="18"/>
          <w:szCs w:val="20"/>
        </w:rPr>
        <w:t>加速退出</w:t>
      </w:r>
    </w:p>
    <w:tbl>
      <w:tblPr>
        <w:tblW w:w="7484" w:type="dxa"/>
        <w:tblInd w:w="95" w:type="dxa"/>
        <w:tblLayout w:type="fixed"/>
        <w:tblLook w:val="00A0"/>
      </w:tblPr>
      <w:tblGrid>
        <w:gridCol w:w="1662"/>
        <w:gridCol w:w="749"/>
        <w:gridCol w:w="750"/>
        <w:gridCol w:w="1049"/>
        <w:gridCol w:w="3274"/>
      </w:tblGrid>
      <w:tr w:rsidR="0015501D" w:rsidRPr="0015501D" w:rsidTr="003A3DAA">
        <w:trPr>
          <w:trHeight w:val="276"/>
        </w:trPr>
        <w:tc>
          <w:tcPr>
            <w:tcW w:w="1662" w:type="dxa"/>
            <w:tcBorders>
              <w:top w:val="single" w:sz="8" w:space="0" w:color="005096"/>
              <w:left w:val="nil"/>
              <w:bottom w:val="single" w:sz="8" w:space="0" w:color="005096"/>
              <w:right w:val="nil"/>
            </w:tcBorders>
            <w:noWrap/>
            <w:vAlign w:val="center"/>
          </w:tcPr>
          <w:p w:rsidR="0015501D" w:rsidRPr="0015501D" w:rsidRDefault="0015501D" w:rsidP="0015501D">
            <w:pPr>
              <w:rPr>
                <w:rFonts w:ascii="Arial" w:hAnsi="Arial"/>
                <w:b/>
                <w:sz w:val="16"/>
                <w:szCs w:val="16"/>
              </w:rPr>
            </w:pPr>
            <w:r w:rsidRPr="0015501D">
              <w:rPr>
                <w:rFonts w:ascii="Arial" w:hAnsi="Arial" w:hint="eastAsia"/>
                <w:b/>
                <w:sz w:val="16"/>
                <w:szCs w:val="16"/>
              </w:rPr>
              <w:t>项目</w:t>
            </w:r>
          </w:p>
        </w:tc>
        <w:tc>
          <w:tcPr>
            <w:tcW w:w="749" w:type="dxa"/>
            <w:tcBorders>
              <w:top w:val="single" w:sz="8" w:space="0" w:color="005096"/>
              <w:left w:val="nil"/>
              <w:bottom w:val="single" w:sz="8" w:space="0" w:color="005096"/>
              <w:right w:val="nil"/>
            </w:tcBorders>
            <w:vAlign w:val="center"/>
          </w:tcPr>
          <w:p w:rsidR="0015501D" w:rsidRPr="0015501D" w:rsidRDefault="0015501D" w:rsidP="0015501D">
            <w:pPr>
              <w:jc w:val="center"/>
              <w:rPr>
                <w:rFonts w:ascii="Arial" w:hAnsi="宋体"/>
                <w:b/>
                <w:kern w:val="0"/>
                <w:sz w:val="16"/>
                <w:szCs w:val="18"/>
              </w:rPr>
            </w:pPr>
            <w:r w:rsidRPr="0015501D">
              <w:rPr>
                <w:rFonts w:ascii="Arial" w:hAnsi="宋体" w:hint="eastAsia"/>
                <w:b/>
                <w:kern w:val="0"/>
                <w:sz w:val="16"/>
                <w:szCs w:val="18"/>
              </w:rPr>
              <w:t>地区</w:t>
            </w:r>
          </w:p>
        </w:tc>
        <w:tc>
          <w:tcPr>
            <w:tcW w:w="750" w:type="dxa"/>
            <w:tcBorders>
              <w:top w:val="single" w:sz="8" w:space="0" w:color="005096"/>
              <w:left w:val="nil"/>
              <w:bottom w:val="single" w:sz="8" w:space="0" w:color="005096"/>
              <w:right w:val="nil"/>
            </w:tcBorders>
          </w:tcPr>
          <w:p w:rsidR="0015501D" w:rsidRPr="0015501D" w:rsidRDefault="0015501D" w:rsidP="0015501D">
            <w:pPr>
              <w:rPr>
                <w:rFonts w:ascii="Arial" w:hAnsi="宋体"/>
                <w:b/>
                <w:kern w:val="0"/>
                <w:sz w:val="16"/>
                <w:szCs w:val="18"/>
              </w:rPr>
            </w:pPr>
            <w:r w:rsidRPr="0015501D">
              <w:rPr>
                <w:rFonts w:ascii="Arial" w:hAnsi="宋体" w:hint="eastAsia"/>
                <w:b/>
                <w:kern w:val="0"/>
                <w:sz w:val="16"/>
                <w:szCs w:val="18"/>
              </w:rPr>
              <w:t>生产线</w:t>
            </w:r>
          </w:p>
        </w:tc>
        <w:tc>
          <w:tcPr>
            <w:tcW w:w="1049" w:type="dxa"/>
            <w:tcBorders>
              <w:top w:val="single" w:sz="8" w:space="0" w:color="005096"/>
              <w:left w:val="nil"/>
              <w:bottom w:val="single" w:sz="8" w:space="0" w:color="005096"/>
              <w:right w:val="nil"/>
            </w:tcBorders>
            <w:shd w:val="clear" w:color="auto" w:fill="auto"/>
            <w:vAlign w:val="center"/>
          </w:tcPr>
          <w:p w:rsidR="0015501D" w:rsidRPr="0015501D" w:rsidRDefault="0015501D" w:rsidP="0015501D">
            <w:pPr>
              <w:rPr>
                <w:rFonts w:ascii="Arial" w:hAnsi="Arial"/>
                <w:b/>
                <w:kern w:val="0"/>
                <w:sz w:val="16"/>
                <w:szCs w:val="18"/>
              </w:rPr>
            </w:pPr>
            <w:r w:rsidRPr="0015501D">
              <w:rPr>
                <w:rFonts w:ascii="Arial" w:hAnsi="宋体" w:hint="eastAsia"/>
                <w:b/>
                <w:kern w:val="0"/>
                <w:sz w:val="16"/>
                <w:szCs w:val="18"/>
              </w:rPr>
              <w:t>产能</w:t>
            </w:r>
            <w:r w:rsidRPr="0015501D">
              <w:rPr>
                <w:rFonts w:ascii="Arial" w:hAnsi="宋体" w:hint="eastAsia"/>
                <w:b/>
                <w:kern w:val="0"/>
                <w:sz w:val="16"/>
                <w:szCs w:val="18"/>
              </w:rPr>
              <w:t>(</w:t>
            </w:r>
            <w:r w:rsidRPr="0015501D">
              <w:rPr>
                <w:rFonts w:ascii="Arial" w:hAnsi="宋体" w:hint="eastAsia"/>
                <w:b/>
                <w:kern w:val="0"/>
                <w:sz w:val="16"/>
                <w:szCs w:val="18"/>
              </w:rPr>
              <w:t>万吨</w:t>
            </w:r>
            <w:r w:rsidRPr="0015501D">
              <w:rPr>
                <w:rFonts w:ascii="Arial" w:hAnsi="宋体" w:hint="eastAsia"/>
                <w:b/>
                <w:kern w:val="0"/>
                <w:sz w:val="16"/>
                <w:szCs w:val="18"/>
              </w:rPr>
              <w:t>)</w:t>
            </w:r>
          </w:p>
        </w:tc>
        <w:tc>
          <w:tcPr>
            <w:tcW w:w="3274" w:type="dxa"/>
            <w:tcBorders>
              <w:top w:val="single" w:sz="8" w:space="0" w:color="005096"/>
              <w:left w:val="nil"/>
              <w:bottom w:val="single" w:sz="8" w:space="0" w:color="005096"/>
              <w:right w:val="nil"/>
            </w:tcBorders>
            <w:noWrap/>
            <w:vAlign w:val="center"/>
          </w:tcPr>
          <w:p w:rsidR="0015501D" w:rsidRPr="0015501D" w:rsidRDefault="0015501D" w:rsidP="0015501D">
            <w:pPr>
              <w:jc w:val="center"/>
              <w:rPr>
                <w:rFonts w:ascii="Arial" w:hAnsi="Arial"/>
                <w:b/>
                <w:kern w:val="0"/>
                <w:sz w:val="16"/>
                <w:szCs w:val="18"/>
              </w:rPr>
            </w:pPr>
            <w:r w:rsidRPr="0015501D">
              <w:rPr>
                <w:rFonts w:ascii="Arial" w:hAnsi="宋体" w:hint="eastAsia"/>
                <w:b/>
                <w:kern w:val="0"/>
                <w:sz w:val="16"/>
                <w:szCs w:val="18"/>
              </w:rPr>
              <w:t>原因</w:t>
            </w:r>
          </w:p>
        </w:tc>
      </w:tr>
      <w:tr w:rsidR="0015501D" w:rsidRPr="0015501D" w:rsidTr="003A3DAA">
        <w:trPr>
          <w:trHeight w:val="276"/>
        </w:trPr>
        <w:tc>
          <w:tcPr>
            <w:tcW w:w="1662" w:type="dxa"/>
            <w:tcBorders>
              <w:top w:val="single" w:sz="8" w:space="0" w:color="005096"/>
              <w:left w:val="nil"/>
              <w:right w:val="nil"/>
            </w:tcBorders>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确定退出产能</w:t>
            </w:r>
          </w:p>
        </w:tc>
        <w:tc>
          <w:tcPr>
            <w:tcW w:w="749" w:type="dxa"/>
            <w:tcBorders>
              <w:top w:val="single" w:sz="8" w:space="0" w:color="005096"/>
              <w:left w:val="nil"/>
              <w:right w:val="nil"/>
            </w:tcBorders>
            <w:vAlign w:val="center"/>
          </w:tcPr>
          <w:p w:rsidR="0015501D" w:rsidRPr="0015501D" w:rsidRDefault="0015501D" w:rsidP="0015501D">
            <w:pPr>
              <w:jc w:val="center"/>
              <w:textAlignment w:val="center"/>
              <w:rPr>
                <w:rFonts w:eastAsia="宋体"/>
                <w:sz w:val="18"/>
                <w:szCs w:val="16"/>
              </w:rPr>
            </w:pPr>
          </w:p>
        </w:tc>
        <w:tc>
          <w:tcPr>
            <w:tcW w:w="750" w:type="dxa"/>
            <w:tcBorders>
              <w:top w:val="single" w:sz="8" w:space="0" w:color="005096"/>
              <w:left w:val="nil"/>
              <w:right w:val="nil"/>
            </w:tcBorders>
          </w:tcPr>
          <w:p w:rsidR="0015501D" w:rsidRPr="0015501D" w:rsidRDefault="0015501D" w:rsidP="0015501D">
            <w:pPr>
              <w:jc w:val="center"/>
              <w:textAlignment w:val="center"/>
              <w:rPr>
                <w:rFonts w:eastAsia="宋体"/>
                <w:sz w:val="18"/>
                <w:szCs w:val="16"/>
              </w:rPr>
            </w:pPr>
          </w:p>
        </w:tc>
        <w:tc>
          <w:tcPr>
            <w:tcW w:w="1049" w:type="dxa"/>
            <w:tcBorders>
              <w:top w:val="single" w:sz="8" w:space="0" w:color="005096"/>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3274" w:type="dxa"/>
            <w:tcBorders>
              <w:top w:val="single" w:sz="8" w:space="0" w:color="005096"/>
              <w:left w:val="nil"/>
              <w:right w:val="nil"/>
            </w:tcBorders>
            <w:noWrap/>
            <w:vAlign w:val="center"/>
          </w:tcPr>
          <w:p w:rsidR="0015501D" w:rsidRPr="0015501D" w:rsidRDefault="0015501D" w:rsidP="0015501D">
            <w:pPr>
              <w:jc w:val="left"/>
              <w:textAlignment w:val="center"/>
              <w:rPr>
                <w:rFonts w:eastAsia="宋体"/>
                <w:sz w:val="18"/>
                <w:szCs w:val="16"/>
              </w:rPr>
            </w:pP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color w:val="005096"/>
                <w:kern w:val="0"/>
                <w:sz w:val="18"/>
                <w:szCs w:val="18"/>
              </w:rPr>
            </w:pPr>
            <w:proofErr w:type="gramStart"/>
            <w:r w:rsidRPr="0015501D">
              <w:rPr>
                <w:rFonts w:eastAsia="宋体" w:hint="eastAsia"/>
                <w:color w:val="005096"/>
                <w:kern w:val="0"/>
                <w:sz w:val="18"/>
                <w:szCs w:val="18"/>
              </w:rPr>
              <w:t>逸盛石化</w:t>
            </w:r>
            <w:proofErr w:type="gramEnd"/>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宁波</w:t>
            </w:r>
          </w:p>
        </w:tc>
        <w:tc>
          <w:tcPr>
            <w:tcW w:w="750"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w:t>
            </w:r>
            <w:r w:rsidRPr="0015501D">
              <w:rPr>
                <w:rFonts w:eastAsia="宋体"/>
                <w:sz w:val="18"/>
                <w:szCs w:val="16"/>
              </w:rPr>
              <w:t>#</w:t>
            </w: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sz w:val="18"/>
                <w:szCs w:val="16"/>
              </w:rPr>
              <w:t>65</w:t>
            </w: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r w:rsidRPr="0015501D">
              <w:rPr>
                <w:rFonts w:eastAsia="宋体" w:hint="eastAsia"/>
                <w:sz w:val="18"/>
                <w:szCs w:val="16"/>
              </w:rPr>
              <w:t>老小装置，</w:t>
            </w:r>
            <w:r w:rsidRPr="0015501D">
              <w:rPr>
                <w:rFonts w:eastAsia="宋体"/>
                <w:sz w:val="18"/>
                <w:szCs w:val="16"/>
              </w:rPr>
              <w:t>不再启用</w:t>
            </w: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翔鹭石化</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厦门</w:t>
            </w:r>
          </w:p>
        </w:tc>
        <w:tc>
          <w:tcPr>
            <w:tcW w:w="750" w:type="dxa"/>
            <w:tcBorders>
              <w:left w:val="nil"/>
              <w:right w:val="nil"/>
            </w:tcBorders>
          </w:tcPr>
          <w:p w:rsidR="0015501D" w:rsidRPr="0015501D" w:rsidRDefault="0015501D" w:rsidP="0015501D">
            <w:pPr>
              <w:jc w:val="center"/>
              <w:textAlignment w:val="center"/>
              <w:rPr>
                <w:rFonts w:eastAsia="宋体"/>
                <w:sz w:val="18"/>
                <w:szCs w:val="16"/>
              </w:rPr>
            </w:pP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sz w:val="18"/>
                <w:szCs w:val="16"/>
              </w:rPr>
              <w:t>165</w:t>
            </w: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r w:rsidRPr="0015501D">
              <w:rPr>
                <w:rFonts w:eastAsia="宋体" w:hint="eastAsia"/>
                <w:sz w:val="18"/>
                <w:szCs w:val="16"/>
              </w:rPr>
              <w:t>老装置，</w:t>
            </w:r>
            <w:r w:rsidRPr="0015501D">
              <w:rPr>
                <w:rFonts w:eastAsia="宋体"/>
                <w:sz w:val="18"/>
                <w:szCs w:val="16"/>
              </w:rPr>
              <w:t>不再</w:t>
            </w:r>
            <w:r w:rsidRPr="0015501D">
              <w:rPr>
                <w:rFonts w:eastAsia="宋体" w:hint="eastAsia"/>
                <w:sz w:val="18"/>
                <w:szCs w:val="16"/>
              </w:rPr>
              <w:t>启用</w:t>
            </w: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扬子石化</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南京</w:t>
            </w:r>
          </w:p>
        </w:tc>
        <w:tc>
          <w:tcPr>
            <w:tcW w:w="750" w:type="dxa"/>
            <w:tcBorders>
              <w:left w:val="nil"/>
              <w:right w:val="nil"/>
            </w:tcBorders>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r w:rsidRPr="0015501D">
              <w:rPr>
                <w:rFonts w:eastAsia="宋体"/>
                <w:sz w:val="18"/>
                <w:szCs w:val="16"/>
              </w:rPr>
              <w:t>#</w:t>
            </w: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35</w:t>
            </w: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r w:rsidRPr="0015501D">
              <w:rPr>
                <w:rFonts w:eastAsia="宋体" w:hint="eastAsia"/>
                <w:sz w:val="18"/>
                <w:szCs w:val="16"/>
              </w:rPr>
              <w:t>老</w:t>
            </w:r>
            <w:r w:rsidRPr="0015501D">
              <w:rPr>
                <w:rFonts w:eastAsia="宋体"/>
                <w:sz w:val="18"/>
                <w:szCs w:val="16"/>
              </w:rPr>
              <w:t>装置</w:t>
            </w:r>
            <w:r w:rsidRPr="0015501D">
              <w:rPr>
                <w:rFonts w:eastAsia="宋体" w:hint="eastAsia"/>
                <w:sz w:val="18"/>
                <w:szCs w:val="16"/>
              </w:rPr>
              <w:t>，</w:t>
            </w:r>
            <w:r w:rsidRPr="0015501D">
              <w:rPr>
                <w:rFonts w:eastAsia="宋体"/>
                <w:sz w:val="18"/>
                <w:szCs w:val="16"/>
              </w:rPr>
              <w:t>不再</w:t>
            </w:r>
            <w:r w:rsidRPr="0015501D">
              <w:rPr>
                <w:rFonts w:eastAsia="宋体" w:hint="eastAsia"/>
                <w:sz w:val="18"/>
                <w:szCs w:val="16"/>
              </w:rPr>
              <w:t>启用</w:t>
            </w: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绍兴远东</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宁波</w:t>
            </w:r>
          </w:p>
        </w:tc>
        <w:tc>
          <w:tcPr>
            <w:tcW w:w="750" w:type="dxa"/>
            <w:tcBorders>
              <w:left w:val="nil"/>
              <w:right w:val="nil"/>
            </w:tcBorders>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r w:rsidRPr="0015501D">
              <w:rPr>
                <w:rFonts w:eastAsia="宋体"/>
                <w:sz w:val="18"/>
                <w:szCs w:val="16"/>
              </w:rPr>
              <w:t>-4#</w:t>
            </w: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sz w:val="18"/>
                <w:szCs w:val="16"/>
              </w:rPr>
              <w:t>320</w:t>
            </w: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r w:rsidRPr="0015501D">
              <w:rPr>
                <w:rFonts w:eastAsia="宋体" w:hint="eastAsia"/>
                <w:sz w:val="18"/>
                <w:szCs w:val="16"/>
              </w:rPr>
              <w:t>装置无</w:t>
            </w:r>
            <w:r w:rsidRPr="0015501D">
              <w:rPr>
                <w:rFonts w:eastAsia="宋体"/>
                <w:sz w:val="18"/>
                <w:szCs w:val="16"/>
              </w:rPr>
              <w:t>竞争力，</w:t>
            </w:r>
            <w:r w:rsidRPr="0015501D">
              <w:rPr>
                <w:rFonts w:eastAsia="宋体" w:hint="eastAsia"/>
                <w:sz w:val="18"/>
                <w:szCs w:val="16"/>
              </w:rPr>
              <w:t>已破产，</w:t>
            </w:r>
            <w:r w:rsidRPr="0015501D">
              <w:rPr>
                <w:rFonts w:eastAsia="宋体"/>
                <w:sz w:val="18"/>
                <w:szCs w:val="16"/>
              </w:rPr>
              <w:t>银行托管</w:t>
            </w: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珠海</w:t>
            </w:r>
            <w:r w:rsidRPr="0015501D">
              <w:rPr>
                <w:rFonts w:eastAsia="宋体" w:hint="eastAsia"/>
                <w:color w:val="005096"/>
                <w:kern w:val="0"/>
                <w:sz w:val="18"/>
                <w:szCs w:val="18"/>
              </w:rPr>
              <w:t>BP</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珠海</w:t>
            </w:r>
          </w:p>
        </w:tc>
        <w:tc>
          <w:tcPr>
            <w:tcW w:w="750" w:type="dxa"/>
            <w:tcBorders>
              <w:left w:val="nil"/>
              <w:right w:val="nil"/>
            </w:tcBorders>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r w:rsidRPr="0015501D">
              <w:rPr>
                <w:rFonts w:eastAsia="宋体"/>
                <w:sz w:val="18"/>
                <w:szCs w:val="16"/>
              </w:rPr>
              <w:t>#</w:t>
            </w: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60</w:t>
            </w: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r w:rsidRPr="0015501D">
              <w:rPr>
                <w:rFonts w:eastAsia="宋体" w:hint="eastAsia"/>
                <w:sz w:val="18"/>
                <w:szCs w:val="16"/>
              </w:rPr>
              <w:t>老</w:t>
            </w:r>
            <w:r w:rsidRPr="0015501D">
              <w:rPr>
                <w:rFonts w:eastAsia="宋体"/>
                <w:sz w:val="18"/>
                <w:szCs w:val="16"/>
              </w:rPr>
              <w:t>装置，不再启用</w:t>
            </w: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蓬威石化</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重庆</w:t>
            </w:r>
          </w:p>
        </w:tc>
        <w:tc>
          <w:tcPr>
            <w:tcW w:w="750" w:type="dxa"/>
            <w:tcBorders>
              <w:left w:val="nil"/>
              <w:right w:val="nil"/>
            </w:tcBorders>
          </w:tcPr>
          <w:p w:rsidR="0015501D" w:rsidRPr="0015501D" w:rsidRDefault="0015501D" w:rsidP="0015501D">
            <w:pPr>
              <w:jc w:val="center"/>
              <w:textAlignment w:val="center"/>
              <w:rPr>
                <w:rFonts w:eastAsia="宋体"/>
                <w:sz w:val="18"/>
                <w:szCs w:val="16"/>
              </w:rPr>
            </w:pP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90</w:t>
            </w: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r w:rsidRPr="0015501D">
              <w:rPr>
                <w:rFonts w:eastAsia="宋体" w:hint="eastAsia"/>
                <w:sz w:val="18"/>
                <w:szCs w:val="16"/>
              </w:rPr>
              <w:t>已</w:t>
            </w:r>
            <w:r w:rsidRPr="0015501D">
              <w:rPr>
                <w:rFonts w:eastAsia="宋体"/>
                <w:sz w:val="18"/>
                <w:szCs w:val="16"/>
              </w:rPr>
              <w:t>停产</w:t>
            </w:r>
            <w:r w:rsidRPr="0015501D">
              <w:rPr>
                <w:rFonts w:eastAsia="宋体" w:hint="eastAsia"/>
                <w:sz w:val="18"/>
                <w:szCs w:val="16"/>
              </w:rPr>
              <w:t>2</w:t>
            </w:r>
            <w:r w:rsidRPr="0015501D">
              <w:rPr>
                <w:rFonts w:eastAsia="宋体" w:hint="eastAsia"/>
                <w:sz w:val="18"/>
                <w:szCs w:val="16"/>
              </w:rPr>
              <w:t>年</w:t>
            </w: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辽阳石化</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辽阳</w:t>
            </w:r>
          </w:p>
        </w:tc>
        <w:tc>
          <w:tcPr>
            <w:tcW w:w="750" w:type="dxa"/>
            <w:tcBorders>
              <w:left w:val="nil"/>
              <w:right w:val="nil"/>
            </w:tcBorders>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r w:rsidRPr="0015501D">
              <w:rPr>
                <w:rFonts w:eastAsia="宋体"/>
                <w:sz w:val="18"/>
                <w:szCs w:val="16"/>
              </w:rPr>
              <w:t>-2#</w:t>
            </w: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80</w:t>
            </w: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r w:rsidRPr="0015501D">
              <w:rPr>
                <w:rFonts w:eastAsia="宋体" w:hint="eastAsia"/>
                <w:sz w:val="18"/>
                <w:szCs w:val="16"/>
              </w:rPr>
              <w:t>长期</w:t>
            </w:r>
            <w:r w:rsidRPr="0015501D">
              <w:rPr>
                <w:rFonts w:eastAsia="宋体"/>
                <w:sz w:val="18"/>
                <w:szCs w:val="16"/>
              </w:rPr>
              <w:t>停工</w:t>
            </w:r>
          </w:p>
        </w:tc>
      </w:tr>
      <w:tr w:rsidR="0015501D" w:rsidRPr="0015501D" w:rsidTr="003A3DAA">
        <w:trPr>
          <w:trHeight w:val="276"/>
        </w:trPr>
        <w:tc>
          <w:tcPr>
            <w:tcW w:w="1662" w:type="dxa"/>
            <w:tcBorders>
              <w:left w:val="nil"/>
              <w:right w:val="nil"/>
            </w:tcBorders>
            <w:shd w:val="clear" w:color="auto" w:fill="auto"/>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小计</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p>
        </w:tc>
        <w:tc>
          <w:tcPr>
            <w:tcW w:w="750" w:type="dxa"/>
            <w:tcBorders>
              <w:left w:val="nil"/>
              <w:right w:val="nil"/>
            </w:tcBorders>
          </w:tcPr>
          <w:p w:rsidR="0015501D" w:rsidRPr="0015501D" w:rsidRDefault="0015501D" w:rsidP="0015501D">
            <w:pPr>
              <w:jc w:val="center"/>
              <w:textAlignment w:val="center"/>
              <w:rPr>
                <w:rFonts w:eastAsia="宋体"/>
                <w:sz w:val="18"/>
                <w:szCs w:val="16"/>
              </w:rPr>
            </w:pP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815</w:t>
            </w:r>
          </w:p>
        </w:tc>
        <w:tc>
          <w:tcPr>
            <w:tcW w:w="3274" w:type="dxa"/>
            <w:tcBorders>
              <w:left w:val="nil"/>
              <w:right w:val="nil"/>
            </w:tcBorders>
            <w:shd w:val="clear" w:color="auto" w:fill="auto"/>
            <w:noWrap/>
            <w:vAlign w:val="center"/>
          </w:tcPr>
          <w:p w:rsidR="0015501D" w:rsidRPr="0015501D" w:rsidRDefault="0015501D" w:rsidP="0015501D">
            <w:pPr>
              <w:jc w:val="left"/>
              <w:textAlignment w:val="center"/>
              <w:rPr>
                <w:rFonts w:eastAsia="宋体"/>
                <w:sz w:val="18"/>
                <w:szCs w:val="16"/>
              </w:rPr>
            </w:pP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因事故停产</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p>
        </w:tc>
        <w:tc>
          <w:tcPr>
            <w:tcW w:w="750" w:type="dxa"/>
            <w:tcBorders>
              <w:left w:val="nil"/>
              <w:right w:val="nil"/>
            </w:tcBorders>
          </w:tcPr>
          <w:p w:rsidR="0015501D" w:rsidRPr="0015501D" w:rsidRDefault="0015501D" w:rsidP="0015501D">
            <w:pPr>
              <w:jc w:val="center"/>
              <w:textAlignment w:val="center"/>
              <w:rPr>
                <w:rFonts w:eastAsia="宋体"/>
                <w:sz w:val="18"/>
                <w:szCs w:val="16"/>
              </w:rPr>
            </w:pP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p>
        </w:tc>
      </w:tr>
      <w:tr w:rsidR="0015501D" w:rsidRPr="0015501D" w:rsidTr="003A3DAA">
        <w:trPr>
          <w:trHeight w:val="276"/>
        </w:trPr>
        <w:tc>
          <w:tcPr>
            <w:tcW w:w="1662" w:type="dxa"/>
            <w:tcBorders>
              <w:left w:val="nil"/>
              <w:right w:val="nil"/>
            </w:tcBorders>
            <w:noWrap/>
            <w:vAlign w:val="center"/>
          </w:tcPr>
          <w:p w:rsidR="0015501D" w:rsidRPr="0015501D" w:rsidRDefault="0015501D" w:rsidP="0015501D">
            <w:pPr>
              <w:widowControl/>
              <w:rPr>
                <w:rFonts w:eastAsia="宋体"/>
                <w:color w:val="005096"/>
                <w:kern w:val="0"/>
                <w:sz w:val="18"/>
                <w:szCs w:val="18"/>
              </w:rPr>
            </w:pPr>
            <w:r w:rsidRPr="0015501D">
              <w:rPr>
                <w:rFonts w:eastAsia="宋体" w:hint="eastAsia"/>
                <w:color w:val="005096"/>
                <w:kern w:val="0"/>
                <w:sz w:val="18"/>
                <w:szCs w:val="18"/>
              </w:rPr>
              <w:t>翔鹭石化</w:t>
            </w:r>
          </w:p>
        </w:tc>
        <w:tc>
          <w:tcPr>
            <w:tcW w:w="749" w:type="dxa"/>
            <w:tcBorders>
              <w:left w:val="nil"/>
              <w:right w:val="nil"/>
            </w:tcBorders>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漳州</w:t>
            </w:r>
          </w:p>
        </w:tc>
        <w:tc>
          <w:tcPr>
            <w:tcW w:w="750" w:type="dxa"/>
            <w:tcBorders>
              <w:left w:val="nil"/>
              <w:right w:val="nil"/>
            </w:tcBorders>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w:t>
            </w:r>
            <w:r w:rsidRPr="0015501D">
              <w:rPr>
                <w:rFonts w:eastAsia="宋体"/>
                <w:sz w:val="18"/>
                <w:szCs w:val="16"/>
              </w:rPr>
              <w:t>-3#</w:t>
            </w:r>
          </w:p>
        </w:tc>
        <w:tc>
          <w:tcPr>
            <w:tcW w:w="1049" w:type="dxa"/>
            <w:tcBorders>
              <w:left w:val="nil"/>
              <w:right w:val="nil"/>
            </w:tcBorders>
            <w:shd w:val="clear" w:color="auto" w:fill="auto"/>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450</w:t>
            </w:r>
          </w:p>
        </w:tc>
        <w:tc>
          <w:tcPr>
            <w:tcW w:w="3274" w:type="dxa"/>
            <w:tcBorders>
              <w:left w:val="nil"/>
              <w:right w:val="nil"/>
            </w:tcBorders>
            <w:noWrap/>
            <w:vAlign w:val="center"/>
          </w:tcPr>
          <w:p w:rsidR="0015501D" w:rsidRPr="0015501D" w:rsidRDefault="0015501D" w:rsidP="0015501D">
            <w:pPr>
              <w:jc w:val="left"/>
              <w:textAlignment w:val="center"/>
              <w:rPr>
                <w:rFonts w:eastAsia="宋体"/>
                <w:sz w:val="18"/>
                <w:szCs w:val="16"/>
              </w:rPr>
            </w:pPr>
            <w:r w:rsidRPr="0015501D">
              <w:rPr>
                <w:rFonts w:eastAsia="宋体" w:hint="eastAsia"/>
                <w:sz w:val="18"/>
                <w:szCs w:val="16"/>
              </w:rPr>
              <w:t>腾龙芳烃</w:t>
            </w:r>
            <w:r w:rsidRPr="0015501D">
              <w:rPr>
                <w:rFonts w:eastAsia="宋体"/>
                <w:sz w:val="18"/>
                <w:szCs w:val="16"/>
              </w:rPr>
              <w:t>爆炸</w:t>
            </w:r>
            <w:r w:rsidRPr="0015501D">
              <w:rPr>
                <w:rFonts w:eastAsia="宋体" w:hint="eastAsia"/>
                <w:sz w:val="18"/>
                <w:szCs w:val="16"/>
              </w:rPr>
              <w:t>，</w:t>
            </w:r>
            <w:r w:rsidRPr="0015501D">
              <w:rPr>
                <w:rFonts w:eastAsia="宋体"/>
                <w:sz w:val="18"/>
                <w:szCs w:val="16"/>
              </w:rPr>
              <w:t>待重组</w:t>
            </w:r>
          </w:p>
        </w:tc>
      </w:tr>
      <w:tr w:rsidR="0015501D" w:rsidRPr="0015501D" w:rsidTr="003A3DAA">
        <w:trPr>
          <w:trHeight w:val="276"/>
        </w:trPr>
        <w:tc>
          <w:tcPr>
            <w:tcW w:w="1662" w:type="dxa"/>
            <w:tcBorders>
              <w:left w:val="nil"/>
              <w:bottom w:val="single" w:sz="8" w:space="0" w:color="005096"/>
              <w:right w:val="nil"/>
            </w:tcBorders>
            <w:shd w:val="clear" w:color="auto" w:fill="DBE5F1"/>
            <w:noWrap/>
            <w:vAlign w:val="center"/>
          </w:tcPr>
          <w:p w:rsidR="0015501D" w:rsidRPr="0015501D" w:rsidRDefault="0015501D" w:rsidP="0015501D">
            <w:pPr>
              <w:widowControl/>
              <w:rPr>
                <w:rFonts w:eastAsia="宋体"/>
                <w:b/>
                <w:color w:val="005096"/>
                <w:kern w:val="0"/>
                <w:sz w:val="18"/>
                <w:szCs w:val="18"/>
              </w:rPr>
            </w:pPr>
            <w:r w:rsidRPr="0015501D">
              <w:rPr>
                <w:rFonts w:eastAsia="宋体" w:hint="eastAsia"/>
                <w:b/>
                <w:color w:val="005096"/>
                <w:kern w:val="0"/>
                <w:sz w:val="18"/>
                <w:szCs w:val="18"/>
              </w:rPr>
              <w:t>合计</w:t>
            </w:r>
          </w:p>
        </w:tc>
        <w:tc>
          <w:tcPr>
            <w:tcW w:w="749" w:type="dxa"/>
            <w:tcBorders>
              <w:left w:val="nil"/>
              <w:bottom w:val="single" w:sz="8" w:space="0" w:color="005096"/>
              <w:right w:val="nil"/>
            </w:tcBorders>
            <w:shd w:val="clear" w:color="auto" w:fill="DBE5F1"/>
            <w:vAlign w:val="center"/>
          </w:tcPr>
          <w:p w:rsidR="0015501D" w:rsidRPr="0015501D" w:rsidRDefault="0015501D" w:rsidP="0015501D">
            <w:pPr>
              <w:jc w:val="center"/>
              <w:textAlignment w:val="center"/>
              <w:rPr>
                <w:rFonts w:eastAsia="宋体"/>
                <w:sz w:val="18"/>
                <w:szCs w:val="16"/>
              </w:rPr>
            </w:pPr>
          </w:p>
        </w:tc>
        <w:tc>
          <w:tcPr>
            <w:tcW w:w="750" w:type="dxa"/>
            <w:tcBorders>
              <w:left w:val="nil"/>
              <w:bottom w:val="single" w:sz="8" w:space="0" w:color="005096"/>
              <w:right w:val="nil"/>
            </w:tcBorders>
            <w:shd w:val="clear" w:color="auto" w:fill="DBE5F1"/>
          </w:tcPr>
          <w:p w:rsidR="0015501D" w:rsidRPr="0015501D" w:rsidRDefault="0015501D" w:rsidP="0015501D">
            <w:pPr>
              <w:jc w:val="center"/>
              <w:textAlignment w:val="center"/>
              <w:rPr>
                <w:rFonts w:eastAsia="宋体"/>
                <w:sz w:val="18"/>
                <w:szCs w:val="16"/>
              </w:rPr>
            </w:pPr>
          </w:p>
        </w:tc>
        <w:tc>
          <w:tcPr>
            <w:tcW w:w="1049" w:type="dxa"/>
            <w:tcBorders>
              <w:left w:val="nil"/>
              <w:bottom w:val="single" w:sz="8" w:space="0" w:color="005096"/>
              <w:right w:val="nil"/>
            </w:tcBorders>
            <w:shd w:val="clear" w:color="auto" w:fill="DBE5F1"/>
            <w:vAlign w:val="center"/>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1265</w:t>
            </w:r>
          </w:p>
        </w:tc>
        <w:tc>
          <w:tcPr>
            <w:tcW w:w="3274" w:type="dxa"/>
            <w:tcBorders>
              <w:left w:val="nil"/>
              <w:bottom w:val="single" w:sz="8" w:space="0" w:color="005096"/>
              <w:right w:val="nil"/>
            </w:tcBorders>
            <w:shd w:val="clear" w:color="auto" w:fill="DBE5F1"/>
            <w:noWrap/>
            <w:vAlign w:val="center"/>
          </w:tcPr>
          <w:p w:rsidR="0015501D" w:rsidRPr="0015501D" w:rsidRDefault="0015501D" w:rsidP="0015501D">
            <w:pPr>
              <w:jc w:val="center"/>
              <w:textAlignment w:val="center"/>
              <w:rPr>
                <w:rFonts w:eastAsia="宋体"/>
                <w:sz w:val="18"/>
                <w:szCs w:val="16"/>
              </w:rPr>
            </w:pPr>
          </w:p>
        </w:tc>
      </w:tr>
    </w:tbl>
    <w:p w:rsidR="0015501D" w:rsidRPr="0015501D" w:rsidRDefault="0015501D" w:rsidP="005143F4">
      <w:pPr>
        <w:spacing w:afterLines="50" w:line="360" w:lineRule="exact"/>
        <w:rPr>
          <w:sz w:val="16"/>
          <w:szCs w:val="16"/>
        </w:rPr>
      </w:pPr>
      <w:r w:rsidRPr="0015501D">
        <w:rPr>
          <w:rFonts w:hint="eastAsia"/>
          <w:sz w:val="16"/>
          <w:szCs w:val="16"/>
        </w:rPr>
        <w:t>资料来源：</w:t>
      </w:r>
      <w:r w:rsidRPr="0015501D">
        <w:rPr>
          <w:sz w:val="16"/>
          <w:szCs w:val="16"/>
        </w:rPr>
        <w:t>民生证券研究院整理</w:t>
      </w:r>
    </w:p>
    <w:p w:rsidR="0015501D" w:rsidRPr="0015501D" w:rsidRDefault="0015501D" w:rsidP="0015501D">
      <w:pPr>
        <w:spacing w:line="360" w:lineRule="auto"/>
        <w:ind w:rightChars="1000" w:right="2100"/>
        <w:rPr>
          <w:rFonts w:ascii="楷体" w:eastAsia="楷体" w:hAnsi="楷体"/>
          <w:b/>
          <w:szCs w:val="21"/>
        </w:rPr>
      </w:pPr>
    </w:p>
    <w:p w:rsidR="0015501D" w:rsidRPr="0015501D" w:rsidRDefault="00494722" w:rsidP="0015501D">
      <w:pPr>
        <w:numPr>
          <w:ilvl w:val="0"/>
          <w:numId w:val="35"/>
        </w:numPr>
        <w:spacing w:line="360" w:lineRule="auto"/>
        <w:ind w:rightChars="1000" w:right="2100"/>
        <w:rPr>
          <w:rFonts w:ascii="楷体" w:eastAsia="楷体" w:hAnsi="楷体"/>
          <w:b/>
          <w:szCs w:val="21"/>
        </w:rPr>
      </w:pPr>
      <w:r>
        <w:rPr>
          <w:rFonts w:ascii="楷体" w:eastAsia="楷体" w:hAnsi="楷体" w:hint="eastAsia"/>
          <w:b/>
          <w:szCs w:val="21"/>
        </w:rPr>
        <w:t>受益公司</w:t>
      </w:r>
    </w:p>
    <w:p w:rsidR="0015501D" w:rsidRPr="0015501D" w:rsidRDefault="0015501D" w:rsidP="0015501D">
      <w:pPr>
        <w:spacing w:line="360" w:lineRule="auto"/>
        <w:ind w:rightChars="1000" w:right="2100" w:firstLine="420"/>
        <w:rPr>
          <w:rFonts w:ascii="楷体" w:eastAsia="楷体" w:hAnsi="楷体"/>
          <w:b/>
          <w:szCs w:val="21"/>
        </w:rPr>
      </w:pPr>
      <w:r w:rsidRPr="0015501D">
        <w:rPr>
          <w:rFonts w:ascii="楷体" w:eastAsia="楷体" w:hAnsi="楷体" w:hint="eastAsia"/>
          <w:b/>
          <w:szCs w:val="21"/>
        </w:rPr>
        <w:t>综合以上逻辑和数据，我们对PTA的判断是：短期价格与价差受原油跌势拖累严重，2016年PTA供需能维持基本平衡，亏损不会成为常态，PTA短期继续弱势，春节后补库存行情下会出现显著反弹，全年4000~5000元/吨震荡走高。股票推荐顺序：</w:t>
      </w:r>
      <w:proofErr w:type="gramStart"/>
      <w:r w:rsidRPr="0015501D">
        <w:rPr>
          <w:rFonts w:ascii="楷体" w:eastAsia="楷体" w:hAnsi="楷体" w:hint="eastAsia"/>
          <w:b/>
          <w:szCs w:val="21"/>
        </w:rPr>
        <w:t>恒逸石化</w:t>
      </w:r>
      <w:proofErr w:type="gramEnd"/>
      <w:r w:rsidRPr="0015501D">
        <w:rPr>
          <w:rFonts w:ascii="楷体" w:eastAsia="楷体" w:hAnsi="楷体" w:hint="eastAsia"/>
          <w:b/>
          <w:szCs w:val="21"/>
        </w:rPr>
        <w:t>、荣盛石化、</w:t>
      </w:r>
      <w:proofErr w:type="gramStart"/>
      <w:r w:rsidRPr="0015501D">
        <w:rPr>
          <w:rFonts w:ascii="楷体" w:eastAsia="楷体" w:hAnsi="楷体" w:hint="eastAsia"/>
          <w:b/>
          <w:szCs w:val="21"/>
        </w:rPr>
        <w:t>桐昆股份</w:t>
      </w:r>
      <w:proofErr w:type="gramEnd"/>
      <w:r w:rsidRPr="0015501D">
        <w:rPr>
          <w:rFonts w:ascii="楷体" w:eastAsia="楷体" w:hAnsi="楷体" w:hint="eastAsia"/>
          <w:b/>
          <w:szCs w:val="21"/>
        </w:rPr>
        <w:t>。</w:t>
      </w:r>
    </w:p>
    <w:p w:rsidR="0015501D" w:rsidRPr="0015501D" w:rsidRDefault="0015501D" w:rsidP="0015501D">
      <w:pPr>
        <w:spacing w:line="360" w:lineRule="exact"/>
        <w:rPr>
          <w:b/>
          <w:color w:val="005096"/>
          <w:sz w:val="18"/>
          <w:szCs w:val="20"/>
        </w:rPr>
      </w:pPr>
      <w:bookmarkStart w:id="27" w:name="_Toc440897122"/>
      <w:r w:rsidRPr="0015501D">
        <w:rPr>
          <w:rFonts w:hint="eastAsia"/>
          <w:b/>
          <w:color w:val="005096"/>
          <w:sz w:val="18"/>
          <w:szCs w:val="20"/>
        </w:rPr>
        <w:lastRenderedPageBreak/>
        <w:t>表</w:t>
      </w:r>
      <w:r w:rsidRPr="0015501D">
        <w:rPr>
          <w:b/>
          <w:color w:val="005096"/>
          <w:sz w:val="18"/>
          <w:szCs w:val="20"/>
        </w:rPr>
        <w:t>1</w:t>
      </w:r>
      <w:r w:rsidR="007A307A">
        <w:rPr>
          <w:b/>
          <w:color w:val="005096"/>
          <w:sz w:val="18"/>
          <w:szCs w:val="20"/>
        </w:rPr>
        <w:t>4</w:t>
      </w:r>
      <w:r w:rsidRPr="0015501D">
        <w:rPr>
          <w:rFonts w:hint="eastAsia"/>
          <w:b/>
          <w:color w:val="005096"/>
          <w:sz w:val="18"/>
          <w:szCs w:val="20"/>
        </w:rPr>
        <w:t>：</w:t>
      </w:r>
      <w:r w:rsidRPr="0015501D">
        <w:rPr>
          <w:rFonts w:hint="eastAsia"/>
          <w:b/>
          <w:color w:val="005096"/>
          <w:sz w:val="18"/>
          <w:szCs w:val="20"/>
        </w:rPr>
        <w:t>PTA</w:t>
      </w:r>
      <w:r w:rsidRPr="0015501D">
        <w:rPr>
          <w:b/>
          <w:color w:val="005096"/>
          <w:sz w:val="18"/>
          <w:szCs w:val="20"/>
        </w:rPr>
        <w:t>行业公司</w:t>
      </w:r>
      <w:r w:rsidRPr="0015501D">
        <w:rPr>
          <w:rFonts w:hint="eastAsia"/>
          <w:b/>
          <w:color w:val="005096"/>
          <w:sz w:val="18"/>
          <w:szCs w:val="20"/>
        </w:rPr>
        <w:t>产能</w:t>
      </w:r>
      <w:r w:rsidRPr="0015501D">
        <w:rPr>
          <w:rFonts w:hint="eastAsia"/>
          <w:b/>
          <w:color w:val="005096"/>
          <w:sz w:val="18"/>
          <w:szCs w:val="20"/>
        </w:rPr>
        <w:t>/</w:t>
      </w:r>
      <w:r w:rsidRPr="0015501D">
        <w:rPr>
          <w:rFonts w:hint="eastAsia"/>
          <w:b/>
          <w:color w:val="005096"/>
          <w:sz w:val="18"/>
          <w:szCs w:val="20"/>
        </w:rPr>
        <w:t>市值</w:t>
      </w:r>
      <w:r w:rsidRPr="0015501D">
        <w:rPr>
          <w:b/>
          <w:color w:val="005096"/>
          <w:sz w:val="18"/>
          <w:szCs w:val="20"/>
        </w:rPr>
        <w:t>弹性</w:t>
      </w:r>
      <w:bookmarkEnd w:id="27"/>
    </w:p>
    <w:tbl>
      <w:tblPr>
        <w:tblW w:w="7945" w:type="dxa"/>
        <w:tblInd w:w="108" w:type="dxa"/>
        <w:tblBorders>
          <w:top w:val="single" w:sz="4" w:space="0" w:color="005096"/>
          <w:bottom w:val="single" w:sz="4" w:space="0" w:color="005096"/>
        </w:tblBorders>
        <w:tblLook w:val="04A0"/>
      </w:tblPr>
      <w:tblGrid>
        <w:gridCol w:w="1188"/>
        <w:gridCol w:w="939"/>
        <w:gridCol w:w="1559"/>
        <w:gridCol w:w="999"/>
        <w:gridCol w:w="1411"/>
        <w:gridCol w:w="1849"/>
      </w:tblGrid>
      <w:tr w:rsidR="0015501D" w:rsidRPr="0015501D" w:rsidTr="003A3DAA">
        <w:trPr>
          <w:trHeight w:val="270"/>
        </w:trPr>
        <w:tc>
          <w:tcPr>
            <w:tcW w:w="1188"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代码</w:t>
            </w:r>
          </w:p>
        </w:tc>
        <w:tc>
          <w:tcPr>
            <w:tcW w:w="93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股票</w:t>
            </w:r>
          </w:p>
        </w:tc>
        <w:tc>
          <w:tcPr>
            <w:tcW w:w="155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股价</w:t>
            </w:r>
            <w:r w:rsidRPr="0015501D">
              <w:rPr>
                <w:rFonts w:ascii="Arial" w:hAnsi="Arial" w:hint="eastAsia"/>
                <w:b/>
                <w:sz w:val="16"/>
                <w:szCs w:val="16"/>
              </w:rPr>
              <w:t>(</w:t>
            </w:r>
            <w:r w:rsidRPr="0015501D">
              <w:rPr>
                <w:rFonts w:ascii="Arial" w:hAnsi="Arial"/>
                <w:b/>
                <w:sz w:val="16"/>
                <w:szCs w:val="16"/>
              </w:rPr>
              <w:t>2016-01-15</w:t>
            </w:r>
            <w:r w:rsidRPr="0015501D">
              <w:rPr>
                <w:rFonts w:ascii="Arial" w:hAnsi="Arial" w:hint="eastAsia"/>
                <w:b/>
                <w:sz w:val="16"/>
                <w:szCs w:val="16"/>
              </w:rPr>
              <w:t>)</w:t>
            </w:r>
          </w:p>
        </w:tc>
        <w:tc>
          <w:tcPr>
            <w:tcW w:w="99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市值</w:t>
            </w:r>
            <w:r w:rsidRPr="0015501D">
              <w:rPr>
                <w:rFonts w:ascii="Arial" w:hAnsi="Arial" w:hint="eastAsia"/>
                <w:b/>
                <w:sz w:val="16"/>
                <w:szCs w:val="16"/>
              </w:rPr>
              <w:t>(</w:t>
            </w:r>
            <w:r w:rsidRPr="0015501D">
              <w:rPr>
                <w:rFonts w:ascii="Arial" w:hAnsi="Arial" w:hint="eastAsia"/>
                <w:b/>
                <w:sz w:val="16"/>
                <w:szCs w:val="16"/>
              </w:rPr>
              <w:t>亿</w:t>
            </w:r>
            <w:r w:rsidRPr="0015501D">
              <w:rPr>
                <w:rFonts w:ascii="Arial" w:hAnsi="Arial" w:hint="eastAsia"/>
                <w:b/>
                <w:sz w:val="16"/>
                <w:szCs w:val="16"/>
              </w:rPr>
              <w:t>)</w:t>
            </w:r>
          </w:p>
        </w:tc>
        <w:tc>
          <w:tcPr>
            <w:tcW w:w="1411"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PTA</w:t>
            </w:r>
            <w:r w:rsidRPr="0015501D">
              <w:rPr>
                <w:rFonts w:ascii="Arial" w:hAnsi="Arial" w:hint="eastAsia"/>
                <w:b/>
                <w:sz w:val="16"/>
                <w:szCs w:val="16"/>
              </w:rPr>
              <w:t>产能</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184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弹性</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r w:rsidRPr="0015501D">
              <w:rPr>
                <w:rFonts w:ascii="Arial" w:hAnsi="Arial" w:hint="eastAsia"/>
                <w:b/>
                <w:sz w:val="16"/>
                <w:szCs w:val="16"/>
              </w:rPr>
              <w:t>亿</w:t>
            </w:r>
            <w:r w:rsidRPr="0015501D">
              <w:rPr>
                <w:rFonts w:ascii="Arial" w:hAnsi="Arial"/>
                <w:b/>
                <w:sz w:val="16"/>
                <w:szCs w:val="16"/>
              </w:rPr>
              <w:t>市值</w:t>
            </w:r>
            <w:r w:rsidRPr="0015501D">
              <w:rPr>
                <w:rFonts w:ascii="Arial" w:hAnsi="Arial" w:hint="eastAsia"/>
                <w:b/>
                <w:sz w:val="16"/>
                <w:szCs w:val="16"/>
              </w:rPr>
              <w:t>)</w:t>
            </w:r>
          </w:p>
        </w:tc>
      </w:tr>
      <w:tr w:rsidR="0015501D" w:rsidRPr="0015501D" w:rsidTr="003A3DAA">
        <w:trPr>
          <w:trHeight w:val="270"/>
        </w:trPr>
        <w:tc>
          <w:tcPr>
            <w:tcW w:w="1188" w:type="dxa"/>
            <w:tcBorders>
              <w:top w:val="single" w:sz="4" w:space="0" w:color="005096"/>
            </w:tcBorders>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000703</w:t>
            </w:r>
          </w:p>
        </w:tc>
        <w:tc>
          <w:tcPr>
            <w:tcW w:w="939" w:type="dxa"/>
            <w:tcBorders>
              <w:top w:val="single" w:sz="4" w:space="0" w:color="005096"/>
            </w:tcBorders>
            <w:shd w:val="clear" w:color="auto" w:fill="auto"/>
            <w:noWrap/>
          </w:tcPr>
          <w:p w:rsidR="0015501D" w:rsidRPr="0015501D" w:rsidRDefault="0015501D" w:rsidP="0015501D">
            <w:pPr>
              <w:jc w:val="center"/>
              <w:textAlignment w:val="center"/>
              <w:rPr>
                <w:rFonts w:eastAsia="宋体"/>
                <w:color w:val="005096"/>
                <w:sz w:val="18"/>
                <w:szCs w:val="16"/>
              </w:rPr>
            </w:pPr>
            <w:proofErr w:type="gramStart"/>
            <w:r w:rsidRPr="0015501D">
              <w:rPr>
                <w:rFonts w:eastAsia="宋体" w:hint="eastAsia"/>
                <w:color w:val="005096"/>
                <w:sz w:val="18"/>
                <w:szCs w:val="16"/>
              </w:rPr>
              <w:t>恒逸石化</w:t>
            </w:r>
            <w:proofErr w:type="gramEnd"/>
          </w:p>
        </w:tc>
        <w:tc>
          <w:tcPr>
            <w:tcW w:w="155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8.95</w:t>
            </w:r>
          </w:p>
        </w:tc>
        <w:tc>
          <w:tcPr>
            <w:tcW w:w="99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116.9 </w:t>
            </w:r>
          </w:p>
        </w:tc>
        <w:tc>
          <w:tcPr>
            <w:tcW w:w="1411"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615</w:t>
            </w:r>
          </w:p>
        </w:tc>
        <w:tc>
          <w:tcPr>
            <w:tcW w:w="184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5.26 </w:t>
            </w:r>
          </w:p>
        </w:tc>
      </w:tr>
      <w:tr w:rsidR="0015501D" w:rsidRPr="0015501D" w:rsidTr="003A3DAA">
        <w:trPr>
          <w:trHeight w:val="270"/>
        </w:trPr>
        <w:tc>
          <w:tcPr>
            <w:tcW w:w="1188"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002493</w:t>
            </w:r>
          </w:p>
        </w:tc>
        <w:tc>
          <w:tcPr>
            <w:tcW w:w="939"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荣盛石化</w:t>
            </w:r>
          </w:p>
        </w:tc>
        <w:tc>
          <w:tcPr>
            <w:tcW w:w="155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11.39</w:t>
            </w:r>
          </w:p>
        </w:tc>
        <w:tc>
          <w:tcPr>
            <w:tcW w:w="99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253.3 </w:t>
            </w:r>
          </w:p>
        </w:tc>
        <w:tc>
          <w:tcPr>
            <w:tcW w:w="1411"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596</w:t>
            </w:r>
          </w:p>
        </w:tc>
        <w:tc>
          <w:tcPr>
            <w:tcW w:w="184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2.35 </w:t>
            </w:r>
          </w:p>
        </w:tc>
      </w:tr>
      <w:tr w:rsidR="0015501D" w:rsidRPr="0015501D" w:rsidTr="003A3DAA">
        <w:trPr>
          <w:trHeight w:val="270"/>
        </w:trPr>
        <w:tc>
          <w:tcPr>
            <w:tcW w:w="1188"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601233</w:t>
            </w:r>
          </w:p>
        </w:tc>
        <w:tc>
          <w:tcPr>
            <w:tcW w:w="939" w:type="dxa"/>
            <w:shd w:val="clear" w:color="auto" w:fill="auto"/>
            <w:noWrap/>
          </w:tcPr>
          <w:p w:rsidR="0015501D" w:rsidRPr="0015501D" w:rsidRDefault="0015501D" w:rsidP="0015501D">
            <w:pPr>
              <w:jc w:val="center"/>
              <w:textAlignment w:val="center"/>
              <w:rPr>
                <w:rFonts w:eastAsia="宋体"/>
                <w:color w:val="005096"/>
                <w:sz w:val="18"/>
                <w:szCs w:val="16"/>
              </w:rPr>
            </w:pPr>
            <w:proofErr w:type="gramStart"/>
            <w:r w:rsidRPr="0015501D">
              <w:rPr>
                <w:rFonts w:eastAsia="宋体" w:hint="eastAsia"/>
                <w:color w:val="005096"/>
                <w:sz w:val="18"/>
                <w:szCs w:val="16"/>
              </w:rPr>
              <w:t>桐昆股份</w:t>
            </w:r>
            <w:proofErr w:type="gramEnd"/>
          </w:p>
        </w:tc>
        <w:tc>
          <w:tcPr>
            <w:tcW w:w="155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9.48</w:t>
            </w:r>
          </w:p>
        </w:tc>
        <w:tc>
          <w:tcPr>
            <w:tcW w:w="99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91.3 </w:t>
            </w:r>
          </w:p>
        </w:tc>
        <w:tc>
          <w:tcPr>
            <w:tcW w:w="1411"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150</w:t>
            </w:r>
          </w:p>
        </w:tc>
        <w:tc>
          <w:tcPr>
            <w:tcW w:w="184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1.64 </w:t>
            </w:r>
          </w:p>
        </w:tc>
      </w:tr>
    </w:tbl>
    <w:p w:rsidR="0015501D" w:rsidRPr="0015501D" w:rsidRDefault="0015501D" w:rsidP="005143F4">
      <w:pPr>
        <w:spacing w:afterLines="50" w:line="360" w:lineRule="exact"/>
        <w:rPr>
          <w:sz w:val="16"/>
          <w:szCs w:val="16"/>
        </w:rPr>
      </w:pPr>
      <w:r w:rsidRPr="0015501D">
        <w:rPr>
          <w:rFonts w:hint="eastAsia"/>
          <w:sz w:val="16"/>
          <w:szCs w:val="16"/>
        </w:rPr>
        <w:t>资料来源</w:t>
      </w:r>
      <w:r w:rsidRPr="0015501D">
        <w:rPr>
          <w:sz w:val="16"/>
          <w:szCs w:val="16"/>
        </w:rPr>
        <w:t>：</w:t>
      </w:r>
      <w:r w:rsidRPr="0015501D">
        <w:rPr>
          <w:rFonts w:hint="eastAsia"/>
          <w:sz w:val="16"/>
          <w:szCs w:val="16"/>
        </w:rPr>
        <w:t>Wind</w:t>
      </w:r>
      <w:r w:rsidRPr="0015501D">
        <w:rPr>
          <w:rFonts w:hint="eastAsia"/>
          <w:sz w:val="16"/>
          <w:szCs w:val="16"/>
        </w:rPr>
        <w:t>资讯</w:t>
      </w:r>
      <w:r w:rsidRPr="0015501D">
        <w:rPr>
          <w:sz w:val="16"/>
          <w:szCs w:val="16"/>
        </w:rPr>
        <w:t>、民生证券研究院整理</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15501D" w:rsidP="0015501D">
      <w:pPr>
        <w:numPr>
          <w:ilvl w:val="0"/>
          <w:numId w:val="11"/>
        </w:numPr>
        <w:spacing w:line="360" w:lineRule="auto"/>
        <w:ind w:rightChars="1000" w:right="2100"/>
        <w:rPr>
          <w:rFonts w:ascii="楷体" w:eastAsia="楷体" w:hAnsi="楷体"/>
          <w:b/>
          <w:szCs w:val="21"/>
        </w:rPr>
      </w:pPr>
      <w:r w:rsidRPr="0015501D">
        <w:rPr>
          <w:rFonts w:ascii="楷体" w:eastAsia="楷体" w:hAnsi="楷体" w:hint="eastAsia"/>
          <w:b/>
          <w:szCs w:val="21"/>
        </w:rPr>
        <w:t>纯碱行业开工率高，产能收缩，价格有望继续上涨</w:t>
      </w:r>
    </w:p>
    <w:p w:rsidR="0015501D" w:rsidRPr="0015501D" w:rsidRDefault="0015501D" w:rsidP="0015501D">
      <w:pPr>
        <w:spacing w:line="360" w:lineRule="auto"/>
        <w:ind w:rightChars="1000" w:right="2100"/>
        <w:rPr>
          <w:rFonts w:ascii="楷体" w:eastAsia="楷体" w:hAnsi="楷体"/>
          <w:b/>
          <w:szCs w:val="21"/>
        </w:rPr>
      </w:pPr>
    </w:p>
    <w:p w:rsidR="0015501D" w:rsidRPr="0015501D" w:rsidRDefault="008700F8" w:rsidP="0015501D">
      <w:pPr>
        <w:numPr>
          <w:ilvl w:val="0"/>
          <w:numId w:val="32"/>
        </w:numPr>
        <w:spacing w:line="360" w:lineRule="auto"/>
        <w:ind w:rightChars="1000" w:right="2100"/>
        <w:rPr>
          <w:rFonts w:ascii="楷体" w:eastAsia="楷体" w:hAnsi="楷体"/>
          <w:b/>
          <w:szCs w:val="21"/>
        </w:rPr>
      </w:pPr>
      <w:r>
        <w:rPr>
          <w:rFonts w:ascii="楷体" w:eastAsia="楷体" w:hAnsi="楷体" w:hint="eastAsia"/>
          <w:b/>
          <w:szCs w:val="21"/>
        </w:rPr>
        <w:t>产能利用情况：</w:t>
      </w:r>
      <w:bookmarkStart w:id="28" w:name="_GoBack"/>
      <w:bookmarkEnd w:id="28"/>
      <w:r w:rsidR="0015501D" w:rsidRPr="0015501D">
        <w:rPr>
          <w:rFonts w:ascii="楷体" w:eastAsia="楷体" w:hAnsi="楷体" w:hint="eastAsia"/>
          <w:b/>
          <w:szCs w:val="21"/>
        </w:rPr>
        <w:t>纯碱行业开工率在80%以上，价格已经开始反弹</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纯碱行业开工率较高，在80%以上，因此供给侧的波动容易造成产品价格的上涨。</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93"/>
        <w:gridCol w:w="283"/>
        <w:gridCol w:w="5030"/>
      </w:tblGrid>
      <w:tr w:rsidR="0015501D" w:rsidRPr="0015501D" w:rsidTr="003A3DAA">
        <w:trPr>
          <w:trHeight w:hRule="exact" w:val="454"/>
        </w:trPr>
        <w:tc>
          <w:tcPr>
            <w:tcW w:w="4893" w:type="dxa"/>
            <w:tcBorders>
              <w:top w:val="nil"/>
              <w:left w:val="nil"/>
              <w:bottom w:val="single" w:sz="8" w:space="0" w:color="005096"/>
              <w:right w:val="nil"/>
            </w:tcBorders>
            <w:vAlign w:val="bottom"/>
          </w:tcPr>
          <w:p w:rsidR="0015501D" w:rsidRPr="0015501D" w:rsidRDefault="0015501D" w:rsidP="005D7D5C">
            <w:pPr>
              <w:spacing w:line="360" w:lineRule="exact"/>
              <w:rPr>
                <w:b/>
                <w:color w:val="005096"/>
                <w:sz w:val="18"/>
                <w:szCs w:val="20"/>
              </w:rPr>
            </w:pPr>
            <w:bookmarkStart w:id="29" w:name="_Toc440897094"/>
            <w:r w:rsidRPr="0015501D">
              <w:rPr>
                <w:rFonts w:hint="eastAsia"/>
                <w:b/>
                <w:color w:val="005096"/>
                <w:sz w:val="18"/>
                <w:szCs w:val="20"/>
              </w:rPr>
              <w:t>图</w:t>
            </w:r>
            <w:r w:rsidR="005D7D5C">
              <w:rPr>
                <w:b/>
                <w:color w:val="005096"/>
                <w:sz w:val="18"/>
                <w:szCs w:val="18"/>
              </w:rPr>
              <w:t>40</w:t>
            </w:r>
            <w:r w:rsidRPr="0015501D">
              <w:rPr>
                <w:rFonts w:hint="eastAsia"/>
                <w:b/>
                <w:color w:val="005096"/>
                <w:sz w:val="18"/>
                <w:szCs w:val="20"/>
              </w:rPr>
              <w:t>：纯碱近年的价格变化</w:t>
            </w:r>
            <w:bookmarkEnd w:id="29"/>
          </w:p>
        </w:tc>
        <w:tc>
          <w:tcPr>
            <w:tcW w:w="283" w:type="dxa"/>
            <w:tcBorders>
              <w:top w:val="nil"/>
              <w:left w:val="nil"/>
              <w:bottom w:val="nil"/>
              <w:right w:val="nil"/>
            </w:tcBorders>
          </w:tcPr>
          <w:p w:rsidR="0015501D" w:rsidRPr="0015501D" w:rsidRDefault="0015501D" w:rsidP="005143F4">
            <w:pPr>
              <w:autoSpaceDE w:val="0"/>
              <w:autoSpaceDN w:val="0"/>
              <w:spacing w:beforeLines="50" w:afterLines="50" w:line="360" w:lineRule="auto"/>
              <w:rPr>
                <w:sz w:val="24"/>
              </w:rPr>
            </w:pPr>
          </w:p>
        </w:tc>
        <w:tc>
          <w:tcPr>
            <w:tcW w:w="5030" w:type="dxa"/>
            <w:tcBorders>
              <w:top w:val="nil"/>
              <w:left w:val="nil"/>
              <w:bottom w:val="single" w:sz="8" w:space="0" w:color="005096"/>
              <w:right w:val="nil"/>
            </w:tcBorders>
            <w:vAlign w:val="bottom"/>
          </w:tcPr>
          <w:p w:rsidR="0015501D" w:rsidRPr="0015501D" w:rsidRDefault="0015501D" w:rsidP="005D7D5C">
            <w:pPr>
              <w:spacing w:line="360" w:lineRule="exact"/>
              <w:rPr>
                <w:b/>
                <w:color w:val="005096"/>
                <w:sz w:val="18"/>
                <w:szCs w:val="20"/>
              </w:rPr>
            </w:pPr>
            <w:bookmarkStart w:id="30" w:name="_Toc440897095"/>
            <w:r w:rsidRPr="0015501D">
              <w:rPr>
                <w:rFonts w:hint="eastAsia"/>
                <w:b/>
                <w:color w:val="005096"/>
                <w:sz w:val="18"/>
                <w:szCs w:val="20"/>
              </w:rPr>
              <w:t>图</w:t>
            </w:r>
            <w:r w:rsidR="004A065D">
              <w:rPr>
                <w:color w:val="005096"/>
                <w:sz w:val="18"/>
                <w:szCs w:val="20"/>
              </w:rPr>
              <w:t>4</w:t>
            </w:r>
            <w:r w:rsidR="005D7D5C">
              <w:rPr>
                <w:color w:val="005096"/>
                <w:sz w:val="18"/>
                <w:szCs w:val="20"/>
              </w:rPr>
              <w:t>1</w:t>
            </w:r>
            <w:r w:rsidRPr="0015501D">
              <w:rPr>
                <w:rFonts w:hint="eastAsia"/>
                <w:b/>
                <w:color w:val="005096"/>
                <w:sz w:val="18"/>
                <w:szCs w:val="20"/>
              </w:rPr>
              <w:t>：纯碱的开工率</w:t>
            </w:r>
            <w:bookmarkEnd w:id="30"/>
          </w:p>
        </w:tc>
      </w:tr>
      <w:tr w:rsidR="0015501D" w:rsidRPr="0015501D" w:rsidTr="003A3DAA">
        <w:trPr>
          <w:trHeight w:hRule="exact" w:val="3482"/>
        </w:trPr>
        <w:tc>
          <w:tcPr>
            <w:tcW w:w="4893" w:type="dxa"/>
            <w:tcBorders>
              <w:top w:val="single" w:sz="8" w:space="0" w:color="005096"/>
              <w:left w:val="nil"/>
              <w:bottom w:val="single" w:sz="8" w:space="0" w:color="005096"/>
              <w:right w:val="nil"/>
            </w:tcBorders>
          </w:tcPr>
          <w:p w:rsidR="0015501D" w:rsidRPr="0015501D" w:rsidRDefault="0015501D" w:rsidP="005143F4">
            <w:pPr>
              <w:autoSpaceDE w:val="0"/>
              <w:autoSpaceDN w:val="0"/>
              <w:spacing w:beforeLines="50" w:afterLines="50" w:line="360" w:lineRule="auto"/>
              <w:rPr>
                <w:sz w:val="24"/>
              </w:rPr>
            </w:pPr>
            <w:r w:rsidRPr="0015501D">
              <w:rPr>
                <w:noProof/>
              </w:rPr>
              <w:drawing>
                <wp:anchor distT="0" distB="0" distL="114300" distR="114300" simplePos="0" relativeHeight="251658240" behindDoc="0" locked="0" layoutInCell="1" allowOverlap="1">
                  <wp:simplePos x="0" y="0"/>
                  <wp:positionH relativeFrom="column">
                    <wp:posOffset>-4666</wp:posOffset>
                  </wp:positionH>
                  <wp:positionV relativeFrom="paragraph">
                    <wp:posOffset>44864</wp:posOffset>
                  </wp:positionV>
                  <wp:extent cx="2981739" cy="2072640"/>
                  <wp:effectExtent l="0" t="0" r="0" b="0"/>
                  <wp:wrapNone/>
                  <wp:docPr id="2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3D3FA9" w:rsidRPr="003D3FA9">
              <w:rPr>
                <w:noProof/>
              </w:rPr>
              <w:pict>
                <v:oval id="椭圆 57" o:spid="_x0000_s1071" style="position:absolute;left:0;text-align:left;margin-left:209.65pt;margin-top:97.45pt;width:9.8pt;height:31.05pt;z-index:251671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" filled="f" strokecolor="red" strokeweight="1pt">
                  <v:path arrowok="t"/>
                </v:oval>
              </w:pict>
            </w:r>
          </w:p>
        </w:tc>
        <w:tc>
          <w:tcPr>
            <w:tcW w:w="283" w:type="dxa"/>
            <w:tcBorders>
              <w:top w:val="nil"/>
              <w:left w:val="nil"/>
              <w:bottom w:val="nil"/>
              <w:right w:val="nil"/>
            </w:tcBorders>
          </w:tcPr>
          <w:p w:rsidR="0015501D" w:rsidRPr="0015501D" w:rsidRDefault="0015501D" w:rsidP="005143F4">
            <w:pPr>
              <w:autoSpaceDE w:val="0"/>
              <w:autoSpaceDN w:val="0"/>
              <w:spacing w:beforeLines="50" w:afterLines="50" w:line="360" w:lineRule="auto"/>
              <w:rPr>
                <w:sz w:val="24"/>
              </w:rPr>
            </w:pPr>
          </w:p>
        </w:tc>
        <w:tc>
          <w:tcPr>
            <w:tcW w:w="5030" w:type="dxa"/>
            <w:tcBorders>
              <w:top w:val="single" w:sz="8" w:space="0" w:color="005096"/>
              <w:left w:val="nil"/>
              <w:bottom w:val="single" w:sz="8" w:space="0" w:color="005096"/>
              <w:right w:val="nil"/>
            </w:tcBorders>
            <w:vAlign w:val="center"/>
          </w:tcPr>
          <w:p w:rsidR="0015501D" w:rsidRPr="0015501D" w:rsidRDefault="0015501D" w:rsidP="0015501D">
            <w:pPr>
              <w:autoSpaceDE w:val="0"/>
              <w:autoSpaceDN w:val="0"/>
              <w:jc w:val="center"/>
              <w:rPr>
                <w:sz w:val="24"/>
              </w:rPr>
            </w:pPr>
            <w:r w:rsidRPr="0015501D">
              <w:rPr>
                <w:noProof/>
                <w:sz w:val="24"/>
              </w:rPr>
              <w:drawing>
                <wp:inline distT="0" distB="0" distL="0" distR="0">
                  <wp:extent cx="3024000" cy="2041200"/>
                  <wp:effectExtent l="0" t="0" r="5080" b="0"/>
                  <wp:docPr id="2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sharpenSoften amount="20000"/>
                                    </a14:imgEffect>
                                    <a14:imgEffect>
                                      <a14:brightnessContrast bright="-1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000" cy="2041200"/>
                          </a:xfrm>
                          <a:prstGeom prst="rect">
                            <a:avLst/>
                          </a:prstGeom>
                          <a:noFill/>
                        </pic:spPr>
                      </pic:pic>
                    </a:graphicData>
                  </a:graphic>
                </wp:inline>
              </w:drawing>
            </w:r>
          </w:p>
        </w:tc>
      </w:tr>
      <w:tr w:rsidR="0015501D" w:rsidRPr="0015501D" w:rsidTr="003A3DAA">
        <w:trPr>
          <w:trHeight w:hRule="exact" w:val="427"/>
        </w:trPr>
        <w:tc>
          <w:tcPr>
            <w:tcW w:w="4893" w:type="dxa"/>
            <w:tcBorders>
              <w:top w:val="single" w:sz="8" w:space="0" w:color="005096"/>
              <w:left w:val="nil"/>
              <w:bottom w:val="nil"/>
              <w:right w:val="nil"/>
            </w:tcBorders>
            <w:vAlign w:val="center"/>
          </w:tcPr>
          <w:p w:rsidR="0015501D" w:rsidRPr="0015501D" w:rsidRDefault="0015501D" w:rsidP="005143F4">
            <w:pPr>
              <w:spacing w:afterLines="50" w:line="360" w:lineRule="exact"/>
              <w:rPr>
                <w:noProof/>
                <w:sz w:val="16"/>
                <w:szCs w:val="16"/>
              </w:rPr>
            </w:pPr>
            <w:r w:rsidRPr="0015501D">
              <w:rPr>
                <w:rFonts w:hint="eastAsia"/>
                <w:sz w:val="16"/>
                <w:szCs w:val="16"/>
              </w:rPr>
              <w:t>资料来源：</w:t>
            </w:r>
            <w:r w:rsidRPr="0015501D">
              <w:rPr>
                <w:rFonts w:hint="eastAsia"/>
                <w:sz w:val="16"/>
                <w:szCs w:val="16"/>
              </w:rPr>
              <w:t>wind</w:t>
            </w:r>
            <w:r w:rsidRPr="0015501D">
              <w:rPr>
                <w:rFonts w:hint="eastAsia"/>
                <w:sz w:val="16"/>
                <w:szCs w:val="16"/>
              </w:rPr>
              <w:t>资讯，民生证券研究院</w:t>
            </w:r>
          </w:p>
        </w:tc>
        <w:tc>
          <w:tcPr>
            <w:tcW w:w="283" w:type="dxa"/>
            <w:tcBorders>
              <w:top w:val="nil"/>
              <w:left w:val="nil"/>
              <w:bottom w:val="nil"/>
              <w:right w:val="nil"/>
            </w:tcBorders>
          </w:tcPr>
          <w:p w:rsidR="0015501D" w:rsidRPr="0015501D" w:rsidRDefault="0015501D" w:rsidP="005143F4">
            <w:pPr>
              <w:autoSpaceDE w:val="0"/>
              <w:autoSpaceDN w:val="0"/>
              <w:spacing w:beforeLines="50" w:afterLines="50" w:line="360" w:lineRule="auto"/>
              <w:rPr>
                <w:sz w:val="24"/>
              </w:rPr>
            </w:pPr>
          </w:p>
        </w:tc>
        <w:tc>
          <w:tcPr>
            <w:tcW w:w="5030" w:type="dxa"/>
            <w:tcBorders>
              <w:top w:val="single" w:sz="8" w:space="0" w:color="005096"/>
              <w:left w:val="nil"/>
              <w:bottom w:val="nil"/>
              <w:right w:val="nil"/>
            </w:tcBorders>
            <w:vAlign w:val="center"/>
          </w:tcPr>
          <w:p w:rsidR="0015501D" w:rsidRPr="0015501D" w:rsidRDefault="0015501D" w:rsidP="005143F4">
            <w:pPr>
              <w:spacing w:afterLines="50" w:line="360" w:lineRule="exact"/>
              <w:rPr>
                <w:sz w:val="16"/>
                <w:szCs w:val="16"/>
              </w:rPr>
            </w:pPr>
            <w:r w:rsidRPr="0015501D">
              <w:rPr>
                <w:rFonts w:hint="eastAsia"/>
                <w:sz w:val="16"/>
                <w:szCs w:val="16"/>
              </w:rPr>
              <w:t>资料来源：</w:t>
            </w:r>
            <w:r w:rsidRPr="0015501D">
              <w:rPr>
                <w:rFonts w:hint="eastAsia"/>
                <w:sz w:val="16"/>
                <w:szCs w:val="16"/>
              </w:rPr>
              <w:t>wind</w:t>
            </w:r>
            <w:r w:rsidRPr="0015501D">
              <w:rPr>
                <w:rFonts w:hint="eastAsia"/>
                <w:sz w:val="16"/>
                <w:szCs w:val="16"/>
              </w:rPr>
              <w:t>资讯，民生证券研究院</w:t>
            </w:r>
          </w:p>
          <w:p w:rsidR="0015501D" w:rsidRPr="0015501D" w:rsidRDefault="0015501D" w:rsidP="005143F4">
            <w:pPr>
              <w:spacing w:afterLines="50" w:line="360" w:lineRule="exact"/>
              <w:rPr>
                <w:noProof/>
                <w:sz w:val="24"/>
                <w:szCs w:val="16"/>
              </w:rPr>
            </w:pPr>
          </w:p>
        </w:tc>
      </w:tr>
    </w:tbl>
    <w:p w:rsidR="0015501D" w:rsidRPr="0015501D" w:rsidRDefault="0015501D" w:rsidP="0015501D">
      <w:pPr>
        <w:spacing w:line="360" w:lineRule="auto"/>
        <w:ind w:rightChars="1000" w:right="2100"/>
        <w:rPr>
          <w:rFonts w:ascii="楷体" w:eastAsia="楷体" w:hAnsi="楷体"/>
          <w:szCs w:val="21"/>
        </w:rPr>
      </w:pPr>
    </w:p>
    <w:p w:rsidR="0015501D" w:rsidRPr="0015501D" w:rsidRDefault="0072120E" w:rsidP="0015501D">
      <w:pPr>
        <w:numPr>
          <w:ilvl w:val="0"/>
          <w:numId w:val="32"/>
        </w:numPr>
        <w:spacing w:line="360" w:lineRule="auto"/>
        <w:ind w:rightChars="1000" w:right="2100"/>
        <w:rPr>
          <w:rFonts w:ascii="楷体" w:eastAsia="楷体" w:hAnsi="楷体"/>
          <w:b/>
          <w:szCs w:val="21"/>
        </w:rPr>
      </w:pPr>
      <w:r>
        <w:rPr>
          <w:rFonts w:ascii="楷体" w:eastAsia="楷体" w:hAnsi="楷体" w:hint="eastAsia"/>
          <w:b/>
          <w:szCs w:val="21"/>
        </w:rPr>
        <w:t>去产能进程：</w:t>
      </w:r>
      <w:r w:rsidR="0015501D" w:rsidRPr="0015501D">
        <w:rPr>
          <w:rFonts w:ascii="楷体" w:eastAsia="楷体" w:hAnsi="楷体" w:hint="eastAsia"/>
          <w:b/>
          <w:szCs w:val="21"/>
        </w:rPr>
        <w:t>产能2015年负增长，预计2016年继续减少</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截至2015年底国内纯碱产能2916万吨，比2014年净减少187万吨。2016年福建天</w:t>
      </w:r>
      <w:proofErr w:type="gramStart"/>
      <w:r w:rsidRPr="0015501D">
        <w:rPr>
          <w:rFonts w:ascii="楷体" w:eastAsia="楷体" w:hAnsi="楷体" w:hint="eastAsia"/>
          <w:szCs w:val="21"/>
        </w:rPr>
        <w:t>辰耀隆</w:t>
      </w:r>
      <w:proofErr w:type="gramEnd"/>
      <w:r w:rsidRPr="0015501D">
        <w:rPr>
          <w:rFonts w:ascii="楷体" w:eastAsia="楷体" w:hAnsi="楷体" w:hint="eastAsia"/>
          <w:szCs w:val="21"/>
        </w:rPr>
        <w:t>搬迁改造40万吨/年纯碱装置投入运行，江苏中盐昆山公司60万吨/年纯碱装置搬迁改造和江西晶昊盐业公司新建30万吨/年纯碱装置预计2016年将投入运行。2016年将新增130万产能。而青岛碱业（80万吨）以及华尔润（75万吨）产能确定退出，总体上2016年整体产能约2893万吨。</w:t>
      </w:r>
    </w:p>
    <w:p w:rsidR="0015501D" w:rsidRPr="0015501D" w:rsidRDefault="0015501D" w:rsidP="0015501D">
      <w:pPr>
        <w:spacing w:line="360" w:lineRule="exact"/>
        <w:rPr>
          <w:b/>
          <w:color w:val="005096"/>
          <w:sz w:val="18"/>
          <w:szCs w:val="20"/>
        </w:rPr>
      </w:pPr>
      <w:bookmarkStart w:id="31" w:name="_Toc429436938"/>
      <w:bookmarkStart w:id="32" w:name="_Toc440897123"/>
      <w:r w:rsidRPr="0015501D">
        <w:rPr>
          <w:b/>
          <w:color w:val="005096"/>
          <w:sz w:val="18"/>
          <w:szCs w:val="20"/>
        </w:rPr>
        <w:t>表</w:t>
      </w:r>
      <w:r w:rsidRPr="0015501D">
        <w:rPr>
          <w:b/>
          <w:color w:val="005096"/>
          <w:sz w:val="18"/>
          <w:szCs w:val="20"/>
        </w:rPr>
        <w:t>1</w:t>
      </w:r>
      <w:r w:rsidR="007A307A">
        <w:rPr>
          <w:b/>
          <w:color w:val="005096"/>
          <w:sz w:val="18"/>
          <w:szCs w:val="20"/>
        </w:rPr>
        <w:t>5</w:t>
      </w:r>
      <w:r w:rsidRPr="0015501D">
        <w:rPr>
          <w:rFonts w:hint="eastAsia"/>
          <w:b/>
          <w:color w:val="005096"/>
          <w:sz w:val="18"/>
          <w:szCs w:val="20"/>
        </w:rPr>
        <w:t>：</w:t>
      </w:r>
      <w:bookmarkEnd w:id="31"/>
      <w:r w:rsidRPr="0015501D">
        <w:rPr>
          <w:rFonts w:hint="eastAsia"/>
          <w:b/>
          <w:color w:val="005096"/>
          <w:sz w:val="18"/>
          <w:szCs w:val="20"/>
        </w:rPr>
        <w:t>2</w:t>
      </w:r>
      <w:r w:rsidRPr="0015501D">
        <w:rPr>
          <w:b/>
          <w:color w:val="005096"/>
          <w:sz w:val="18"/>
          <w:szCs w:val="20"/>
        </w:rPr>
        <w:t>014</w:t>
      </w:r>
      <w:r w:rsidRPr="0015501D">
        <w:rPr>
          <w:rFonts w:hint="eastAsia"/>
          <w:b/>
          <w:color w:val="005096"/>
          <w:sz w:val="18"/>
          <w:szCs w:val="20"/>
        </w:rPr>
        <w:t>~</w:t>
      </w:r>
      <w:r w:rsidRPr="0015501D">
        <w:rPr>
          <w:b/>
          <w:color w:val="005096"/>
          <w:sz w:val="18"/>
          <w:szCs w:val="20"/>
        </w:rPr>
        <w:t>2105</w:t>
      </w:r>
      <w:r w:rsidRPr="0015501D">
        <w:rPr>
          <w:b/>
          <w:color w:val="005096"/>
          <w:sz w:val="18"/>
          <w:szCs w:val="20"/>
        </w:rPr>
        <w:t>年纯碱</w:t>
      </w:r>
      <w:r w:rsidRPr="0015501D">
        <w:rPr>
          <w:rFonts w:hint="eastAsia"/>
          <w:b/>
          <w:color w:val="005096"/>
          <w:sz w:val="18"/>
          <w:szCs w:val="20"/>
        </w:rPr>
        <w:t>退出</w:t>
      </w:r>
      <w:r w:rsidRPr="0015501D">
        <w:rPr>
          <w:b/>
          <w:color w:val="005096"/>
          <w:sz w:val="18"/>
          <w:szCs w:val="20"/>
        </w:rPr>
        <w:t>产能</w:t>
      </w:r>
      <w:bookmarkEnd w:id="32"/>
    </w:p>
    <w:tbl>
      <w:tblPr>
        <w:tblW w:w="6142" w:type="dxa"/>
        <w:tblInd w:w="108" w:type="dxa"/>
        <w:tblBorders>
          <w:top w:val="single" w:sz="8" w:space="0" w:color="005096"/>
          <w:bottom w:val="single" w:sz="8" w:space="0" w:color="005096"/>
        </w:tblBorders>
        <w:tblLayout w:type="fixed"/>
        <w:tblLook w:val="00A0"/>
      </w:tblPr>
      <w:tblGrid>
        <w:gridCol w:w="1465"/>
        <w:gridCol w:w="1134"/>
        <w:gridCol w:w="1559"/>
        <w:gridCol w:w="1984"/>
      </w:tblGrid>
      <w:tr w:rsidR="0015501D" w:rsidRPr="0015501D" w:rsidTr="003A3DAA">
        <w:trPr>
          <w:trHeight w:val="284"/>
        </w:trPr>
        <w:tc>
          <w:tcPr>
            <w:tcW w:w="1465" w:type="dxa"/>
            <w:tcBorders>
              <w:top w:val="single" w:sz="8" w:space="0" w:color="005096"/>
              <w:bottom w:val="single" w:sz="4" w:space="0" w:color="005096"/>
            </w:tcBorders>
            <w:noWrap/>
            <w:vAlign w:val="bottom"/>
          </w:tcPr>
          <w:p w:rsidR="0015501D" w:rsidRPr="0015501D" w:rsidRDefault="0015501D" w:rsidP="0015501D">
            <w:pPr>
              <w:jc w:val="center"/>
              <w:textAlignment w:val="center"/>
              <w:rPr>
                <w:rFonts w:ascii="楷体" w:eastAsia="楷体" w:hAnsi="楷体"/>
                <w:b/>
                <w:kern w:val="0"/>
                <w:sz w:val="18"/>
                <w:szCs w:val="16"/>
              </w:rPr>
            </w:pPr>
            <w:r w:rsidRPr="0015501D">
              <w:rPr>
                <w:rFonts w:ascii="楷体" w:eastAsia="楷体" w:hAnsi="楷体" w:hint="eastAsia"/>
                <w:b/>
                <w:kern w:val="0"/>
                <w:sz w:val="18"/>
                <w:szCs w:val="16"/>
              </w:rPr>
              <w:t>企业</w:t>
            </w:r>
          </w:p>
        </w:tc>
        <w:tc>
          <w:tcPr>
            <w:tcW w:w="1134" w:type="dxa"/>
            <w:tcBorders>
              <w:top w:val="single" w:sz="8" w:space="0" w:color="005096"/>
              <w:bottom w:val="single" w:sz="4" w:space="0" w:color="005096"/>
            </w:tcBorders>
            <w:noWrap/>
            <w:vAlign w:val="bottom"/>
          </w:tcPr>
          <w:p w:rsidR="0015501D" w:rsidRPr="0015501D" w:rsidRDefault="0015501D" w:rsidP="0015501D">
            <w:pPr>
              <w:jc w:val="center"/>
              <w:textAlignment w:val="center"/>
              <w:rPr>
                <w:rFonts w:ascii="楷体" w:eastAsia="楷体" w:hAnsi="楷体"/>
                <w:b/>
                <w:kern w:val="0"/>
                <w:sz w:val="18"/>
                <w:szCs w:val="16"/>
              </w:rPr>
            </w:pPr>
            <w:r w:rsidRPr="0015501D">
              <w:rPr>
                <w:rFonts w:ascii="楷体" w:eastAsia="楷体" w:hAnsi="楷体" w:hint="eastAsia"/>
                <w:b/>
                <w:kern w:val="0"/>
                <w:sz w:val="18"/>
                <w:szCs w:val="16"/>
              </w:rPr>
              <w:t>产能</w:t>
            </w:r>
          </w:p>
        </w:tc>
        <w:tc>
          <w:tcPr>
            <w:tcW w:w="1559" w:type="dxa"/>
            <w:tcBorders>
              <w:top w:val="single" w:sz="8" w:space="0" w:color="005096"/>
              <w:bottom w:val="single" w:sz="4" w:space="0" w:color="005096"/>
            </w:tcBorders>
            <w:vAlign w:val="bottom"/>
          </w:tcPr>
          <w:p w:rsidR="0015501D" w:rsidRPr="0015501D" w:rsidRDefault="0015501D" w:rsidP="0015501D">
            <w:pPr>
              <w:jc w:val="center"/>
              <w:textAlignment w:val="center"/>
              <w:rPr>
                <w:rFonts w:ascii="楷体" w:eastAsia="楷体" w:hAnsi="楷体"/>
                <w:b/>
                <w:kern w:val="0"/>
                <w:sz w:val="18"/>
                <w:szCs w:val="16"/>
              </w:rPr>
            </w:pPr>
            <w:r w:rsidRPr="0015501D">
              <w:rPr>
                <w:rFonts w:ascii="楷体" w:eastAsia="楷体" w:hAnsi="楷体" w:hint="eastAsia"/>
                <w:b/>
                <w:kern w:val="0"/>
                <w:sz w:val="18"/>
                <w:szCs w:val="16"/>
              </w:rPr>
              <w:t>备注</w:t>
            </w:r>
          </w:p>
        </w:tc>
        <w:tc>
          <w:tcPr>
            <w:tcW w:w="1984" w:type="dxa"/>
            <w:tcBorders>
              <w:top w:val="single" w:sz="8" w:space="0" w:color="005096"/>
              <w:bottom w:val="single" w:sz="4" w:space="0" w:color="005096"/>
            </w:tcBorders>
          </w:tcPr>
          <w:p w:rsidR="0015501D" w:rsidRPr="0015501D" w:rsidRDefault="0015501D" w:rsidP="0015501D">
            <w:pPr>
              <w:jc w:val="center"/>
              <w:textAlignment w:val="center"/>
              <w:rPr>
                <w:rFonts w:ascii="楷体" w:eastAsia="楷体" w:hAnsi="楷体"/>
                <w:b/>
                <w:kern w:val="0"/>
                <w:sz w:val="18"/>
                <w:szCs w:val="16"/>
              </w:rPr>
            </w:pPr>
          </w:p>
        </w:tc>
      </w:tr>
      <w:tr w:rsidR="0015501D" w:rsidRPr="0015501D" w:rsidTr="003A3DAA">
        <w:trPr>
          <w:trHeight w:val="284"/>
        </w:trPr>
        <w:tc>
          <w:tcPr>
            <w:tcW w:w="1465" w:type="dxa"/>
            <w:tcBorders>
              <w:top w:val="single" w:sz="4" w:space="0" w:color="005096"/>
            </w:tcBorders>
            <w:shd w:val="clear" w:color="auto" w:fill="F8F8F8"/>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hint="eastAsia"/>
                <w:kern w:val="0"/>
                <w:sz w:val="18"/>
                <w:szCs w:val="16"/>
              </w:rPr>
              <w:t>石家庄双联</w:t>
            </w:r>
          </w:p>
        </w:tc>
        <w:tc>
          <w:tcPr>
            <w:tcW w:w="1134" w:type="dxa"/>
            <w:tcBorders>
              <w:top w:val="single" w:sz="4" w:space="0" w:color="005096"/>
            </w:tcBorders>
            <w:shd w:val="clear" w:color="auto" w:fill="F8F8F8"/>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40</w:t>
            </w:r>
          </w:p>
        </w:tc>
        <w:tc>
          <w:tcPr>
            <w:tcW w:w="1559" w:type="dxa"/>
            <w:tcBorders>
              <w:top w:val="single" w:sz="4" w:space="0" w:color="005096"/>
            </w:tcBorders>
            <w:shd w:val="clear" w:color="auto" w:fill="F8F8F8"/>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装置已拆</w:t>
            </w:r>
          </w:p>
        </w:tc>
        <w:tc>
          <w:tcPr>
            <w:tcW w:w="1984" w:type="dxa"/>
            <w:tcBorders>
              <w:top w:val="single" w:sz="4" w:space="0" w:color="005096"/>
            </w:tcBorders>
            <w:shd w:val="clear" w:color="auto" w:fill="F8F8F8"/>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退出</w:t>
            </w:r>
          </w:p>
        </w:tc>
      </w:tr>
      <w:tr w:rsidR="0015501D" w:rsidRPr="0015501D" w:rsidTr="003A3DAA">
        <w:trPr>
          <w:trHeight w:val="284"/>
        </w:trPr>
        <w:tc>
          <w:tcPr>
            <w:tcW w:w="1465" w:type="dxa"/>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hint="eastAsia"/>
                <w:kern w:val="0"/>
                <w:sz w:val="18"/>
                <w:szCs w:val="16"/>
              </w:rPr>
              <w:t>陕西</w:t>
            </w:r>
            <w:proofErr w:type="gramStart"/>
            <w:r w:rsidRPr="0015501D">
              <w:rPr>
                <w:rFonts w:eastAsia="宋体" w:hAnsi="宋体" w:hint="eastAsia"/>
                <w:kern w:val="0"/>
                <w:sz w:val="18"/>
                <w:szCs w:val="16"/>
              </w:rPr>
              <w:t>汉中南</w:t>
            </w:r>
            <w:proofErr w:type="gramEnd"/>
            <w:r w:rsidRPr="0015501D">
              <w:rPr>
                <w:rFonts w:eastAsia="宋体" w:hAnsi="宋体" w:hint="eastAsia"/>
                <w:kern w:val="0"/>
                <w:sz w:val="18"/>
                <w:szCs w:val="16"/>
              </w:rPr>
              <w:t>化</w:t>
            </w:r>
          </w:p>
        </w:tc>
        <w:tc>
          <w:tcPr>
            <w:tcW w:w="1134" w:type="dxa"/>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30</w:t>
            </w:r>
          </w:p>
        </w:tc>
        <w:tc>
          <w:tcPr>
            <w:tcW w:w="1559" w:type="dxa"/>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关停退出</w:t>
            </w:r>
          </w:p>
        </w:tc>
        <w:tc>
          <w:tcPr>
            <w:tcW w:w="1984" w:type="dxa"/>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退出</w:t>
            </w:r>
          </w:p>
        </w:tc>
      </w:tr>
      <w:tr w:rsidR="0015501D" w:rsidRPr="0015501D" w:rsidTr="003A3DAA">
        <w:trPr>
          <w:trHeight w:val="284"/>
        </w:trPr>
        <w:tc>
          <w:tcPr>
            <w:tcW w:w="1465" w:type="dxa"/>
            <w:shd w:val="clear" w:color="auto" w:fill="F8F8F8"/>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hint="eastAsia"/>
                <w:kern w:val="0"/>
                <w:sz w:val="18"/>
                <w:szCs w:val="16"/>
              </w:rPr>
              <w:t>湖南智成化工</w:t>
            </w:r>
          </w:p>
        </w:tc>
        <w:tc>
          <w:tcPr>
            <w:tcW w:w="1134" w:type="dxa"/>
            <w:shd w:val="clear" w:color="auto" w:fill="F8F8F8"/>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20</w:t>
            </w:r>
          </w:p>
        </w:tc>
        <w:tc>
          <w:tcPr>
            <w:tcW w:w="1559" w:type="dxa"/>
            <w:shd w:val="clear" w:color="auto" w:fill="F8F8F8"/>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长期停车</w:t>
            </w:r>
          </w:p>
        </w:tc>
        <w:tc>
          <w:tcPr>
            <w:tcW w:w="1984" w:type="dxa"/>
            <w:shd w:val="clear" w:color="auto" w:fill="F8F8F8"/>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2016</w:t>
            </w:r>
            <w:r w:rsidRPr="0015501D">
              <w:rPr>
                <w:rFonts w:eastAsia="宋体" w:hAnsi="宋体" w:hint="eastAsia"/>
                <w:kern w:val="0"/>
                <w:sz w:val="18"/>
                <w:szCs w:val="16"/>
              </w:rPr>
              <w:t>年无复产计划</w:t>
            </w:r>
          </w:p>
        </w:tc>
      </w:tr>
      <w:tr w:rsidR="0015501D" w:rsidRPr="0015501D" w:rsidTr="003A3DAA">
        <w:trPr>
          <w:trHeight w:val="284"/>
        </w:trPr>
        <w:tc>
          <w:tcPr>
            <w:tcW w:w="1465" w:type="dxa"/>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hint="eastAsia"/>
                <w:kern w:val="0"/>
                <w:sz w:val="18"/>
                <w:szCs w:val="16"/>
              </w:rPr>
              <w:t>乌海化工</w:t>
            </w:r>
          </w:p>
        </w:tc>
        <w:tc>
          <w:tcPr>
            <w:tcW w:w="1134" w:type="dxa"/>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10</w:t>
            </w:r>
          </w:p>
        </w:tc>
        <w:tc>
          <w:tcPr>
            <w:tcW w:w="1559" w:type="dxa"/>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长期停车</w:t>
            </w:r>
          </w:p>
        </w:tc>
        <w:tc>
          <w:tcPr>
            <w:tcW w:w="1984" w:type="dxa"/>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2016</w:t>
            </w:r>
            <w:r w:rsidRPr="0015501D">
              <w:rPr>
                <w:rFonts w:eastAsia="宋体" w:hAnsi="宋体" w:hint="eastAsia"/>
                <w:kern w:val="0"/>
                <w:sz w:val="18"/>
                <w:szCs w:val="16"/>
              </w:rPr>
              <w:t>年无复产计划</w:t>
            </w:r>
          </w:p>
        </w:tc>
      </w:tr>
      <w:tr w:rsidR="0015501D" w:rsidRPr="0015501D" w:rsidTr="003A3DAA">
        <w:trPr>
          <w:trHeight w:val="284"/>
        </w:trPr>
        <w:tc>
          <w:tcPr>
            <w:tcW w:w="1465" w:type="dxa"/>
            <w:shd w:val="clear" w:color="auto" w:fill="F8F8F8"/>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hint="eastAsia"/>
                <w:kern w:val="0"/>
                <w:sz w:val="18"/>
                <w:szCs w:val="16"/>
              </w:rPr>
              <w:t>新疆哈密</w:t>
            </w:r>
          </w:p>
        </w:tc>
        <w:tc>
          <w:tcPr>
            <w:tcW w:w="1134" w:type="dxa"/>
            <w:shd w:val="clear" w:color="auto" w:fill="F8F8F8"/>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50</w:t>
            </w:r>
          </w:p>
        </w:tc>
        <w:tc>
          <w:tcPr>
            <w:tcW w:w="1559" w:type="dxa"/>
            <w:shd w:val="clear" w:color="auto" w:fill="F8F8F8"/>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长期停车</w:t>
            </w:r>
          </w:p>
        </w:tc>
        <w:tc>
          <w:tcPr>
            <w:tcW w:w="1984" w:type="dxa"/>
            <w:shd w:val="clear" w:color="auto" w:fill="F8F8F8"/>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2016</w:t>
            </w:r>
            <w:r w:rsidRPr="0015501D">
              <w:rPr>
                <w:rFonts w:eastAsia="宋体" w:hAnsi="宋体" w:hint="eastAsia"/>
                <w:kern w:val="0"/>
                <w:sz w:val="18"/>
                <w:szCs w:val="16"/>
              </w:rPr>
              <w:t>年无复产计划</w:t>
            </w:r>
          </w:p>
        </w:tc>
      </w:tr>
      <w:tr w:rsidR="0015501D" w:rsidRPr="0015501D" w:rsidTr="003A3DAA">
        <w:trPr>
          <w:trHeight w:val="284"/>
        </w:trPr>
        <w:tc>
          <w:tcPr>
            <w:tcW w:w="1465" w:type="dxa"/>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hint="eastAsia"/>
                <w:kern w:val="0"/>
                <w:sz w:val="18"/>
                <w:szCs w:val="16"/>
              </w:rPr>
              <w:t>自贡鸿鹤</w:t>
            </w:r>
          </w:p>
        </w:tc>
        <w:tc>
          <w:tcPr>
            <w:tcW w:w="1134" w:type="dxa"/>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16</w:t>
            </w:r>
          </w:p>
        </w:tc>
        <w:tc>
          <w:tcPr>
            <w:tcW w:w="1559" w:type="dxa"/>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长期停车</w:t>
            </w:r>
          </w:p>
        </w:tc>
        <w:tc>
          <w:tcPr>
            <w:tcW w:w="1984" w:type="dxa"/>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2016</w:t>
            </w:r>
            <w:r w:rsidRPr="0015501D">
              <w:rPr>
                <w:rFonts w:eastAsia="宋体" w:hAnsi="宋体" w:hint="eastAsia"/>
                <w:kern w:val="0"/>
                <w:sz w:val="18"/>
                <w:szCs w:val="16"/>
              </w:rPr>
              <w:t>年无复产计划</w:t>
            </w:r>
          </w:p>
        </w:tc>
      </w:tr>
      <w:tr w:rsidR="0015501D" w:rsidRPr="0015501D" w:rsidTr="003A3DAA">
        <w:trPr>
          <w:trHeight w:val="284"/>
        </w:trPr>
        <w:tc>
          <w:tcPr>
            <w:tcW w:w="1465" w:type="dxa"/>
            <w:shd w:val="clear" w:color="auto" w:fill="F8F8F8"/>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hint="eastAsia"/>
                <w:kern w:val="0"/>
                <w:sz w:val="18"/>
                <w:szCs w:val="16"/>
              </w:rPr>
              <w:lastRenderedPageBreak/>
              <w:t>乐山科尔</w:t>
            </w:r>
          </w:p>
        </w:tc>
        <w:tc>
          <w:tcPr>
            <w:tcW w:w="1134" w:type="dxa"/>
            <w:shd w:val="clear" w:color="auto" w:fill="F8F8F8"/>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10</w:t>
            </w:r>
          </w:p>
        </w:tc>
        <w:tc>
          <w:tcPr>
            <w:tcW w:w="1559" w:type="dxa"/>
            <w:shd w:val="clear" w:color="auto" w:fill="F8F8F8"/>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长期停车</w:t>
            </w:r>
          </w:p>
        </w:tc>
        <w:tc>
          <w:tcPr>
            <w:tcW w:w="1984" w:type="dxa"/>
            <w:shd w:val="clear" w:color="auto" w:fill="F8F8F8"/>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2016</w:t>
            </w:r>
            <w:r w:rsidRPr="0015501D">
              <w:rPr>
                <w:rFonts w:eastAsia="宋体" w:hAnsi="宋体" w:hint="eastAsia"/>
                <w:kern w:val="0"/>
                <w:sz w:val="18"/>
                <w:szCs w:val="16"/>
              </w:rPr>
              <w:t>年无复产计划</w:t>
            </w:r>
          </w:p>
        </w:tc>
      </w:tr>
      <w:tr w:rsidR="0015501D" w:rsidRPr="0015501D" w:rsidTr="003A3DAA">
        <w:trPr>
          <w:trHeight w:val="284"/>
        </w:trPr>
        <w:tc>
          <w:tcPr>
            <w:tcW w:w="1465" w:type="dxa"/>
            <w:shd w:val="clear" w:color="auto" w:fill="DBE5F1"/>
            <w:noWrap/>
            <w:vAlign w:val="bottom"/>
          </w:tcPr>
          <w:p w:rsidR="0015501D" w:rsidRPr="0015501D" w:rsidRDefault="0015501D" w:rsidP="0015501D">
            <w:pPr>
              <w:jc w:val="left"/>
              <w:textAlignment w:val="center"/>
              <w:rPr>
                <w:rFonts w:eastAsia="宋体" w:hAnsi="宋体"/>
                <w:b/>
                <w:kern w:val="0"/>
                <w:sz w:val="18"/>
                <w:szCs w:val="16"/>
              </w:rPr>
            </w:pPr>
            <w:r w:rsidRPr="0015501D">
              <w:rPr>
                <w:rFonts w:eastAsia="宋体" w:hAnsi="宋体" w:hint="eastAsia"/>
                <w:b/>
                <w:kern w:val="0"/>
                <w:sz w:val="18"/>
                <w:szCs w:val="16"/>
              </w:rPr>
              <w:t>合计</w:t>
            </w:r>
          </w:p>
        </w:tc>
        <w:tc>
          <w:tcPr>
            <w:tcW w:w="1134" w:type="dxa"/>
            <w:shd w:val="clear" w:color="auto" w:fill="DBE5F1"/>
            <w:noWrap/>
            <w:vAlign w:val="bottom"/>
          </w:tcPr>
          <w:p w:rsidR="0015501D" w:rsidRPr="0015501D" w:rsidRDefault="0015501D" w:rsidP="0015501D">
            <w:pPr>
              <w:jc w:val="center"/>
              <w:textAlignment w:val="center"/>
              <w:rPr>
                <w:rFonts w:eastAsia="宋体" w:hAnsi="宋体"/>
                <w:b/>
                <w:kern w:val="0"/>
                <w:sz w:val="18"/>
                <w:szCs w:val="16"/>
              </w:rPr>
            </w:pPr>
            <w:r w:rsidRPr="0015501D">
              <w:rPr>
                <w:rFonts w:eastAsia="宋体" w:hAnsi="宋体" w:hint="eastAsia"/>
                <w:b/>
                <w:kern w:val="0"/>
                <w:sz w:val="18"/>
                <w:szCs w:val="16"/>
              </w:rPr>
              <w:t>176</w:t>
            </w:r>
          </w:p>
        </w:tc>
        <w:tc>
          <w:tcPr>
            <w:tcW w:w="1559" w:type="dxa"/>
            <w:shd w:val="clear" w:color="auto" w:fill="DBE5F1"/>
            <w:vAlign w:val="bottom"/>
          </w:tcPr>
          <w:p w:rsidR="0015501D" w:rsidRPr="0015501D" w:rsidRDefault="0015501D" w:rsidP="0015501D">
            <w:pPr>
              <w:jc w:val="center"/>
              <w:textAlignment w:val="center"/>
              <w:rPr>
                <w:rFonts w:eastAsia="宋体" w:hAnsi="宋体"/>
                <w:b/>
                <w:kern w:val="0"/>
                <w:sz w:val="18"/>
                <w:szCs w:val="16"/>
              </w:rPr>
            </w:pPr>
          </w:p>
        </w:tc>
        <w:tc>
          <w:tcPr>
            <w:tcW w:w="1984" w:type="dxa"/>
            <w:shd w:val="clear" w:color="auto" w:fill="DBE5F1"/>
          </w:tcPr>
          <w:p w:rsidR="0015501D" w:rsidRPr="0015501D" w:rsidRDefault="0015501D" w:rsidP="0015501D">
            <w:pPr>
              <w:jc w:val="center"/>
              <w:textAlignment w:val="center"/>
              <w:rPr>
                <w:rFonts w:eastAsia="宋体" w:hAnsi="宋体"/>
                <w:b/>
                <w:kern w:val="0"/>
                <w:sz w:val="18"/>
                <w:szCs w:val="16"/>
              </w:rPr>
            </w:pPr>
          </w:p>
        </w:tc>
      </w:tr>
    </w:tbl>
    <w:p w:rsidR="0015501D" w:rsidRPr="0015501D" w:rsidRDefault="0015501D" w:rsidP="005143F4">
      <w:pPr>
        <w:spacing w:afterLines="50" w:line="360" w:lineRule="exact"/>
        <w:rPr>
          <w:sz w:val="16"/>
          <w:szCs w:val="16"/>
        </w:rPr>
      </w:pPr>
      <w:r w:rsidRPr="0015501D">
        <w:rPr>
          <w:rFonts w:hint="eastAsia"/>
          <w:sz w:val="16"/>
          <w:szCs w:val="16"/>
        </w:rPr>
        <w:t>资料来源：百川资讯，民生证券研究院</w:t>
      </w:r>
    </w:p>
    <w:p w:rsidR="0015501D" w:rsidRPr="0015501D" w:rsidRDefault="0015501D" w:rsidP="0015501D">
      <w:pPr>
        <w:spacing w:line="360" w:lineRule="exact"/>
        <w:rPr>
          <w:b/>
          <w:color w:val="005096"/>
          <w:sz w:val="18"/>
          <w:szCs w:val="20"/>
        </w:rPr>
      </w:pPr>
      <w:bookmarkStart w:id="33" w:name="_Toc440897124"/>
      <w:r w:rsidRPr="0015501D">
        <w:rPr>
          <w:b/>
          <w:color w:val="005096"/>
          <w:sz w:val="18"/>
          <w:szCs w:val="20"/>
        </w:rPr>
        <w:t>表</w:t>
      </w:r>
      <w:r w:rsidR="007A307A">
        <w:rPr>
          <w:b/>
          <w:color w:val="005096"/>
          <w:sz w:val="18"/>
          <w:szCs w:val="20"/>
        </w:rPr>
        <w:t>16</w:t>
      </w:r>
      <w:r w:rsidRPr="0015501D">
        <w:rPr>
          <w:rFonts w:hint="eastAsia"/>
          <w:b/>
          <w:color w:val="005096"/>
          <w:sz w:val="18"/>
          <w:szCs w:val="20"/>
        </w:rPr>
        <w:t>：</w:t>
      </w:r>
      <w:r w:rsidRPr="0015501D">
        <w:rPr>
          <w:rFonts w:hint="eastAsia"/>
          <w:b/>
          <w:color w:val="005096"/>
          <w:sz w:val="18"/>
          <w:szCs w:val="20"/>
        </w:rPr>
        <w:t>2016</w:t>
      </w:r>
      <w:r w:rsidRPr="0015501D">
        <w:rPr>
          <w:rFonts w:hint="eastAsia"/>
          <w:b/>
          <w:color w:val="005096"/>
          <w:sz w:val="18"/>
          <w:szCs w:val="20"/>
        </w:rPr>
        <w:t>年纯碱新增和出清产能</w:t>
      </w:r>
      <w:bookmarkEnd w:id="33"/>
    </w:p>
    <w:tbl>
      <w:tblPr>
        <w:tblW w:w="7938" w:type="dxa"/>
        <w:tblInd w:w="108" w:type="dxa"/>
        <w:tblLayout w:type="fixed"/>
        <w:tblLook w:val="00A0"/>
      </w:tblPr>
      <w:tblGrid>
        <w:gridCol w:w="1598"/>
        <w:gridCol w:w="1237"/>
        <w:gridCol w:w="1701"/>
        <w:gridCol w:w="1701"/>
        <w:gridCol w:w="1701"/>
      </w:tblGrid>
      <w:tr w:rsidR="0015501D" w:rsidRPr="0015501D" w:rsidTr="003A3DAA">
        <w:trPr>
          <w:trHeight w:val="284"/>
        </w:trPr>
        <w:tc>
          <w:tcPr>
            <w:tcW w:w="1465" w:type="dxa"/>
            <w:tcBorders>
              <w:top w:val="single" w:sz="8" w:space="0" w:color="005096"/>
              <w:left w:val="nil"/>
              <w:bottom w:val="single" w:sz="8" w:space="0" w:color="005096"/>
            </w:tcBorders>
            <w:noWrap/>
            <w:vAlign w:val="bottom"/>
          </w:tcPr>
          <w:p w:rsidR="0015501D" w:rsidRPr="0015501D" w:rsidRDefault="0015501D" w:rsidP="0015501D">
            <w:pPr>
              <w:jc w:val="center"/>
              <w:textAlignment w:val="center"/>
              <w:rPr>
                <w:rFonts w:ascii="楷体" w:eastAsia="楷体" w:hAnsi="楷体"/>
                <w:b/>
                <w:kern w:val="0"/>
                <w:sz w:val="18"/>
                <w:szCs w:val="16"/>
              </w:rPr>
            </w:pPr>
            <w:r w:rsidRPr="0015501D">
              <w:rPr>
                <w:rFonts w:ascii="楷体" w:eastAsia="楷体" w:hAnsi="楷体" w:hint="eastAsia"/>
                <w:b/>
                <w:kern w:val="0"/>
                <w:sz w:val="18"/>
                <w:szCs w:val="16"/>
              </w:rPr>
              <w:t>企业</w:t>
            </w:r>
          </w:p>
        </w:tc>
        <w:tc>
          <w:tcPr>
            <w:tcW w:w="1134" w:type="dxa"/>
            <w:tcBorders>
              <w:top w:val="single" w:sz="8" w:space="0" w:color="005096"/>
              <w:bottom w:val="single" w:sz="8" w:space="0" w:color="005096"/>
            </w:tcBorders>
            <w:noWrap/>
            <w:vAlign w:val="bottom"/>
          </w:tcPr>
          <w:p w:rsidR="0015501D" w:rsidRPr="0015501D" w:rsidRDefault="0015501D" w:rsidP="0015501D">
            <w:pPr>
              <w:jc w:val="center"/>
              <w:textAlignment w:val="center"/>
              <w:rPr>
                <w:rFonts w:ascii="楷体" w:eastAsia="楷体" w:hAnsi="楷体"/>
                <w:b/>
                <w:kern w:val="0"/>
                <w:sz w:val="18"/>
                <w:szCs w:val="16"/>
              </w:rPr>
            </w:pPr>
            <w:r w:rsidRPr="0015501D">
              <w:rPr>
                <w:rFonts w:ascii="楷体" w:eastAsia="楷体" w:hAnsi="楷体" w:hint="eastAsia"/>
                <w:b/>
                <w:kern w:val="0"/>
                <w:sz w:val="18"/>
                <w:szCs w:val="16"/>
              </w:rPr>
              <w:t>去产能</w:t>
            </w:r>
          </w:p>
        </w:tc>
        <w:tc>
          <w:tcPr>
            <w:tcW w:w="1559" w:type="dxa"/>
            <w:tcBorders>
              <w:top w:val="single" w:sz="8" w:space="0" w:color="005096"/>
              <w:bottom w:val="single" w:sz="8" w:space="0" w:color="005096"/>
              <w:right w:val="single" w:sz="8" w:space="0" w:color="005096"/>
            </w:tcBorders>
            <w:vAlign w:val="bottom"/>
          </w:tcPr>
          <w:p w:rsidR="0015501D" w:rsidRPr="0015501D" w:rsidRDefault="0015501D" w:rsidP="0015501D">
            <w:pPr>
              <w:jc w:val="center"/>
              <w:textAlignment w:val="center"/>
              <w:rPr>
                <w:rFonts w:ascii="楷体" w:eastAsia="楷体" w:hAnsi="楷体"/>
                <w:b/>
                <w:kern w:val="0"/>
                <w:sz w:val="18"/>
                <w:szCs w:val="16"/>
              </w:rPr>
            </w:pPr>
            <w:r w:rsidRPr="0015501D">
              <w:rPr>
                <w:rFonts w:ascii="楷体" w:eastAsia="楷体" w:hAnsi="楷体" w:hint="eastAsia"/>
                <w:b/>
                <w:kern w:val="0"/>
                <w:sz w:val="18"/>
                <w:szCs w:val="16"/>
              </w:rPr>
              <w:t>备注</w:t>
            </w:r>
          </w:p>
        </w:tc>
        <w:tc>
          <w:tcPr>
            <w:tcW w:w="1559" w:type="dxa"/>
            <w:tcBorders>
              <w:top w:val="single" w:sz="8" w:space="0" w:color="005096"/>
              <w:left w:val="single" w:sz="8" w:space="0" w:color="005096"/>
              <w:bottom w:val="single" w:sz="8" w:space="0" w:color="005096"/>
            </w:tcBorders>
          </w:tcPr>
          <w:p w:rsidR="0015501D" w:rsidRPr="0015501D" w:rsidRDefault="0015501D" w:rsidP="0015501D">
            <w:pPr>
              <w:jc w:val="center"/>
              <w:textAlignment w:val="center"/>
              <w:rPr>
                <w:rFonts w:ascii="楷体" w:eastAsia="楷体" w:hAnsi="楷体"/>
                <w:b/>
                <w:kern w:val="0"/>
                <w:sz w:val="18"/>
                <w:szCs w:val="16"/>
              </w:rPr>
            </w:pPr>
            <w:r w:rsidRPr="0015501D">
              <w:rPr>
                <w:rFonts w:ascii="楷体" w:eastAsia="楷体" w:hAnsi="楷体" w:hint="eastAsia"/>
                <w:b/>
                <w:kern w:val="0"/>
                <w:sz w:val="18"/>
                <w:szCs w:val="16"/>
              </w:rPr>
              <w:t>企业</w:t>
            </w:r>
          </w:p>
        </w:tc>
        <w:tc>
          <w:tcPr>
            <w:tcW w:w="1559" w:type="dxa"/>
            <w:tcBorders>
              <w:top w:val="single" w:sz="8" w:space="0" w:color="005096"/>
              <w:bottom w:val="single" w:sz="8" w:space="0" w:color="005096"/>
              <w:right w:val="nil"/>
            </w:tcBorders>
          </w:tcPr>
          <w:p w:rsidR="0015501D" w:rsidRPr="0015501D" w:rsidRDefault="0015501D" w:rsidP="0015501D">
            <w:pPr>
              <w:jc w:val="center"/>
              <w:textAlignment w:val="center"/>
              <w:rPr>
                <w:rFonts w:ascii="楷体" w:eastAsia="楷体" w:hAnsi="楷体"/>
                <w:b/>
                <w:kern w:val="0"/>
                <w:sz w:val="18"/>
                <w:szCs w:val="16"/>
              </w:rPr>
            </w:pPr>
            <w:r w:rsidRPr="0015501D">
              <w:rPr>
                <w:rFonts w:ascii="楷体" w:eastAsia="楷体" w:hAnsi="楷体" w:hint="eastAsia"/>
                <w:b/>
                <w:kern w:val="0"/>
                <w:sz w:val="18"/>
                <w:szCs w:val="16"/>
              </w:rPr>
              <w:t>新增产能</w:t>
            </w:r>
          </w:p>
        </w:tc>
      </w:tr>
      <w:tr w:rsidR="0015501D" w:rsidRPr="0015501D" w:rsidTr="003A3DAA">
        <w:trPr>
          <w:trHeight w:val="284"/>
        </w:trPr>
        <w:tc>
          <w:tcPr>
            <w:tcW w:w="1465" w:type="dxa"/>
            <w:tcBorders>
              <w:top w:val="single" w:sz="8" w:space="0" w:color="005096"/>
              <w:left w:val="nil"/>
              <w:bottom w:val="nil"/>
            </w:tcBorders>
            <w:shd w:val="clear" w:color="auto" w:fill="F8F8F8"/>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kern w:val="0"/>
                <w:sz w:val="18"/>
                <w:szCs w:val="16"/>
              </w:rPr>
              <w:t>青岛碱业</w:t>
            </w:r>
          </w:p>
        </w:tc>
        <w:tc>
          <w:tcPr>
            <w:tcW w:w="1134" w:type="dxa"/>
            <w:tcBorders>
              <w:top w:val="single" w:sz="8" w:space="0" w:color="005096"/>
              <w:bottom w:val="nil"/>
            </w:tcBorders>
            <w:shd w:val="clear" w:color="auto" w:fill="F8F8F8"/>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80</w:t>
            </w:r>
          </w:p>
        </w:tc>
        <w:tc>
          <w:tcPr>
            <w:tcW w:w="1559" w:type="dxa"/>
            <w:tcBorders>
              <w:top w:val="single" w:sz="8" w:space="0" w:color="005096"/>
              <w:bottom w:val="nil"/>
              <w:right w:val="single" w:sz="8" w:space="0" w:color="005096"/>
            </w:tcBorders>
            <w:shd w:val="clear" w:color="auto" w:fill="F8F8F8"/>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kern w:val="0"/>
                <w:sz w:val="18"/>
                <w:szCs w:val="16"/>
              </w:rPr>
              <w:t>搬迁</w:t>
            </w:r>
            <w:r w:rsidRPr="0015501D">
              <w:rPr>
                <w:rFonts w:eastAsia="宋体" w:hAnsi="宋体" w:hint="eastAsia"/>
                <w:kern w:val="0"/>
                <w:sz w:val="18"/>
                <w:szCs w:val="16"/>
              </w:rPr>
              <w:t>（已停）</w:t>
            </w:r>
          </w:p>
        </w:tc>
        <w:tc>
          <w:tcPr>
            <w:tcW w:w="1559" w:type="dxa"/>
            <w:tcBorders>
              <w:top w:val="single" w:sz="8" w:space="0" w:color="005096"/>
              <w:left w:val="single" w:sz="8" w:space="0" w:color="005096"/>
              <w:bottom w:val="nil"/>
            </w:tcBorders>
            <w:shd w:val="clear" w:color="auto" w:fill="F8F8F8"/>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江苏中盐昆山</w:t>
            </w:r>
          </w:p>
        </w:tc>
        <w:tc>
          <w:tcPr>
            <w:tcW w:w="1559" w:type="dxa"/>
            <w:tcBorders>
              <w:top w:val="single" w:sz="8" w:space="0" w:color="005096"/>
              <w:bottom w:val="nil"/>
              <w:right w:val="nil"/>
            </w:tcBorders>
            <w:shd w:val="clear" w:color="auto" w:fill="F8F8F8"/>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60</w:t>
            </w:r>
          </w:p>
        </w:tc>
      </w:tr>
      <w:tr w:rsidR="0015501D" w:rsidRPr="0015501D" w:rsidTr="003A3DAA">
        <w:trPr>
          <w:trHeight w:val="284"/>
        </w:trPr>
        <w:tc>
          <w:tcPr>
            <w:tcW w:w="1465" w:type="dxa"/>
            <w:tcBorders>
              <w:top w:val="nil"/>
              <w:left w:val="nil"/>
            </w:tcBorders>
            <w:noWrap/>
            <w:vAlign w:val="bottom"/>
          </w:tcPr>
          <w:p w:rsidR="0015501D" w:rsidRPr="0015501D" w:rsidRDefault="0015501D" w:rsidP="0015501D">
            <w:pPr>
              <w:jc w:val="left"/>
              <w:textAlignment w:val="center"/>
              <w:rPr>
                <w:rFonts w:eastAsia="宋体" w:hAnsi="宋体"/>
                <w:kern w:val="0"/>
                <w:sz w:val="18"/>
                <w:szCs w:val="16"/>
              </w:rPr>
            </w:pPr>
            <w:proofErr w:type="gramStart"/>
            <w:r w:rsidRPr="0015501D">
              <w:rPr>
                <w:rFonts w:eastAsia="宋体" w:hAnsi="宋体"/>
                <w:kern w:val="0"/>
                <w:sz w:val="18"/>
                <w:szCs w:val="16"/>
              </w:rPr>
              <w:t>华尔润</w:t>
            </w:r>
            <w:proofErr w:type="gramEnd"/>
          </w:p>
        </w:tc>
        <w:tc>
          <w:tcPr>
            <w:tcW w:w="1134" w:type="dxa"/>
            <w:tcBorders>
              <w:top w:val="nil"/>
            </w:tcBorders>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kern w:val="0"/>
                <w:sz w:val="18"/>
                <w:szCs w:val="16"/>
              </w:rPr>
              <w:t>75</w:t>
            </w:r>
          </w:p>
        </w:tc>
        <w:tc>
          <w:tcPr>
            <w:tcW w:w="1559" w:type="dxa"/>
            <w:tcBorders>
              <w:top w:val="nil"/>
              <w:right w:val="single" w:sz="8" w:space="0" w:color="005096"/>
            </w:tcBorders>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倒闭停产</w:t>
            </w:r>
          </w:p>
        </w:tc>
        <w:tc>
          <w:tcPr>
            <w:tcW w:w="1559" w:type="dxa"/>
            <w:tcBorders>
              <w:top w:val="nil"/>
              <w:left w:val="single" w:sz="8" w:space="0" w:color="005096"/>
            </w:tcBorders>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天</w:t>
            </w:r>
            <w:proofErr w:type="gramStart"/>
            <w:r w:rsidRPr="0015501D">
              <w:rPr>
                <w:rFonts w:eastAsia="宋体" w:hAnsi="宋体" w:hint="eastAsia"/>
                <w:kern w:val="0"/>
                <w:sz w:val="18"/>
                <w:szCs w:val="16"/>
              </w:rPr>
              <w:t>辰耀隆</w:t>
            </w:r>
            <w:proofErr w:type="gramEnd"/>
          </w:p>
        </w:tc>
        <w:tc>
          <w:tcPr>
            <w:tcW w:w="1559" w:type="dxa"/>
            <w:tcBorders>
              <w:top w:val="nil"/>
              <w:right w:val="nil"/>
            </w:tcBorders>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40</w:t>
            </w:r>
          </w:p>
        </w:tc>
      </w:tr>
      <w:tr w:rsidR="0015501D" w:rsidRPr="0015501D" w:rsidTr="003A3DAA">
        <w:trPr>
          <w:trHeight w:val="284"/>
        </w:trPr>
        <w:tc>
          <w:tcPr>
            <w:tcW w:w="1465" w:type="dxa"/>
            <w:tcBorders>
              <w:top w:val="nil"/>
              <w:left w:val="nil"/>
              <w:bottom w:val="nil"/>
            </w:tcBorders>
            <w:shd w:val="clear" w:color="auto" w:fill="F8F8F8"/>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kern w:val="0"/>
                <w:sz w:val="18"/>
                <w:szCs w:val="16"/>
              </w:rPr>
              <w:t>中石化连云港</w:t>
            </w:r>
          </w:p>
        </w:tc>
        <w:tc>
          <w:tcPr>
            <w:tcW w:w="1134" w:type="dxa"/>
            <w:tcBorders>
              <w:top w:val="nil"/>
              <w:bottom w:val="nil"/>
            </w:tcBorders>
            <w:shd w:val="clear" w:color="auto" w:fill="F8F8F8"/>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130</w:t>
            </w:r>
          </w:p>
        </w:tc>
        <w:tc>
          <w:tcPr>
            <w:tcW w:w="1559" w:type="dxa"/>
            <w:tcBorders>
              <w:top w:val="nil"/>
              <w:bottom w:val="nil"/>
              <w:right w:val="single" w:sz="8" w:space="0" w:color="005096"/>
            </w:tcBorders>
            <w:shd w:val="clear" w:color="auto" w:fill="F8F8F8"/>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kern w:val="0"/>
                <w:sz w:val="18"/>
                <w:szCs w:val="16"/>
              </w:rPr>
              <w:t>搬迁</w:t>
            </w:r>
            <w:r w:rsidRPr="0015501D">
              <w:rPr>
                <w:rFonts w:eastAsia="宋体" w:hAnsi="宋体" w:hint="eastAsia"/>
                <w:kern w:val="0"/>
                <w:sz w:val="18"/>
                <w:szCs w:val="16"/>
              </w:rPr>
              <w:t>（</w:t>
            </w:r>
            <w:r w:rsidRPr="0015501D">
              <w:rPr>
                <w:rFonts w:eastAsia="宋体" w:hAnsi="宋体" w:hint="eastAsia"/>
                <w:kern w:val="0"/>
                <w:sz w:val="18"/>
                <w:szCs w:val="16"/>
              </w:rPr>
              <w:t>2017</w:t>
            </w:r>
            <w:r w:rsidRPr="0015501D">
              <w:rPr>
                <w:rFonts w:eastAsia="宋体" w:hAnsi="宋体" w:hint="eastAsia"/>
                <w:kern w:val="0"/>
                <w:sz w:val="18"/>
                <w:szCs w:val="16"/>
              </w:rPr>
              <w:t>年）</w:t>
            </w:r>
          </w:p>
        </w:tc>
        <w:tc>
          <w:tcPr>
            <w:tcW w:w="1559" w:type="dxa"/>
            <w:tcBorders>
              <w:top w:val="nil"/>
              <w:left w:val="single" w:sz="8" w:space="0" w:color="005096"/>
              <w:bottom w:val="nil"/>
            </w:tcBorders>
            <w:shd w:val="clear" w:color="auto" w:fill="F8F8F8"/>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江西晶</w:t>
            </w:r>
            <w:proofErr w:type="gramStart"/>
            <w:r w:rsidRPr="0015501D">
              <w:rPr>
                <w:rFonts w:eastAsia="宋体" w:hAnsi="宋体" w:hint="eastAsia"/>
                <w:kern w:val="0"/>
                <w:sz w:val="18"/>
                <w:szCs w:val="16"/>
              </w:rPr>
              <w:t>昊</w:t>
            </w:r>
            <w:proofErr w:type="gramEnd"/>
          </w:p>
        </w:tc>
        <w:tc>
          <w:tcPr>
            <w:tcW w:w="1559" w:type="dxa"/>
            <w:tcBorders>
              <w:top w:val="nil"/>
              <w:bottom w:val="nil"/>
              <w:right w:val="nil"/>
            </w:tcBorders>
            <w:shd w:val="clear" w:color="auto" w:fill="F8F8F8"/>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30</w:t>
            </w:r>
          </w:p>
        </w:tc>
      </w:tr>
      <w:tr w:rsidR="0015501D" w:rsidRPr="0015501D" w:rsidTr="003A3DAA">
        <w:trPr>
          <w:trHeight w:val="284"/>
        </w:trPr>
        <w:tc>
          <w:tcPr>
            <w:tcW w:w="1465" w:type="dxa"/>
            <w:tcBorders>
              <w:top w:val="nil"/>
              <w:left w:val="nil"/>
            </w:tcBorders>
            <w:noWrap/>
            <w:vAlign w:val="bottom"/>
          </w:tcPr>
          <w:p w:rsidR="0015501D" w:rsidRPr="0015501D" w:rsidRDefault="0015501D" w:rsidP="0015501D">
            <w:pPr>
              <w:jc w:val="left"/>
              <w:textAlignment w:val="center"/>
              <w:rPr>
                <w:rFonts w:eastAsia="宋体" w:hAnsi="宋体"/>
                <w:kern w:val="0"/>
                <w:sz w:val="18"/>
                <w:szCs w:val="16"/>
              </w:rPr>
            </w:pPr>
            <w:r w:rsidRPr="0015501D">
              <w:rPr>
                <w:rFonts w:eastAsia="宋体" w:hAnsi="宋体"/>
                <w:kern w:val="0"/>
                <w:sz w:val="18"/>
                <w:szCs w:val="16"/>
              </w:rPr>
              <w:t>江苏德邦</w:t>
            </w:r>
          </w:p>
        </w:tc>
        <w:tc>
          <w:tcPr>
            <w:tcW w:w="1134" w:type="dxa"/>
            <w:tcBorders>
              <w:top w:val="nil"/>
            </w:tcBorders>
            <w:noWrap/>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hint="eastAsia"/>
                <w:kern w:val="0"/>
                <w:sz w:val="18"/>
                <w:szCs w:val="16"/>
              </w:rPr>
              <w:t>75</w:t>
            </w:r>
          </w:p>
        </w:tc>
        <w:tc>
          <w:tcPr>
            <w:tcW w:w="1559" w:type="dxa"/>
            <w:tcBorders>
              <w:top w:val="nil"/>
              <w:right w:val="single" w:sz="8" w:space="0" w:color="005096"/>
            </w:tcBorders>
            <w:vAlign w:val="bottom"/>
          </w:tcPr>
          <w:p w:rsidR="0015501D" w:rsidRPr="0015501D" w:rsidRDefault="0015501D" w:rsidP="0015501D">
            <w:pPr>
              <w:jc w:val="center"/>
              <w:textAlignment w:val="center"/>
              <w:rPr>
                <w:rFonts w:eastAsia="宋体" w:hAnsi="宋体"/>
                <w:kern w:val="0"/>
                <w:sz w:val="18"/>
                <w:szCs w:val="16"/>
              </w:rPr>
            </w:pPr>
            <w:r w:rsidRPr="0015501D">
              <w:rPr>
                <w:rFonts w:eastAsia="宋体" w:hAnsi="宋体"/>
                <w:kern w:val="0"/>
                <w:sz w:val="18"/>
                <w:szCs w:val="16"/>
              </w:rPr>
              <w:t>搬迁</w:t>
            </w:r>
            <w:r w:rsidRPr="0015501D">
              <w:rPr>
                <w:rFonts w:eastAsia="宋体" w:hAnsi="宋体" w:hint="eastAsia"/>
                <w:kern w:val="0"/>
                <w:sz w:val="18"/>
                <w:szCs w:val="16"/>
              </w:rPr>
              <w:t>（</w:t>
            </w:r>
            <w:r w:rsidRPr="0015501D">
              <w:rPr>
                <w:rFonts w:eastAsia="宋体" w:hAnsi="宋体" w:hint="eastAsia"/>
                <w:kern w:val="0"/>
                <w:sz w:val="18"/>
                <w:szCs w:val="16"/>
              </w:rPr>
              <w:t>2017</w:t>
            </w:r>
            <w:r w:rsidRPr="0015501D">
              <w:rPr>
                <w:rFonts w:eastAsia="宋体" w:hAnsi="宋体" w:hint="eastAsia"/>
                <w:kern w:val="0"/>
                <w:sz w:val="18"/>
                <w:szCs w:val="16"/>
              </w:rPr>
              <w:t>年）</w:t>
            </w:r>
          </w:p>
        </w:tc>
        <w:tc>
          <w:tcPr>
            <w:tcW w:w="1559" w:type="dxa"/>
            <w:tcBorders>
              <w:top w:val="nil"/>
              <w:left w:val="single" w:sz="8" w:space="0" w:color="005096"/>
            </w:tcBorders>
          </w:tcPr>
          <w:p w:rsidR="0015501D" w:rsidRPr="0015501D" w:rsidRDefault="0015501D" w:rsidP="0015501D">
            <w:pPr>
              <w:jc w:val="center"/>
              <w:textAlignment w:val="center"/>
              <w:rPr>
                <w:rFonts w:eastAsia="宋体" w:hAnsi="宋体"/>
                <w:kern w:val="0"/>
                <w:sz w:val="18"/>
                <w:szCs w:val="16"/>
              </w:rPr>
            </w:pPr>
          </w:p>
        </w:tc>
        <w:tc>
          <w:tcPr>
            <w:tcW w:w="1559" w:type="dxa"/>
            <w:tcBorders>
              <w:top w:val="nil"/>
              <w:right w:val="nil"/>
            </w:tcBorders>
          </w:tcPr>
          <w:p w:rsidR="0015501D" w:rsidRPr="0015501D" w:rsidRDefault="0015501D" w:rsidP="0015501D">
            <w:pPr>
              <w:jc w:val="center"/>
              <w:textAlignment w:val="center"/>
              <w:rPr>
                <w:rFonts w:eastAsia="宋体" w:hAnsi="宋体"/>
                <w:kern w:val="0"/>
                <w:sz w:val="18"/>
                <w:szCs w:val="16"/>
              </w:rPr>
            </w:pPr>
          </w:p>
        </w:tc>
      </w:tr>
      <w:tr w:rsidR="0015501D" w:rsidRPr="0015501D" w:rsidTr="003A3DAA">
        <w:trPr>
          <w:trHeight w:val="284"/>
        </w:trPr>
        <w:tc>
          <w:tcPr>
            <w:tcW w:w="1465" w:type="dxa"/>
            <w:tcBorders>
              <w:top w:val="nil"/>
              <w:left w:val="nil"/>
              <w:bottom w:val="single" w:sz="8" w:space="0" w:color="005096"/>
            </w:tcBorders>
            <w:shd w:val="clear" w:color="auto" w:fill="DBE5F1"/>
            <w:noWrap/>
            <w:vAlign w:val="bottom"/>
          </w:tcPr>
          <w:p w:rsidR="0015501D" w:rsidRPr="0015501D" w:rsidRDefault="0015501D" w:rsidP="0015501D">
            <w:pPr>
              <w:jc w:val="left"/>
              <w:textAlignment w:val="center"/>
              <w:rPr>
                <w:rFonts w:eastAsia="宋体" w:hAnsi="宋体"/>
                <w:b/>
                <w:kern w:val="0"/>
                <w:sz w:val="18"/>
                <w:szCs w:val="16"/>
              </w:rPr>
            </w:pPr>
            <w:r w:rsidRPr="0015501D">
              <w:rPr>
                <w:rFonts w:eastAsia="宋体" w:hAnsi="宋体" w:hint="eastAsia"/>
                <w:b/>
                <w:kern w:val="0"/>
                <w:sz w:val="18"/>
                <w:szCs w:val="16"/>
              </w:rPr>
              <w:t>合计</w:t>
            </w:r>
          </w:p>
        </w:tc>
        <w:tc>
          <w:tcPr>
            <w:tcW w:w="1134" w:type="dxa"/>
            <w:tcBorders>
              <w:top w:val="nil"/>
              <w:bottom w:val="single" w:sz="8" w:space="0" w:color="005096"/>
            </w:tcBorders>
            <w:shd w:val="clear" w:color="auto" w:fill="DBE5F1"/>
            <w:noWrap/>
            <w:vAlign w:val="bottom"/>
          </w:tcPr>
          <w:p w:rsidR="0015501D" w:rsidRPr="0015501D" w:rsidRDefault="0015501D" w:rsidP="0015501D">
            <w:pPr>
              <w:jc w:val="center"/>
              <w:textAlignment w:val="center"/>
              <w:rPr>
                <w:rFonts w:eastAsia="宋体" w:hAnsi="宋体"/>
                <w:b/>
                <w:kern w:val="0"/>
                <w:sz w:val="18"/>
                <w:szCs w:val="16"/>
              </w:rPr>
            </w:pPr>
            <w:r w:rsidRPr="0015501D">
              <w:rPr>
                <w:rFonts w:eastAsia="宋体" w:hAnsi="宋体"/>
                <w:b/>
                <w:kern w:val="0"/>
                <w:sz w:val="18"/>
                <w:szCs w:val="16"/>
              </w:rPr>
              <w:t>155</w:t>
            </w:r>
          </w:p>
        </w:tc>
        <w:tc>
          <w:tcPr>
            <w:tcW w:w="1559" w:type="dxa"/>
            <w:tcBorders>
              <w:top w:val="nil"/>
              <w:bottom w:val="single" w:sz="8" w:space="0" w:color="005096"/>
              <w:right w:val="single" w:sz="8" w:space="0" w:color="005096"/>
            </w:tcBorders>
            <w:shd w:val="clear" w:color="auto" w:fill="DBE5F1"/>
            <w:vAlign w:val="bottom"/>
          </w:tcPr>
          <w:p w:rsidR="0015501D" w:rsidRPr="0015501D" w:rsidRDefault="0015501D" w:rsidP="0015501D">
            <w:pPr>
              <w:jc w:val="center"/>
              <w:textAlignment w:val="center"/>
              <w:rPr>
                <w:rFonts w:eastAsia="宋体" w:hAnsi="宋体"/>
                <w:b/>
                <w:kern w:val="0"/>
                <w:sz w:val="18"/>
                <w:szCs w:val="16"/>
              </w:rPr>
            </w:pPr>
            <w:r w:rsidRPr="0015501D">
              <w:rPr>
                <w:rFonts w:eastAsia="宋体" w:hAnsi="宋体" w:hint="eastAsia"/>
                <w:b/>
                <w:kern w:val="0"/>
                <w:sz w:val="18"/>
                <w:szCs w:val="16"/>
              </w:rPr>
              <w:t>2016</w:t>
            </w:r>
            <w:r w:rsidRPr="0015501D">
              <w:rPr>
                <w:rFonts w:eastAsia="宋体" w:hAnsi="宋体" w:hint="eastAsia"/>
                <w:b/>
                <w:kern w:val="0"/>
                <w:sz w:val="18"/>
                <w:szCs w:val="16"/>
              </w:rPr>
              <w:t>年</w:t>
            </w:r>
          </w:p>
        </w:tc>
        <w:tc>
          <w:tcPr>
            <w:tcW w:w="1559" w:type="dxa"/>
            <w:tcBorders>
              <w:top w:val="nil"/>
              <w:left w:val="single" w:sz="8" w:space="0" w:color="005096"/>
              <w:bottom w:val="single" w:sz="8" w:space="0" w:color="005096"/>
            </w:tcBorders>
            <w:shd w:val="clear" w:color="auto" w:fill="DBE5F1"/>
          </w:tcPr>
          <w:p w:rsidR="0015501D" w:rsidRPr="0015501D" w:rsidRDefault="0015501D" w:rsidP="0015501D">
            <w:pPr>
              <w:jc w:val="center"/>
              <w:textAlignment w:val="center"/>
              <w:rPr>
                <w:rFonts w:eastAsia="宋体" w:hAnsi="宋体"/>
                <w:b/>
                <w:kern w:val="0"/>
                <w:sz w:val="18"/>
                <w:szCs w:val="16"/>
              </w:rPr>
            </w:pPr>
            <w:r w:rsidRPr="0015501D">
              <w:rPr>
                <w:rFonts w:eastAsia="宋体" w:hAnsi="宋体" w:hint="eastAsia"/>
                <w:b/>
                <w:kern w:val="0"/>
                <w:sz w:val="18"/>
                <w:szCs w:val="16"/>
              </w:rPr>
              <w:t>合计</w:t>
            </w:r>
          </w:p>
        </w:tc>
        <w:tc>
          <w:tcPr>
            <w:tcW w:w="1559" w:type="dxa"/>
            <w:tcBorders>
              <w:top w:val="nil"/>
              <w:bottom w:val="single" w:sz="8" w:space="0" w:color="005096"/>
              <w:right w:val="nil"/>
            </w:tcBorders>
            <w:shd w:val="clear" w:color="auto" w:fill="DBE5F1"/>
          </w:tcPr>
          <w:p w:rsidR="0015501D" w:rsidRPr="0015501D" w:rsidRDefault="0015501D" w:rsidP="0015501D">
            <w:pPr>
              <w:jc w:val="center"/>
              <w:textAlignment w:val="center"/>
              <w:rPr>
                <w:rFonts w:eastAsia="宋体" w:hAnsi="宋体"/>
                <w:b/>
                <w:kern w:val="0"/>
                <w:sz w:val="18"/>
                <w:szCs w:val="16"/>
              </w:rPr>
            </w:pPr>
            <w:r w:rsidRPr="0015501D">
              <w:rPr>
                <w:rFonts w:eastAsia="宋体" w:hAnsi="宋体" w:hint="eastAsia"/>
                <w:b/>
                <w:kern w:val="0"/>
                <w:sz w:val="18"/>
                <w:szCs w:val="16"/>
              </w:rPr>
              <w:t>130</w:t>
            </w:r>
          </w:p>
        </w:tc>
      </w:tr>
    </w:tbl>
    <w:p w:rsidR="0015501D" w:rsidRPr="0015501D" w:rsidRDefault="0015501D" w:rsidP="005143F4">
      <w:pPr>
        <w:spacing w:afterLines="50" w:line="360" w:lineRule="exact"/>
        <w:rPr>
          <w:sz w:val="16"/>
          <w:szCs w:val="16"/>
        </w:rPr>
      </w:pPr>
      <w:r w:rsidRPr="0015501D">
        <w:rPr>
          <w:rFonts w:hint="eastAsia"/>
          <w:sz w:val="16"/>
          <w:szCs w:val="16"/>
        </w:rPr>
        <w:t>资料来源：百川资讯，民生证券研究院</w:t>
      </w:r>
    </w:p>
    <w:tbl>
      <w:tblPr>
        <w:tblStyle w:val="aff"/>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7938"/>
      </w:tblGrid>
      <w:tr w:rsidR="0015501D" w:rsidRPr="0015501D" w:rsidTr="003A3DAA">
        <w:trPr>
          <w:trHeight w:val="45"/>
        </w:trPr>
        <w:tc>
          <w:tcPr>
            <w:tcW w:w="7938" w:type="dxa"/>
            <w:tcBorders>
              <w:bottom w:val="single" w:sz="4" w:space="0" w:color="000080"/>
            </w:tcBorders>
          </w:tcPr>
          <w:p w:rsidR="0015501D" w:rsidRPr="0015501D" w:rsidRDefault="0015501D" w:rsidP="005D7D5C">
            <w:pPr>
              <w:spacing w:line="360" w:lineRule="exact"/>
              <w:rPr>
                <w:b/>
                <w:color w:val="005096"/>
                <w:sz w:val="18"/>
                <w:szCs w:val="20"/>
              </w:rPr>
            </w:pPr>
            <w:bookmarkStart w:id="34" w:name="_Toc440897098"/>
            <w:r w:rsidRPr="0015501D">
              <w:rPr>
                <w:rFonts w:hint="eastAsia"/>
                <w:b/>
                <w:color w:val="005096"/>
                <w:sz w:val="18"/>
                <w:szCs w:val="20"/>
              </w:rPr>
              <w:t>图</w:t>
            </w:r>
            <w:r w:rsidR="004A065D">
              <w:rPr>
                <w:b/>
                <w:color w:val="005096"/>
                <w:sz w:val="18"/>
                <w:szCs w:val="20"/>
              </w:rPr>
              <w:t>4</w:t>
            </w:r>
            <w:r w:rsidR="005D7D5C">
              <w:rPr>
                <w:b/>
                <w:color w:val="005096"/>
                <w:sz w:val="18"/>
                <w:szCs w:val="20"/>
              </w:rPr>
              <w:t>2</w:t>
            </w:r>
            <w:r w:rsidRPr="0015501D">
              <w:rPr>
                <w:b/>
                <w:color w:val="005096"/>
                <w:sz w:val="18"/>
                <w:szCs w:val="20"/>
              </w:rPr>
              <w:t>：</w:t>
            </w:r>
            <w:r w:rsidRPr="0015501D">
              <w:rPr>
                <w:rFonts w:hint="eastAsia"/>
                <w:b/>
                <w:color w:val="005096"/>
                <w:sz w:val="18"/>
                <w:szCs w:val="20"/>
              </w:rPr>
              <w:t>国内纯碱产能、产量及增速</w:t>
            </w:r>
            <w:bookmarkEnd w:id="34"/>
          </w:p>
        </w:tc>
      </w:tr>
      <w:tr w:rsidR="0015501D" w:rsidRPr="0015501D" w:rsidTr="003A3DAA">
        <w:trPr>
          <w:trHeight w:val="3913"/>
        </w:trPr>
        <w:tc>
          <w:tcPr>
            <w:tcW w:w="7938" w:type="dxa"/>
            <w:tcBorders>
              <w:top w:val="single" w:sz="4" w:space="0" w:color="000080"/>
              <w:bottom w:val="single" w:sz="4" w:space="0" w:color="000080"/>
            </w:tcBorders>
            <w:vAlign w:val="center"/>
          </w:tcPr>
          <w:p w:rsidR="0015501D" w:rsidRPr="0015501D" w:rsidRDefault="0015501D" w:rsidP="0015501D">
            <w:pPr>
              <w:spacing w:after="120"/>
              <w:ind w:rightChars="-219" w:right="-460"/>
              <w:rPr>
                <w:rFonts w:ascii="宋体" w:hAnsi="宋体" w:cs="宋体"/>
                <w:sz w:val="24"/>
              </w:rPr>
            </w:pPr>
            <w:r w:rsidRPr="0015501D">
              <w:rPr>
                <w:rFonts w:ascii="宋体" w:hAnsi="宋体" w:cs="宋体"/>
                <w:noProof/>
                <w:sz w:val="24"/>
              </w:rPr>
              <w:drawing>
                <wp:inline distT="0" distB="0" distL="0" distR="0">
                  <wp:extent cx="4913907" cy="2328280"/>
                  <wp:effectExtent l="0" t="0" r="127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4950761" cy="2345742"/>
                          </a:xfrm>
                          <a:prstGeom prst="rect">
                            <a:avLst/>
                          </a:prstGeom>
                          <a:noFill/>
                          <a:ln w="9525">
                            <a:noFill/>
                            <a:miter lim="800000"/>
                            <a:headEnd/>
                            <a:tailEnd/>
                          </a:ln>
                        </pic:spPr>
                      </pic:pic>
                    </a:graphicData>
                  </a:graphic>
                </wp:inline>
              </w:drawing>
            </w:r>
          </w:p>
        </w:tc>
      </w:tr>
    </w:tbl>
    <w:p w:rsidR="0015501D" w:rsidRPr="0015501D" w:rsidRDefault="0015501D" w:rsidP="005143F4">
      <w:pPr>
        <w:spacing w:afterLines="50" w:line="360" w:lineRule="exact"/>
        <w:rPr>
          <w:sz w:val="16"/>
          <w:szCs w:val="16"/>
        </w:rPr>
      </w:pPr>
      <w:r w:rsidRPr="0015501D">
        <w:rPr>
          <w:rFonts w:hint="eastAsia"/>
          <w:sz w:val="16"/>
          <w:szCs w:val="16"/>
        </w:rPr>
        <w:t>资料来源：民生证券研究院整理</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当前纯碱市场已经显现了两个趋势。一是产能集中化和装置大型化趋势。10家年产能100万吨及以上纯碱企业，共计年产能为1750万吨，CR10大于50%。二是僵尸企业的将越来越难以生存，2015年已有多家企业停产，未来规模小且环保压力大的企业将加速关停。</w:t>
      </w:r>
    </w:p>
    <w:p w:rsidR="0015501D" w:rsidRPr="0015501D" w:rsidRDefault="0015501D" w:rsidP="0015501D">
      <w:pPr>
        <w:spacing w:line="360" w:lineRule="auto"/>
        <w:ind w:rightChars="1000" w:right="2100" w:firstLine="420"/>
        <w:rPr>
          <w:rFonts w:ascii="楷体" w:eastAsia="楷体" w:hAnsi="楷体"/>
          <w:szCs w:val="21"/>
        </w:rPr>
      </w:pPr>
    </w:p>
    <w:p w:rsidR="0015501D" w:rsidRPr="0015501D" w:rsidRDefault="00494722" w:rsidP="0015501D">
      <w:pPr>
        <w:numPr>
          <w:ilvl w:val="0"/>
          <w:numId w:val="32"/>
        </w:numPr>
        <w:spacing w:line="360" w:lineRule="auto"/>
        <w:ind w:rightChars="1000" w:right="2100"/>
        <w:rPr>
          <w:rFonts w:ascii="楷体" w:eastAsia="楷体" w:hAnsi="楷体"/>
          <w:b/>
          <w:szCs w:val="21"/>
        </w:rPr>
      </w:pPr>
      <w:r>
        <w:rPr>
          <w:rFonts w:ascii="楷体" w:eastAsia="楷体" w:hAnsi="楷体" w:hint="eastAsia"/>
          <w:b/>
          <w:szCs w:val="21"/>
        </w:rPr>
        <w:t>受益公司</w:t>
      </w:r>
    </w:p>
    <w:p w:rsidR="0015501D" w:rsidRPr="0015501D" w:rsidRDefault="0015501D" w:rsidP="0015501D">
      <w:pPr>
        <w:spacing w:line="360" w:lineRule="auto"/>
        <w:ind w:rightChars="1000" w:right="2100" w:firstLine="420"/>
        <w:rPr>
          <w:rFonts w:ascii="楷体" w:eastAsia="楷体" w:hAnsi="楷体"/>
          <w:b/>
          <w:szCs w:val="21"/>
        </w:rPr>
      </w:pPr>
      <w:r w:rsidRPr="0015501D">
        <w:rPr>
          <w:rFonts w:ascii="楷体" w:eastAsia="楷体" w:hAnsi="楷体" w:hint="eastAsia"/>
          <w:b/>
          <w:szCs w:val="21"/>
        </w:rPr>
        <w:t>综合以上逻辑和数据，我们对纯碱走势的总体判断是：在目前环保和去产能的压力下，纯碱未来的产能将缓慢下降，同时在</w:t>
      </w:r>
      <w:proofErr w:type="gramStart"/>
      <w:r w:rsidRPr="0015501D">
        <w:rPr>
          <w:rFonts w:ascii="楷体" w:eastAsia="楷体" w:hAnsi="楷体" w:hint="eastAsia"/>
          <w:b/>
          <w:szCs w:val="21"/>
        </w:rPr>
        <w:t>稳增长</w:t>
      </w:r>
      <w:proofErr w:type="gramEnd"/>
      <w:r w:rsidRPr="0015501D">
        <w:rPr>
          <w:rFonts w:ascii="楷体" w:eastAsia="楷体" w:hAnsi="楷体" w:hint="eastAsia"/>
          <w:b/>
          <w:szCs w:val="21"/>
        </w:rPr>
        <w:t>的政策下，下游需求端将逐渐实现增长，在出口依旧强劲的情况下，2016年纯碱有望成为大宗化学品中率先反弹的产品之一。股票推荐顺序：山东海化、三友化工、双环科技、湖北宜化。</w:t>
      </w:r>
    </w:p>
    <w:p w:rsidR="0015501D" w:rsidRPr="0015501D" w:rsidRDefault="0015501D" w:rsidP="0015501D">
      <w:pPr>
        <w:spacing w:line="360" w:lineRule="exact"/>
        <w:rPr>
          <w:b/>
          <w:color w:val="005096"/>
          <w:sz w:val="18"/>
          <w:szCs w:val="20"/>
        </w:rPr>
      </w:pPr>
      <w:bookmarkStart w:id="35" w:name="_Toc440897125"/>
      <w:r w:rsidRPr="0015501D">
        <w:rPr>
          <w:rFonts w:hint="eastAsia"/>
          <w:b/>
          <w:color w:val="005096"/>
          <w:sz w:val="18"/>
          <w:szCs w:val="20"/>
        </w:rPr>
        <w:t>表</w:t>
      </w:r>
      <w:r w:rsidR="007A307A">
        <w:rPr>
          <w:b/>
          <w:color w:val="005096"/>
          <w:sz w:val="18"/>
          <w:szCs w:val="20"/>
        </w:rPr>
        <w:t>17</w:t>
      </w:r>
      <w:r w:rsidRPr="0015501D">
        <w:rPr>
          <w:rFonts w:hint="eastAsia"/>
          <w:b/>
          <w:color w:val="005096"/>
          <w:sz w:val="18"/>
          <w:szCs w:val="20"/>
        </w:rPr>
        <w:t>：纯碱</w:t>
      </w:r>
      <w:r w:rsidRPr="0015501D">
        <w:rPr>
          <w:b/>
          <w:color w:val="005096"/>
          <w:sz w:val="18"/>
          <w:szCs w:val="20"/>
        </w:rPr>
        <w:t>行业公司</w:t>
      </w:r>
      <w:r w:rsidRPr="0015501D">
        <w:rPr>
          <w:rFonts w:hint="eastAsia"/>
          <w:b/>
          <w:color w:val="005096"/>
          <w:sz w:val="18"/>
          <w:szCs w:val="20"/>
        </w:rPr>
        <w:t>产能</w:t>
      </w:r>
      <w:r w:rsidRPr="0015501D">
        <w:rPr>
          <w:rFonts w:hint="eastAsia"/>
          <w:b/>
          <w:color w:val="005096"/>
          <w:sz w:val="18"/>
          <w:szCs w:val="20"/>
        </w:rPr>
        <w:t>/</w:t>
      </w:r>
      <w:r w:rsidRPr="0015501D">
        <w:rPr>
          <w:rFonts w:hint="eastAsia"/>
          <w:b/>
          <w:color w:val="005096"/>
          <w:sz w:val="18"/>
          <w:szCs w:val="20"/>
        </w:rPr>
        <w:t>市值</w:t>
      </w:r>
      <w:r w:rsidRPr="0015501D">
        <w:rPr>
          <w:b/>
          <w:color w:val="005096"/>
          <w:sz w:val="18"/>
          <w:szCs w:val="20"/>
        </w:rPr>
        <w:t>弹性</w:t>
      </w:r>
      <w:bookmarkEnd w:id="35"/>
    </w:p>
    <w:tbl>
      <w:tblPr>
        <w:tblW w:w="7945" w:type="dxa"/>
        <w:tblInd w:w="108" w:type="dxa"/>
        <w:tblBorders>
          <w:top w:val="single" w:sz="4" w:space="0" w:color="005096"/>
          <w:bottom w:val="single" w:sz="4" w:space="0" w:color="005096"/>
        </w:tblBorders>
        <w:tblLook w:val="04A0"/>
      </w:tblPr>
      <w:tblGrid>
        <w:gridCol w:w="1188"/>
        <w:gridCol w:w="939"/>
        <w:gridCol w:w="1559"/>
        <w:gridCol w:w="999"/>
        <w:gridCol w:w="1411"/>
        <w:gridCol w:w="1849"/>
      </w:tblGrid>
      <w:tr w:rsidR="0015501D" w:rsidRPr="0015501D" w:rsidTr="003A3DAA">
        <w:trPr>
          <w:trHeight w:val="270"/>
        </w:trPr>
        <w:tc>
          <w:tcPr>
            <w:tcW w:w="1188"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代码</w:t>
            </w:r>
          </w:p>
        </w:tc>
        <w:tc>
          <w:tcPr>
            <w:tcW w:w="93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股票</w:t>
            </w:r>
          </w:p>
        </w:tc>
        <w:tc>
          <w:tcPr>
            <w:tcW w:w="155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股价</w:t>
            </w:r>
            <w:r w:rsidRPr="0015501D">
              <w:rPr>
                <w:rFonts w:ascii="Arial" w:hAnsi="Arial" w:hint="eastAsia"/>
                <w:b/>
                <w:sz w:val="16"/>
                <w:szCs w:val="16"/>
              </w:rPr>
              <w:t>(</w:t>
            </w:r>
            <w:r w:rsidRPr="0015501D">
              <w:rPr>
                <w:rFonts w:ascii="Arial" w:hAnsi="Arial"/>
                <w:b/>
                <w:sz w:val="16"/>
                <w:szCs w:val="16"/>
              </w:rPr>
              <w:t>2016-01-15</w:t>
            </w:r>
            <w:r w:rsidRPr="0015501D">
              <w:rPr>
                <w:rFonts w:ascii="Arial" w:hAnsi="Arial" w:hint="eastAsia"/>
                <w:b/>
                <w:sz w:val="16"/>
                <w:szCs w:val="16"/>
              </w:rPr>
              <w:t>)</w:t>
            </w:r>
          </w:p>
        </w:tc>
        <w:tc>
          <w:tcPr>
            <w:tcW w:w="99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市值</w:t>
            </w:r>
            <w:r w:rsidRPr="0015501D">
              <w:rPr>
                <w:rFonts w:ascii="Arial" w:hAnsi="Arial" w:hint="eastAsia"/>
                <w:b/>
                <w:sz w:val="16"/>
                <w:szCs w:val="16"/>
              </w:rPr>
              <w:t>(</w:t>
            </w:r>
            <w:r w:rsidRPr="0015501D">
              <w:rPr>
                <w:rFonts w:ascii="Arial" w:hAnsi="Arial" w:hint="eastAsia"/>
                <w:b/>
                <w:sz w:val="16"/>
                <w:szCs w:val="16"/>
              </w:rPr>
              <w:t>亿</w:t>
            </w:r>
            <w:r w:rsidRPr="0015501D">
              <w:rPr>
                <w:rFonts w:ascii="Arial" w:hAnsi="Arial" w:hint="eastAsia"/>
                <w:b/>
                <w:sz w:val="16"/>
                <w:szCs w:val="16"/>
              </w:rPr>
              <w:t>)</w:t>
            </w:r>
          </w:p>
        </w:tc>
        <w:tc>
          <w:tcPr>
            <w:tcW w:w="1411"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纯碱产能</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184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弹性</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r w:rsidRPr="0015501D">
              <w:rPr>
                <w:rFonts w:ascii="Arial" w:hAnsi="Arial" w:hint="eastAsia"/>
                <w:b/>
                <w:sz w:val="16"/>
                <w:szCs w:val="16"/>
              </w:rPr>
              <w:t>亿</w:t>
            </w:r>
            <w:r w:rsidRPr="0015501D">
              <w:rPr>
                <w:rFonts w:ascii="Arial" w:hAnsi="Arial"/>
                <w:b/>
                <w:sz w:val="16"/>
                <w:szCs w:val="16"/>
              </w:rPr>
              <w:t>市值</w:t>
            </w:r>
            <w:r w:rsidRPr="0015501D">
              <w:rPr>
                <w:rFonts w:ascii="Arial" w:hAnsi="Arial" w:hint="eastAsia"/>
                <w:b/>
                <w:sz w:val="16"/>
                <w:szCs w:val="16"/>
              </w:rPr>
              <w:t>)</w:t>
            </w:r>
          </w:p>
        </w:tc>
      </w:tr>
      <w:tr w:rsidR="0015501D" w:rsidRPr="0015501D" w:rsidTr="003A3DAA">
        <w:trPr>
          <w:trHeight w:val="270"/>
        </w:trPr>
        <w:tc>
          <w:tcPr>
            <w:tcW w:w="1188" w:type="dxa"/>
            <w:tcBorders>
              <w:top w:val="single" w:sz="4" w:space="0" w:color="005096"/>
            </w:tcBorders>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000822</w:t>
            </w:r>
          </w:p>
        </w:tc>
        <w:tc>
          <w:tcPr>
            <w:tcW w:w="939" w:type="dxa"/>
            <w:tcBorders>
              <w:top w:val="single" w:sz="4" w:space="0" w:color="005096"/>
            </w:tcBorders>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山东海化</w:t>
            </w:r>
          </w:p>
        </w:tc>
        <w:tc>
          <w:tcPr>
            <w:tcW w:w="155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5.68</w:t>
            </w:r>
          </w:p>
        </w:tc>
        <w:tc>
          <w:tcPr>
            <w:tcW w:w="99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50.8 </w:t>
            </w:r>
          </w:p>
        </w:tc>
        <w:tc>
          <w:tcPr>
            <w:tcW w:w="1411"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330</w:t>
            </w:r>
          </w:p>
        </w:tc>
        <w:tc>
          <w:tcPr>
            <w:tcW w:w="184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6.49 </w:t>
            </w:r>
          </w:p>
        </w:tc>
      </w:tr>
      <w:tr w:rsidR="0015501D" w:rsidRPr="0015501D" w:rsidTr="003A3DAA">
        <w:trPr>
          <w:trHeight w:val="270"/>
        </w:trPr>
        <w:tc>
          <w:tcPr>
            <w:tcW w:w="1188"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600409</w:t>
            </w:r>
          </w:p>
        </w:tc>
        <w:tc>
          <w:tcPr>
            <w:tcW w:w="939"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三友化工</w:t>
            </w:r>
          </w:p>
        </w:tc>
        <w:tc>
          <w:tcPr>
            <w:tcW w:w="155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7.19</w:t>
            </w:r>
          </w:p>
        </w:tc>
        <w:tc>
          <w:tcPr>
            <w:tcW w:w="99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133.0 </w:t>
            </w:r>
          </w:p>
        </w:tc>
        <w:tc>
          <w:tcPr>
            <w:tcW w:w="1411"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300</w:t>
            </w:r>
          </w:p>
        </w:tc>
        <w:tc>
          <w:tcPr>
            <w:tcW w:w="184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2.25 </w:t>
            </w:r>
          </w:p>
        </w:tc>
      </w:tr>
      <w:tr w:rsidR="0015501D" w:rsidRPr="0015501D" w:rsidTr="003A3DAA">
        <w:trPr>
          <w:trHeight w:val="270"/>
        </w:trPr>
        <w:tc>
          <w:tcPr>
            <w:tcW w:w="1188"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lastRenderedPageBreak/>
              <w:t>000707</w:t>
            </w:r>
          </w:p>
        </w:tc>
        <w:tc>
          <w:tcPr>
            <w:tcW w:w="939"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双</w:t>
            </w:r>
            <w:proofErr w:type="gramStart"/>
            <w:r w:rsidRPr="0015501D">
              <w:rPr>
                <w:rFonts w:eastAsia="宋体" w:hint="eastAsia"/>
                <w:color w:val="005096"/>
                <w:sz w:val="18"/>
                <w:szCs w:val="16"/>
              </w:rPr>
              <w:t>环科技</w:t>
            </w:r>
            <w:proofErr w:type="gramEnd"/>
          </w:p>
        </w:tc>
        <w:tc>
          <w:tcPr>
            <w:tcW w:w="155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5.99</w:t>
            </w:r>
          </w:p>
        </w:tc>
        <w:tc>
          <w:tcPr>
            <w:tcW w:w="99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27.8 </w:t>
            </w:r>
          </w:p>
        </w:tc>
        <w:tc>
          <w:tcPr>
            <w:tcW w:w="1411"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100</w:t>
            </w:r>
          </w:p>
        </w:tc>
        <w:tc>
          <w:tcPr>
            <w:tcW w:w="184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3.60 </w:t>
            </w:r>
          </w:p>
        </w:tc>
      </w:tr>
      <w:tr w:rsidR="0015501D" w:rsidRPr="0015501D" w:rsidTr="003A3DAA">
        <w:trPr>
          <w:trHeight w:val="270"/>
        </w:trPr>
        <w:tc>
          <w:tcPr>
            <w:tcW w:w="1188"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000422</w:t>
            </w:r>
          </w:p>
        </w:tc>
        <w:tc>
          <w:tcPr>
            <w:tcW w:w="939"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湖北宜化</w:t>
            </w:r>
          </w:p>
        </w:tc>
        <w:tc>
          <w:tcPr>
            <w:tcW w:w="155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6.6</w:t>
            </w:r>
          </w:p>
        </w:tc>
        <w:tc>
          <w:tcPr>
            <w:tcW w:w="99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59.3 </w:t>
            </w:r>
          </w:p>
        </w:tc>
        <w:tc>
          <w:tcPr>
            <w:tcW w:w="1411"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200</w:t>
            </w:r>
          </w:p>
        </w:tc>
        <w:tc>
          <w:tcPr>
            <w:tcW w:w="184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3.38 </w:t>
            </w:r>
          </w:p>
        </w:tc>
      </w:tr>
    </w:tbl>
    <w:p w:rsidR="0015501D" w:rsidRPr="0015501D" w:rsidRDefault="0015501D" w:rsidP="005143F4">
      <w:pPr>
        <w:spacing w:afterLines="50" w:line="360" w:lineRule="exact"/>
        <w:rPr>
          <w:sz w:val="16"/>
          <w:szCs w:val="16"/>
        </w:rPr>
      </w:pPr>
      <w:r w:rsidRPr="0015501D">
        <w:rPr>
          <w:rFonts w:hint="eastAsia"/>
          <w:sz w:val="16"/>
          <w:szCs w:val="16"/>
        </w:rPr>
        <w:t>资料来源</w:t>
      </w:r>
      <w:r w:rsidRPr="0015501D">
        <w:rPr>
          <w:sz w:val="16"/>
          <w:szCs w:val="16"/>
        </w:rPr>
        <w:t>：</w:t>
      </w:r>
      <w:r w:rsidRPr="0015501D">
        <w:rPr>
          <w:rFonts w:hint="eastAsia"/>
          <w:sz w:val="16"/>
          <w:szCs w:val="16"/>
        </w:rPr>
        <w:t>Wind</w:t>
      </w:r>
      <w:r w:rsidRPr="0015501D">
        <w:rPr>
          <w:rFonts w:hint="eastAsia"/>
          <w:sz w:val="16"/>
          <w:szCs w:val="16"/>
        </w:rPr>
        <w:t>资讯</w:t>
      </w:r>
      <w:r w:rsidRPr="0015501D">
        <w:rPr>
          <w:sz w:val="16"/>
          <w:szCs w:val="16"/>
        </w:rPr>
        <w:t>、民生证券研究院整理</w:t>
      </w:r>
    </w:p>
    <w:p w:rsidR="0015501D" w:rsidRPr="0015501D" w:rsidRDefault="0015501D" w:rsidP="0015501D">
      <w:pPr>
        <w:numPr>
          <w:ilvl w:val="0"/>
          <w:numId w:val="11"/>
        </w:numPr>
        <w:spacing w:line="360" w:lineRule="auto"/>
        <w:ind w:rightChars="1000" w:right="2100"/>
        <w:rPr>
          <w:rFonts w:ascii="楷体" w:eastAsia="楷体" w:hAnsi="楷体"/>
          <w:b/>
          <w:szCs w:val="21"/>
        </w:rPr>
      </w:pPr>
      <w:r w:rsidRPr="0015501D">
        <w:rPr>
          <w:rFonts w:ascii="楷体" w:eastAsia="楷体" w:hAnsi="楷体" w:hint="eastAsia"/>
          <w:b/>
          <w:szCs w:val="21"/>
        </w:rPr>
        <w:t>PVC价格处于历史大底，无电石电力配套产能将退出</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15501D" w:rsidP="0015501D">
      <w:pPr>
        <w:numPr>
          <w:ilvl w:val="0"/>
          <w:numId w:val="33"/>
        </w:numPr>
        <w:spacing w:line="360" w:lineRule="auto"/>
        <w:ind w:rightChars="1000" w:right="2100"/>
        <w:rPr>
          <w:rFonts w:ascii="楷体" w:eastAsia="楷体" w:hAnsi="楷体"/>
          <w:b/>
          <w:szCs w:val="21"/>
        </w:rPr>
      </w:pPr>
      <w:r w:rsidRPr="0015501D">
        <w:rPr>
          <w:rFonts w:ascii="楷体" w:eastAsia="楷体" w:hAnsi="楷体" w:hint="eastAsia"/>
          <w:b/>
          <w:szCs w:val="21"/>
        </w:rPr>
        <w:t>产能利用情况：总体产能依然过剩，但无电力电石配套产能已失去竞争力</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国内PVC截至2014年底产能为2631万吨，2014年产量1630万吨，开工率62%。2015年数据还未统计出，但用10个月的情况估算，基本持平。PVC进出口量基本持平，因此表观消费量与产量相差不大。</w:t>
      </w:r>
    </w:p>
    <w:p w:rsidR="0015501D" w:rsidRPr="0015501D" w:rsidRDefault="0015501D" w:rsidP="0015501D">
      <w:pPr>
        <w:spacing w:line="360" w:lineRule="exact"/>
        <w:rPr>
          <w:b/>
          <w:color w:val="005096"/>
          <w:sz w:val="18"/>
          <w:szCs w:val="20"/>
        </w:rPr>
      </w:pPr>
      <w:bookmarkStart w:id="36" w:name="_Toc440897104"/>
      <w:r w:rsidRPr="0015501D">
        <w:rPr>
          <w:rFonts w:hint="eastAsia"/>
          <w:b/>
          <w:color w:val="005096"/>
          <w:sz w:val="18"/>
          <w:szCs w:val="20"/>
        </w:rPr>
        <w:t>图</w:t>
      </w:r>
      <w:r w:rsidR="004A065D">
        <w:rPr>
          <w:b/>
          <w:color w:val="005096"/>
          <w:sz w:val="18"/>
          <w:szCs w:val="20"/>
        </w:rPr>
        <w:t>4</w:t>
      </w:r>
      <w:r w:rsidR="005D7D5C">
        <w:rPr>
          <w:b/>
          <w:color w:val="005096"/>
          <w:sz w:val="18"/>
          <w:szCs w:val="20"/>
        </w:rPr>
        <w:t>3</w:t>
      </w:r>
      <w:r w:rsidRPr="0015501D">
        <w:rPr>
          <w:rFonts w:hint="eastAsia"/>
          <w:b/>
          <w:color w:val="005096"/>
          <w:sz w:val="18"/>
          <w:szCs w:val="20"/>
        </w:rPr>
        <w:t>：</w:t>
      </w:r>
      <w:r w:rsidRPr="0015501D">
        <w:rPr>
          <w:rFonts w:hint="eastAsia"/>
          <w:b/>
          <w:color w:val="005096"/>
          <w:sz w:val="18"/>
          <w:szCs w:val="20"/>
        </w:rPr>
        <w:t>PVC</w:t>
      </w:r>
      <w:r w:rsidRPr="0015501D">
        <w:rPr>
          <w:rFonts w:hint="eastAsia"/>
          <w:b/>
          <w:color w:val="005096"/>
          <w:sz w:val="18"/>
          <w:szCs w:val="20"/>
        </w:rPr>
        <w:t>产能、产量和表观消费量</w:t>
      </w:r>
      <w:bookmarkEnd w:id="36"/>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938"/>
      </w:tblGrid>
      <w:tr w:rsidR="0015501D" w:rsidRPr="0015501D" w:rsidTr="003A3DAA">
        <w:trPr>
          <w:trHeight w:hRule="exact" w:val="3622"/>
        </w:trPr>
        <w:tc>
          <w:tcPr>
            <w:tcW w:w="7763" w:type="dxa"/>
            <w:tcBorders>
              <w:top w:val="single" w:sz="8" w:space="0" w:color="005096"/>
              <w:left w:val="nil"/>
              <w:bottom w:val="single" w:sz="8" w:space="0" w:color="005096"/>
              <w:right w:val="nil"/>
            </w:tcBorders>
          </w:tcPr>
          <w:p w:rsidR="0015501D" w:rsidRPr="0015501D" w:rsidRDefault="0015501D" w:rsidP="005143F4">
            <w:pPr>
              <w:autoSpaceDE w:val="0"/>
              <w:autoSpaceDN w:val="0"/>
              <w:spacing w:beforeLines="50" w:afterLines="50" w:line="360" w:lineRule="auto"/>
              <w:rPr>
                <w:sz w:val="24"/>
              </w:rPr>
            </w:pPr>
            <w:r w:rsidRPr="0015501D">
              <w:rPr>
                <w:rFonts w:ascii="宋体" w:hAnsi="宋体" w:cs="宋体" w:hint="eastAsia"/>
                <w:noProof/>
                <w:sz w:val="24"/>
              </w:rPr>
              <w:drawing>
                <wp:inline distT="0" distB="0" distL="0" distR="0">
                  <wp:extent cx="5008140" cy="209914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5031486" cy="2108929"/>
                          </a:xfrm>
                          <a:prstGeom prst="rect">
                            <a:avLst/>
                          </a:prstGeom>
                          <a:noFill/>
                          <a:ln w="9525">
                            <a:noFill/>
                            <a:miter lim="800000"/>
                            <a:headEnd/>
                            <a:tailEnd/>
                          </a:ln>
                        </pic:spPr>
                      </pic:pic>
                    </a:graphicData>
                  </a:graphic>
                </wp:inline>
              </w:drawing>
            </w:r>
          </w:p>
        </w:tc>
      </w:tr>
    </w:tbl>
    <w:p w:rsidR="0015501D" w:rsidRPr="0015501D" w:rsidRDefault="0015501D" w:rsidP="005143F4">
      <w:pPr>
        <w:spacing w:afterLines="50" w:line="360" w:lineRule="exact"/>
        <w:rPr>
          <w:sz w:val="16"/>
          <w:szCs w:val="16"/>
        </w:rPr>
      </w:pPr>
      <w:r w:rsidRPr="0015501D">
        <w:rPr>
          <w:rFonts w:hint="eastAsia"/>
          <w:sz w:val="16"/>
          <w:szCs w:val="16"/>
        </w:rPr>
        <w:t>资料</w:t>
      </w:r>
      <w:r w:rsidRPr="0015501D">
        <w:rPr>
          <w:sz w:val="16"/>
          <w:szCs w:val="16"/>
        </w:rPr>
        <w:t>来源：</w:t>
      </w:r>
      <w:r w:rsidRPr="0015501D">
        <w:rPr>
          <w:rFonts w:hint="eastAsia"/>
          <w:sz w:val="16"/>
          <w:szCs w:val="16"/>
        </w:rPr>
        <w:t>Wind</w:t>
      </w:r>
      <w:r w:rsidRPr="0015501D">
        <w:rPr>
          <w:rFonts w:hint="eastAsia"/>
          <w:sz w:val="16"/>
          <w:szCs w:val="16"/>
        </w:rPr>
        <w:t>资讯</w:t>
      </w:r>
      <w:r w:rsidRPr="0015501D">
        <w:rPr>
          <w:sz w:val="16"/>
          <w:szCs w:val="16"/>
        </w:rPr>
        <w:t>、民生证券研究院整理</w:t>
      </w:r>
    </w:p>
    <w:p w:rsidR="0015501D" w:rsidRPr="0015501D" w:rsidRDefault="0015501D" w:rsidP="0015501D">
      <w:pPr>
        <w:spacing w:line="360" w:lineRule="auto"/>
        <w:ind w:rightChars="1000" w:right="2100" w:firstLine="420"/>
        <w:rPr>
          <w:rFonts w:ascii="楷体" w:eastAsia="楷体" w:hAnsi="楷体"/>
          <w:b/>
          <w:szCs w:val="21"/>
        </w:rPr>
      </w:pPr>
      <w:r w:rsidRPr="0015501D">
        <w:rPr>
          <w:rFonts w:ascii="楷体" w:eastAsia="楷体" w:hAnsi="楷体" w:hint="eastAsia"/>
          <w:szCs w:val="21"/>
        </w:rPr>
        <w:t>虽然从总体上看PVC产能过剩的情况依然比较严重，但是PVC产业链较长，过去几年很多企业积极向上游延伸产业链，配套电石、自备电厂甚至自己开矿采煤发电。自备电厂的审批非常难，因此PVC企业的核心竞争力之一在于电石和电力的自给率。据我们了解和估算，目前没有电石和电力配套的PVC产能应该在500-1000万吨之间，这部分产能应该在较长时间内没有重新开动的可能，扣除掉这部分产能，</w:t>
      </w:r>
      <w:r w:rsidRPr="0015501D">
        <w:rPr>
          <w:rFonts w:ascii="楷体" w:eastAsia="楷体" w:hAnsi="楷体" w:hint="eastAsia"/>
          <w:b/>
          <w:szCs w:val="21"/>
        </w:rPr>
        <w:t>PVC行业的有效开工率其实在75%以上甚至更高，实际上龙头企业的开工率均在90%以上。</w:t>
      </w:r>
    </w:p>
    <w:p w:rsidR="0015501D" w:rsidRPr="0015501D" w:rsidRDefault="0015501D" w:rsidP="0015501D">
      <w:pPr>
        <w:spacing w:line="360" w:lineRule="exact"/>
        <w:rPr>
          <w:b/>
          <w:color w:val="005096"/>
          <w:sz w:val="18"/>
          <w:szCs w:val="20"/>
        </w:rPr>
      </w:pPr>
      <w:bookmarkStart w:id="37" w:name="_Toc440897105"/>
      <w:r w:rsidRPr="0015501D">
        <w:rPr>
          <w:b/>
          <w:color w:val="005096"/>
          <w:sz w:val="18"/>
          <w:szCs w:val="20"/>
        </w:rPr>
        <w:t>图</w:t>
      </w:r>
      <w:r w:rsidR="004A065D">
        <w:rPr>
          <w:b/>
          <w:color w:val="005096"/>
          <w:sz w:val="18"/>
          <w:szCs w:val="20"/>
        </w:rPr>
        <w:t>4</w:t>
      </w:r>
      <w:r w:rsidR="005D7D5C">
        <w:rPr>
          <w:b/>
          <w:color w:val="005096"/>
          <w:sz w:val="18"/>
          <w:szCs w:val="20"/>
        </w:rPr>
        <w:t>4</w:t>
      </w:r>
      <w:r w:rsidRPr="0015501D">
        <w:rPr>
          <w:b/>
          <w:color w:val="005096"/>
          <w:sz w:val="18"/>
          <w:szCs w:val="20"/>
        </w:rPr>
        <w:t>：</w:t>
      </w:r>
      <w:r w:rsidRPr="0015501D">
        <w:rPr>
          <w:rFonts w:hint="eastAsia"/>
          <w:b/>
          <w:color w:val="005096"/>
          <w:sz w:val="18"/>
          <w:szCs w:val="20"/>
        </w:rPr>
        <w:t>PVC</w:t>
      </w:r>
      <w:r w:rsidRPr="0015501D">
        <w:rPr>
          <w:rFonts w:hint="eastAsia"/>
          <w:b/>
          <w:color w:val="005096"/>
          <w:sz w:val="18"/>
          <w:szCs w:val="20"/>
        </w:rPr>
        <w:t>行业开工率</w:t>
      </w:r>
      <w:bookmarkEnd w:id="37"/>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938"/>
      </w:tblGrid>
      <w:tr w:rsidR="0015501D" w:rsidRPr="0015501D" w:rsidTr="00535218">
        <w:trPr>
          <w:trHeight w:hRule="exact" w:val="3040"/>
        </w:trPr>
        <w:tc>
          <w:tcPr>
            <w:tcW w:w="7763" w:type="dxa"/>
            <w:tcBorders>
              <w:top w:val="single" w:sz="8" w:space="0" w:color="005096"/>
              <w:left w:val="nil"/>
              <w:bottom w:val="single" w:sz="8" w:space="0" w:color="005096"/>
              <w:right w:val="nil"/>
            </w:tcBorders>
          </w:tcPr>
          <w:p w:rsidR="0015501D" w:rsidRPr="0015501D" w:rsidRDefault="00535218" w:rsidP="005143F4">
            <w:pPr>
              <w:autoSpaceDE w:val="0"/>
              <w:autoSpaceDN w:val="0"/>
              <w:spacing w:beforeLines="50" w:afterLines="50" w:line="360" w:lineRule="auto"/>
              <w:rPr>
                <w:sz w:val="24"/>
              </w:rPr>
            </w:pPr>
            <w:r>
              <w:rPr>
                <w:rFonts w:ascii="楷体" w:eastAsia="楷体" w:hAnsi="楷体" w:hint="eastAsia"/>
                <w:noProof/>
                <w:szCs w:val="21"/>
              </w:rPr>
              <w:lastRenderedPageBreak/>
              <w:drawing>
                <wp:anchor distT="0" distB="0" distL="114300" distR="114300" simplePos="0" relativeHeight="251659776" behindDoc="1" locked="0" layoutInCell="1" allowOverlap="1">
                  <wp:simplePos x="0" y="0"/>
                  <wp:positionH relativeFrom="column">
                    <wp:posOffset>-635</wp:posOffset>
                  </wp:positionH>
                  <wp:positionV relativeFrom="paragraph">
                    <wp:posOffset>55245</wp:posOffset>
                  </wp:positionV>
                  <wp:extent cx="4984115" cy="18796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88277.tmp"/>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4115" cy="1879600"/>
                          </a:xfrm>
                          <a:prstGeom prst="rect">
                            <a:avLst/>
                          </a:prstGeom>
                        </pic:spPr>
                      </pic:pic>
                    </a:graphicData>
                  </a:graphic>
                </wp:anchor>
              </w:drawing>
            </w:r>
          </w:p>
        </w:tc>
      </w:tr>
    </w:tbl>
    <w:p w:rsidR="0015501D" w:rsidRPr="0015501D" w:rsidRDefault="0015501D" w:rsidP="005143F4">
      <w:pPr>
        <w:spacing w:afterLines="50" w:line="360" w:lineRule="exact"/>
        <w:rPr>
          <w:sz w:val="16"/>
          <w:szCs w:val="16"/>
        </w:rPr>
      </w:pPr>
      <w:r w:rsidRPr="0015501D">
        <w:rPr>
          <w:rFonts w:hint="eastAsia"/>
          <w:sz w:val="16"/>
          <w:szCs w:val="16"/>
        </w:rPr>
        <w:t>资料</w:t>
      </w:r>
      <w:r w:rsidRPr="0015501D">
        <w:rPr>
          <w:sz w:val="16"/>
          <w:szCs w:val="16"/>
        </w:rPr>
        <w:t>来源：</w:t>
      </w:r>
      <w:r w:rsidRPr="0015501D">
        <w:rPr>
          <w:rFonts w:hint="eastAsia"/>
          <w:sz w:val="16"/>
          <w:szCs w:val="16"/>
        </w:rPr>
        <w:t>Wind</w:t>
      </w:r>
      <w:r w:rsidRPr="0015501D">
        <w:rPr>
          <w:rFonts w:hint="eastAsia"/>
          <w:sz w:val="16"/>
          <w:szCs w:val="16"/>
        </w:rPr>
        <w:t>资讯</w:t>
      </w:r>
      <w:r w:rsidRPr="0015501D">
        <w:rPr>
          <w:sz w:val="16"/>
          <w:szCs w:val="16"/>
        </w:rPr>
        <w:t>、民生证券研究院整理</w:t>
      </w:r>
    </w:p>
    <w:p w:rsidR="0015501D" w:rsidRPr="0015501D" w:rsidRDefault="0015501D" w:rsidP="0015501D">
      <w:pPr>
        <w:numPr>
          <w:ilvl w:val="0"/>
          <w:numId w:val="33"/>
        </w:numPr>
        <w:spacing w:line="360" w:lineRule="auto"/>
        <w:ind w:rightChars="1000" w:right="2100"/>
        <w:rPr>
          <w:rFonts w:ascii="楷体" w:eastAsia="楷体" w:hAnsi="楷体"/>
          <w:b/>
          <w:szCs w:val="21"/>
        </w:rPr>
      </w:pPr>
      <w:r w:rsidRPr="0015501D">
        <w:rPr>
          <w:rFonts w:ascii="楷体" w:eastAsia="楷体" w:hAnsi="楷体" w:hint="eastAsia"/>
          <w:b/>
          <w:szCs w:val="21"/>
        </w:rPr>
        <w:t>去产能进程：需求仍有增长，产能增速大幅放缓</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我们用表观消费量来表征PVC的需求，09-11年加上13年增速依然都在10%以上，14年和15年增速下滑较快，但也依然是正的。而产能增长从2011年起就一直低于10%，15</w:t>
      </w:r>
      <w:proofErr w:type="gramStart"/>
      <w:r w:rsidRPr="0015501D">
        <w:rPr>
          <w:rFonts w:ascii="楷体" w:eastAsia="楷体" w:hAnsi="楷体" w:hint="eastAsia"/>
          <w:szCs w:val="21"/>
        </w:rPr>
        <w:t>年产能净减少</w:t>
      </w:r>
      <w:proofErr w:type="gramEnd"/>
      <w:r w:rsidRPr="0015501D">
        <w:rPr>
          <w:rFonts w:ascii="楷体" w:eastAsia="楷体" w:hAnsi="楷体" w:hint="eastAsia"/>
          <w:szCs w:val="21"/>
        </w:rPr>
        <w:t>41万吨，占比1.56%。</w:t>
      </w:r>
    </w:p>
    <w:p w:rsidR="0015501D" w:rsidRPr="0015501D" w:rsidRDefault="0015501D" w:rsidP="0015501D">
      <w:pPr>
        <w:spacing w:line="360" w:lineRule="exact"/>
        <w:rPr>
          <w:b/>
          <w:color w:val="005096"/>
          <w:sz w:val="18"/>
          <w:szCs w:val="20"/>
        </w:rPr>
      </w:pPr>
      <w:bookmarkStart w:id="38" w:name="_Toc440897106"/>
      <w:r w:rsidRPr="0015501D">
        <w:rPr>
          <w:b/>
          <w:color w:val="005096"/>
          <w:sz w:val="18"/>
          <w:szCs w:val="20"/>
        </w:rPr>
        <w:t>图</w:t>
      </w:r>
      <w:r w:rsidR="004A065D">
        <w:rPr>
          <w:b/>
          <w:color w:val="005096"/>
          <w:sz w:val="18"/>
          <w:szCs w:val="20"/>
        </w:rPr>
        <w:t>4</w:t>
      </w:r>
      <w:r w:rsidR="005D7D5C">
        <w:rPr>
          <w:b/>
          <w:color w:val="005096"/>
          <w:sz w:val="18"/>
          <w:szCs w:val="20"/>
        </w:rPr>
        <w:t>5</w:t>
      </w:r>
      <w:r w:rsidRPr="0015501D">
        <w:rPr>
          <w:b/>
          <w:color w:val="005096"/>
          <w:sz w:val="18"/>
          <w:szCs w:val="20"/>
        </w:rPr>
        <w:t>：</w:t>
      </w:r>
      <w:r w:rsidRPr="0015501D">
        <w:rPr>
          <w:rFonts w:hint="eastAsia"/>
          <w:b/>
          <w:color w:val="005096"/>
          <w:sz w:val="18"/>
          <w:szCs w:val="20"/>
        </w:rPr>
        <w:t>PVC</w:t>
      </w:r>
      <w:r w:rsidRPr="0015501D">
        <w:rPr>
          <w:rFonts w:hint="eastAsia"/>
          <w:b/>
          <w:color w:val="005096"/>
          <w:sz w:val="18"/>
          <w:szCs w:val="20"/>
        </w:rPr>
        <w:t>产能、表观消费量及增速</w:t>
      </w:r>
      <w:bookmarkEnd w:id="38"/>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938"/>
      </w:tblGrid>
      <w:tr w:rsidR="0015501D" w:rsidRPr="0015501D" w:rsidTr="003A3DAA">
        <w:trPr>
          <w:trHeight w:hRule="exact" w:val="4101"/>
        </w:trPr>
        <w:tc>
          <w:tcPr>
            <w:tcW w:w="7763" w:type="dxa"/>
            <w:tcBorders>
              <w:top w:val="single" w:sz="8" w:space="0" w:color="005096"/>
              <w:left w:val="nil"/>
              <w:bottom w:val="single" w:sz="8" w:space="0" w:color="005096"/>
              <w:right w:val="nil"/>
            </w:tcBorders>
          </w:tcPr>
          <w:p w:rsidR="0015501D" w:rsidRPr="0015501D" w:rsidRDefault="0015501D" w:rsidP="0015501D">
            <w:pPr>
              <w:autoSpaceDE w:val="0"/>
              <w:autoSpaceDN w:val="0"/>
              <w:jc w:val="center"/>
              <w:rPr>
                <w:sz w:val="24"/>
              </w:rPr>
            </w:pPr>
            <w:r w:rsidRPr="0015501D">
              <w:rPr>
                <w:rFonts w:ascii="宋体" w:hAnsi="宋体" w:cs="宋体" w:hint="eastAsia"/>
                <w:noProof/>
                <w:sz w:val="24"/>
              </w:rPr>
              <w:drawing>
                <wp:inline distT="0" distB="0" distL="0" distR="0">
                  <wp:extent cx="5027305" cy="2472856"/>
                  <wp:effectExtent l="0" t="0" r="1905"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5034724" cy="2476505"/>
                          </a:xfrm>
                          <a:prstGeom prst="rect">
                            <a:avLst/>
                          </a:prstGeom>
                          <a:noFill/>
                          <a:ln w="9525">
                            <a:noFill/>
                            <a:miter lim="800000"/>
                            <a:headEnd/>
                            <a:tailEnd/>
                          </a:ln>
                        </pic:spPr>
                      </pic:pic>
                    </a:graphicData>
                  </a:graphic>
                </wp:inline>
              </w:drawing>
            </w:r>
          </w:p>
        </w:tc>
      </w:tr>
    </w:tbl>
    <w:p w:rsidR="0015501D" w:rsidRPr="0015501D" w:rsidRDefault="0015501D" w:rsidP="005143F4">
      <w:pPr>
        <w:spacing w:afterLines="50" w:line="360" w:lineRule="exact"/>
        <w:rPr>
          <w:sz w:val="16"/>
          <w:szCs w:val="16"/>
        </w:rPr>
      </w:pPr>
      <w:r w:rsidRPr="0015501D">
        <w:rPr>
          <w:rFonts w:hint="eastAsia"/>
          <w:sz w:val="16"/>
          <w:szCs w:val="16"/>
        </w:rPr>
        <w:t>资料</w:t>
      </w:r>
      <w:r w:rsidRPr="0015501D">
        <w:rPr>
          <w:sz w:val="16"/>
          <w:szCs w:val="16"/>
        </w:rPr>
        <w:t>来源：</w:t>
      </w:r>
      <w:r w:rsidRPr="0015501D">
        <w:rPr>
          <w:rFonts w:hint="eastAsia"/>
          <w:sz w:val="16"/>
          <w:szCs w:val="16"/>
        </w:rPr>
        <w:t>W</w:t>
      </w:r>
      <w:r w:rsidRPr="0015501D">
        <w:rPr>
          <w:sz w:val="16"/>
          <w:szCs w:val="16"/>
        </w:rPr>
        <w:t>i</w:t>
      </w:r>
      <w:r w:rsidRPr="0015501D">
        <w:rPr>
          <w:rFonts w:hint="eastAsia"/>
          <w:sz w:val="16"/>
          <w:szCs w:val="16"/>
        </w:rPr>
        <w:t>nd</w:t>
      </w:r>
      <w:r w:rsidRPr="0015501D">
        <w:rPr>
          <w:sz w:val="16"/>
          <w:szCs w:val="16"/>
        </w:rPr>
        <w:t>资讯、民生证券研究院整理</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494722" w:rsidP="0015501D">
      <w:pPr>
        <w:numPr>
          <w:ilvl w:val="0"/>
          <w:numId w:val="33"/>
        </w:numPr>
        <w:spacing w:line="360" w:lineRule="auto"/>
        <w:ind w:rightChars="1000" w:right="2100"/>
        <w:rPr>
          <w:rFonts w:ascii="楷体" w:eastAsia="楷体" w:hAnsi="楷体"/>
          <w:b/>
          <w:szCs w:val="21"/>
        </w:rPr>
      </w:pPr>
      <w:r>
        <w:rPr>
          <w:rFonts w:ascii="楷体" w:eastAsia="楷体" w:hAnsi="楷体" w:hint="eastAsia"/>
          <w:b/>
          <w:szCs w:val="21"/>
        </w:rPr>
        <w:t>受益公司</w:t>
      </w:r>
    </w:p>
    <w:p w:rsidR="0015501D" w:rsidRPr="0015501D" w:rsidRDefault="0015501D" w:rsidP="0015501D">
      <w:pPr>
        <w:spacing w:line="360" w:lineRule="auto"/>
        <w:ind w:rightChars="1000" w:right="2100" w:firstLine="420"/>
        <w:rPr>
          <w:rFonts w:ascii="楷体" w:eastAsia="楷体" w:hAnsi="楷体"/>
          <w:b/>
          <w:szCs w:val="21"/>
        </w:rPr>
      </w:pPr>
      <w:r w:rsidRPr="0015501D">
        <w:rPr>
          <w:rFonts w:ascii="楷体" w:eastAsia="楷体" w:hAnsi="楷体" w:hint="eastAsia"/>
          <w:b/>
          <w:szCs w:val="21"/>
        </w:rPr>
        <w:t>结论：综合以上逻辑及数据，PVC价格处于历史大底，产能开始净减少，扣除无电力电石配套的产能后实际有效开工率应该在75%以上甚至更高。2015年市场化的行业出清和行业整合已经开始推进，随着国家层面供给侧结构性改革的推进，以及房地产去库存后可能带来的房地产投资改善和新开工提升，PVC行业将逐渐走出底部，企业盈利好转。股票推荐顺序：中泰化学、英力特、鸿达兴业、君正集团。</w:t>
      </w:r>
    </w:p>
    <w:p w:rsidR="0015501D" w:rsidRPr="0015501D" w:rsidRDefault="0015501D" w:rsidP="0015501D">
      <w:pPr>
        <w:spacing w:line="360" w:lineRule="exact"/>
        <w:rPr>
          <w:b/>
          <w:color w:val="005096"/>
          <w:sz w:val="18"/>
          <w:szCs w:val="20"/>
        </w:rPr>
      </w:pPr>
      <w:bookmarkStart w:id="39" w:name="_Toc440897126"/>
      <w:r w:rsidRPr="0015501D">
        <w:rPr>
          <w:rFonts w:hint="eastAsia"/>
          <w:b/>
          <w:color w:val="005096"/>
          <w:sz w:val="18"/>
          <w:szCs w:val="20"/>
        </w:rPr>
        <w:t>表</w:t>
      </w:r>
      <w:r w:rsidR="007A307A">
        <w:rPr>
          <w:b/>
          <w:color w:val="005096"/>
          <w:sz w:val="18"/>
          <w:szCs w:val="20"/>
        </w:rPr>
        <w:t>18</w:t>
      </w:r>
      <w:r w:rsidRPr="0015501D">
        <w:rPr>
          <w:rFonts w:hint="eastAsia"/>
          <w:b/>
          <w:color w:val="005096"/>
          <w:sz w:val="18"/>
          <w:szCs w:val="20"/>
        </w:rPr>
        <w:t>：</w:t>
      </w:r>
      <w:r w:rsidRPr="0015501D">
        <w:rPr>
          <w:rFonts w:hint="eastAsia"/>
          <w:b/>
          <w:color w:val="005096"/>
          <w:sz w:val="18"/>
          <w:szCs w:val="20"/>
        </w:rPr>
        <w:t>PVC</w:t>
      </w:r>
      <w:r w:rsidRPr="0015501D">
        <w:rPr>
          <w:b/>
          <w:color w:val="005096"/>
          <w:sz w:val="18"/>
          <w:szCs w:val="20"/>
        </w:rPr>
        <w:t>行业公司</w:t>
      </w:r>
      <w:r w:rsidRPr="0015501D">
        <w:rPr>
          <w:rFonts w:hint="eastAsia"/>
          <w:b/>
          <w:color w:val="005096"/>
          <w:sz w:val="18"/>
          <w:szCs w:val="20"/>
        </w:rPr>
        <w:t>产能</w:t>
      </w:r>
      <w:r w:rsidRPr="0015501D">
        <w:rPr>
          <w:rFonts w:hint="eastAsia"/>
          <w:b/>
          <w:color w:val="005096"/>
          <w:sz w:val="18"/>
          <w:szCs w:val="20"/>
        </w:rPr>
        <w:t>/</w:t>
      </w:r>
      <w:r w:rsidRPr="0015501D">
        <w:rPr>
          <w:rFonts w:hint="eastAsia"/>
          <w:b/>
          <w:color w:val="005096"/>
          <w:sz w:val="18"/>
          <w:szCs w:val="20"/>
        </w:rPr>
        <w:t>市值</w:t>
      </w:r>
      <w:r w:rsidRPr="0015501D">
        <w:rPr>
          <w:b/>
          <w:color w:val="005096"/>
          <w:sz w:val="18"/>
          <w:szCs w:val="20"/>
        </w:rPr>
        <w:t>弹性</w:t>
      </w:r>
      <w:bookmarkEnd w:id="39"/>
    </w:p>
    <w:tbl>
      <w:tblPr>
        <w:tblW w:w="7945" w:type="dxa"/>
        <w:tblInd w:w="108" w:type="dxa"/>
        <w:tblBorders>
          <w:top w:val="single" w:sz="4" w:space="0" w:color="005096"/>
          <w:bottom w:val="single" w:sz="4" w:space="0" w:color="005096"/>
        </w:tblBorders>
        <w:tblLook w:val="04A0"/>
      </w:tblPr>
      <w:tblGrid>
        <w:gridCol w:w="1188"/>
        <w:gridCol w:w="939"/>
        <w:gridCol w:w="1559"/>
        <w:gridCol w:w="999"/>
        <w:gridCol w:w="1411"/>
        <w:gridCol w:w="1849"/>
      </w:tblGrid>
      <w:tr w:rsidR="0015501D" w:rsidRPr="0015501D" w:rsidTr="003A3DAA">
        <w:trPr>
          <w:trHeight w:val="270"/>
        </w:trPr>
        <w:tc>
          <w:tcPr>
            <w:tcW w:w="1188"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代码</w:t>
            </w:r>
          </w:p>
        </w:tc>
        <w:tc>
          <w:tcPr>
            <w:tcW w:w="93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股票</w:t>
            </w:r>
          </w:p>
        </w:tc>
        <w:tc>
          <w:tcPr>
            <w:tcW w:w="155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股价</w:t>
            </w:r>
            <w:r w:rsidRPr="0015501D">
              <w:rPr>
                <w:rFonts w:ascii="Arial" w:hAnsi="Arial" w:hint="eastAsia"/>
                <w:b/>
                <w:sz w:val="16"/>
                <w:szCs w:val="16"/>
              </w:rPr>
              <w:t>(</w:t>
            </w:r>
            <w:r w:rsidRPr="0015501D">
              <w:rPr>
                <w:rFonts w:ascii="Arial" w:hAnsi="Arial"/>
                <w:b/>
                <w:sz w:val="16"/>
                <w:szCs w:val="16"/>
              </w:rPr>
              <w:t>2016-01-15</w:t>
            </w:r>
            <w:r w:rsidRPr="0015501D">
              <w:rPr>
                <w:rFonts w:ascii="Arial" w:hAnsi="Arial" w:hint="eastAsia"/>
                <w:b/>
                <w:sz w:val="16"/>
                <w:szCs w:val="16"/>
              </w:rPr>
              <w:t>)</w:t>
            </w:r>
          </w:p>
        </w:tc>
        <w:tc>
          <w:tcPr>
            <w:tcW w:w="99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市值</w:t>
            </w:r>
            <w:r w:rsidRPr="0015501D">
              <w:rPr>
                <w:rFonts w:ascii="Arial" w:hAnsi="Arial" w:hint="eastAsia"/>
                <w:b/>
                <w:sz w:val="16"/>
                <w:szCs w:val="16"/>
              </w:rPr>
              <w:t>(</w:t>
            </w:r>
            <w:r w:rsidRPr="0015501D">
              <w:rPr>
                <w:rFonts w:ascii="Arial" w:hAnsi="Arial" w:hint="eastAsia"/>
                <w:b/>
                <w:sz w:val="16"/>
                <w:szCs w:val="16"/>
              </w:rPr>
              <w:t>亿</w:t>
            </w:r>
            <w:r w:rsidRPr="0015501D">
              <w:rPr>
                <w:rFonts w:ascii="Arial" w:hAnsi="Arial" w:hint="eastAsia"/>
                <w:b/>
                <w:sz w:val="16"/>
                <w:szCs w:val="16"/>
              </w:rPr>
              <w:t>)</w:t>
            </w:r>
          </w:p>
        </w:tc>
        <w:tc>
          <w:tcPr>
            <w:tcW w:w="1411"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PVC</w:t>
            </w:r>
            <w:r w:rsidRPr="0015501D">
              <w:rPr>
                <w:rFonts w:ascii="Arial" w:hAnsi="Arial" w:hint="eastAsia"/>
                <w:b/>
                <w:sz w:val="16"/>
                <w:szCs w:val="16"/>
              </w:rPr>
              <w:t>产能</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p>
        </w:tc>
        <w:tc>
          <w:tcPr>
            <w:tcW w:w="1849" w:type="dxa"/>
            <w:tcBorders>
              <w:top w:val="single" w:sz="4" w:space="0" w:color="005096"/>
              <w:bottom w:val="single" w:sz="4" w:space="0" w:color="005096"/>
            </w:tcBorders>
            <w:shd w:val="clear" w:color="auto" w:fill="auto"/>
            <w:noWrap/>
            <w:vAlign w:val="center"/>
            <w:hideMark/>
          </w:tcPr>
          <w:p w:rsidR="0015501D" w:rsidRPr="0015501D" w:rsidRDefault="0015501D" w:rsidP="0015501D">
            <w:pPr>
              <w:jc w:val="center"/>
              <w:rPr>
                <w:rFonts w:ascii="Arial" w:hAnsi="Arial"/>
                <w:b/>
                <w:sz w:val="16"/>
                <w:szCs w:val="16"/>
              </w:rPr>
            </w:pPr>
            <w:r w:rsidRPr="0015501D">
              <w:rPr>
                <w:rFonts w:ascii="Arial" w:hAnsi="Arial" w:hint="eastAsia"/>
                <w:b/>
                <w:sz w:val="16"/>
                <w:szCs w:val="16"/>
              </w:rPr>
              <w:t>弹性</w:t>
            </w:r>
            <w:r w:rsidRPr="0015501D">
              <w:rPr>
                <w:rFonts w:ascii="Arial" w:hAnsi="Arial" w:hint="eastAsia"/>
                <w:b/>
                <w:sz w:val="16"/>
                <w:szCs w:val="16"/>
              </w:rPr>
              <w:t>(</w:t>
            </w:r>
            <w:r w:rsidRPr="0015501D">
              <w:rPr>
                <w:rFonts w:ascii="Arial" w:hAnsi="Arial" w:hint="eastAsia"/>
                <w:b/>
                <w:sz w:val="16"/>
                <w:szCs w:val="16"/>
              </w:rPr>
              <w:t>万吨</w:t>
            </w:r>
            <w:r w:rsidRPr="0015501D">
              <w:rPr>
                <w:rFonts w:ascii="Arial" w:hAnsi="Arial" w:hint="eastAsia"/>
                <w:b/>
                <w:sz w:val="16"/>
                <w:szCs w:val="16"/>
              </w:rPr>
              <w:t>/</w:t>
            </w:r>
            <w:r w:rsidRPr="0015501D">
              <w:rPr>
                <w:rFonts w:ascii="Arial" w:hAnsi="Arial" w:hint="eastAsia"/>
                <w:b/>
                <w:sz w:val="16"/>
                <w:szCs w:val="16"/>
              </w:rPr>
              <w:t>亿</w:t>
            </w:r>
            <w:r w:rsidRPr="0015501D">
              <w:rPr>
                <w:rFonts w:ascii="Arial" w:hAnsi="Arial"/>
                <w:b/>
                <w:sz w:val="16"/>
                <w:szCs w:val="16"/>
              </w:rPr>
              <w:t>市值</w:t>
            </w:r>
            <w:r w:rsidRPr="0015501D">
              <w:rPr>
                <w:rFonts w:ascii="Arial" w:hAnsi="Arial" w:hint="eastAsia"/>
                <w:b/>
                <w:sz w:val="16"/>
                <w:szCs w:val="16"/>
              </w:rPr>
              <w:t>)</w:t>
            </w:r>
          </w:p>
        </w:tc>
      </w:tr>
      <w:tr w:rsidR="0015501D" w:rsidRPr="0015501D" w:rsidTr="003A3DAA">
        <w:trPr>
          <w:trHeight w:val="270"/>
        </w:trPr>
        <w:tc>
          <w:tcPr>
            <w:tcW w:w="1188" w:type="dxa"/>
            <w:tcBorders>
              <w:top w:val="single" w:sz="4" w:space="0" w:color="005096"/>
            </w:tcBorders>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lastRenderedPageBreak/>
              <w:t>002092</w:t>
            </w:r>
          </w:p>
        </w:tc>
        <w:tc>
          <w:tcPr>
            <w:tcW w:w="939" w:type="dxa"/>
            <w:tcBorders>
              <w:top w:val="single" w:sz="4" w:space="0" w:color="005096"/>
            </w:tcBorders>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中泰化学</w:t>
            </w:r>
          </w:p>
        </w:tc>
        <w:tc>
          <w:tcPr>
            <w:tcW w:w="155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6.65</w:t>
            </w:r>
          </w:p>
        </w:tc>
        <w:tc>
          <w:tcPr>
            <w:tcW w:w="99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92.5 </w:t>
            </w:r>
          </w:p>
        </w:tc>
        <w:tc>
          <w:tcPr>
            <w:tcW w:w="1411"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150</w:t>
            </w:r>
          </w:p>
        </w:tc>
        <w:tc>
          <w:tcPr>
            <w:tcW w:w="1849" w:type="dxa"/>
            <w:tcBorders>
              <w:top w:val="single" w:sz="4" w:space="0" w:color="005096"/>
            </w:tcBorders>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1.62 </w:t>
            </w:r>
          </w:p>
        </w:tc>
      </w:tr>
      <w:tr w:rsidR="0015501D" w:rsidRPr="0015501D" w:rsidTr="003A3DAA">
        <w:trPr>
          <w:trHeight w:val="270"/>
        </w:trPr>
        <w:tc>
          <w:tcPr>
            <w:tcW w:w="1188"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000635</w:t>
            </w:r>
          </w:p>
        </w:tc>
        <w:tc>
          <w:tcPr>
            <w:tcW w:w="939"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英力特</w:t>
            </w:r>
          </w:p>
        </w:tc>
        <w:tc>
          <w:tcPr>
            <w:tcW w:w="155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10.28</w:t>
            </w:r>
          </w:p>
        </w:tc>
        <w:tc>
          <w:tcPr>
            <w:tcW w:w="99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31.2 </w:t>
            </w:r>
          </w:p>
        </w:tc>
        <w:tc>
          <w:tcPr>
            <w:tcW w:w="1411"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26</w:t>
            </w:r>
          </w:p>
        </w:tc>
        <w:tc>
          <w:tcPr>
            <w:tcW w:w="184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0.83 </w:t>
            </w:r>
          </w:p>
        </w:tc>
      </w:tr>
      <w:tr w:rsidR="0015501D" w:rsidRPr="0015501D" w:rsidTr="003A3DAA">
        <w:trPr>
          <w:trHeight w:val="270"/>
        </w:trPr>
        <w:tc>
          <w:tcPr>
            <w:tcW w:w="1188"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002002</w:t>
            </w:r>
          </w:p>
        </w:tc>
        <w:tc>
          <w:tcPr>
            <w:tcW w:w="939"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鸿达兴业</w:t>
            </w:r>
          </w:p>
        </w:tc>
        <w:tc>
          <w:tcPr>
            <w:tcW w:w="155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16.68</w:t>
            </w:r>
          </w:p>
        </w:tc>
        <w:tc>
          <w:tcPr>
            <w:tcW w:w="99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162.1 </w:t>
            </w:r>
          </w:p>
        </w:tc>
        <w:tc>
          <w:tcPr>
            <w:tcW w:w="1411"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30</w:t>
            </w:r>
          </w:p>
        </w:tc>
        <w:tc>
          <w:tcPr>
            <w:tcW w:w="184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0.19 </w:t>
            </w:r>
          </w:p>
        </w:tc>
      </w:tr>
      <w:tr w:rsidR="0015501D" w:rsidRPr="0015501D" w:rsidTr="003A3DAA">
        <w:trPr>
          <w:trHeight w:val="270"/>
        </w:trPr>
        <w:tc>
          <w:tcPr>
            <w:tcW w:w="1188"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601216</w:t>
            </w:r>
          </w:p>
        </w:tc>
        <w:tc>
          <w:tcPr>
            <w:tcW w:w="939" w:type="dxa"/>
            <w:shd w:val="clear" w:color="auto" w:fill="auto"/>
            <w:noWrap/>
          </w:tcPr>
          <w:p w:rsidR="0015501D" w:rsidRPr="0015501D" w:rsidRDefault="0015501D" w:rsidP="0015501D">
            <w:pPr>
              <w:jc w:val="center"/>
              <w:textAlignment w:val="center"/>
              <w:rPr>
                <w:rFonts w:eastAsia="宋体"/>
                <w:color w:val="005096"/>
                <w:sz w:val="18"/>
                <w:szCs w:val="16"/>
              </w:rPr>
            </w:pPr>
            <w:r w:rsidRPr="0015501D">
              <w:rPr>
                <w:rFonts w:eastAsia="宋体" w:hint="eastAsia"/>
                <w:color w:val="005096"/>
                <w:sz w:val="18"/>
                <w:szCs w:val="16"/>
              </w:rPr>
              <w:t>君正集团</w:t>
            </w:r>
          </w:p>
        </w:tc>
        <w:tc>
          <w:tcPr>
            <w:tcW w:w="155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8.19</w:t>
            </w:r>
          </w:p>
        </w:tc>
        <w:tc>
          <w:tcPr>
            <w:tcW w:w="99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345.5 </w:t>
            </w:r>
          </w:p>
        </w:tc>
        <w:tc>
          <w:tcPr>
            <w:tcW w:w="1411"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30</w:t>
            </w:r>
          </w:p>
        </w:tc>
        <w:tc>
          <w:tcPr>
            <w:tcW w:w="1849" w:type="dxa"/>
            <w:shd w:val="clear" w:color="auto" w:fill="auto"/>
            <w:noWrap/>
          </w:tcPr>
          <w:p w:rsidR="0015501D" w:rsidRPr="0015501D" w:rsidRDefault="0015501D" w:rsidP="0015501D">
            <w:pPr>
              <w:jc w:val="center"/>
              <w:textAlignment w:val="center"/>
              <w:rPr>
                <w:rFonts w:eastAsia="宋体"/>
                <w:sz w:val="18"/>
                <w:szCs w:val="16"/>
              </w:rPr>
            </w:pPr>
            <w:r w:rsidRPr="0015501D">
              <w:rPr>
                <w:rFonts w:eastAsia="宋体" w:hint="eastAsia"/>
                <w:sz w:val="18"/>
                <w:szCs w:val="16"/>
              </w:rPr>
              <w:t xml:space="preserve">0.09 </w:t>
            </w:r>
          </w:p>
        </w:tc>
      </w:tr>
    </w:tbl>
    <w:p w:rsidR="0015501D" w:rsidRPr="0015501D" w:rsidRDefault="0015501D" w:rsidP="005143F4">
      <w:pPr>
        <w:spacing w:afterLines="50" w:line="360" w:lineRule="exact"/>
        <w:rPr>
          <w:sz w:val="16"/>
          <w:szCs w:val="16"/>
        </w:rPr>
      </w:pPr>
      <w:r w:rsidRPr="0015501D">
        <w:rPr>
          <w:rFonts w:hint="eastAsia"/>
          <w:sz w:val="16"/>
          <w:szCs w:val="16"/>
        </w:rPr>
        <w:t>资料来源</w:t>
      </w:r>
      <w:r w:rsidRPr="0015501D">
        <w:rPr>
          <w:sz w:val="16"/>
          <w:szCs w:val="16"/>
        </w:rPr>
        <w:t>：</w:t>
      </w:r>
      <w:r w:rsidRPr="0015501D">
        <w:rPr>
          <w:rFonts w:hint="eastAsia"/>
          <w:sz w:val="16"/>
          <w:szCs w:val="16"/>
        </w:rPr>
        <w:t>Wind</w:t>
      </w:r>
      <w:r w:rsidRPr="0015501D">
        <w:rPr>
          <w:rFonts w:hint="eastAsia"/>
          <w:sz w:val="16"/>
          <w:szCs w:val="16"/>
        </w:rPr>
        <w:t>资讯</w:t>
      </w:r>
      <w:r w:rsidRPr="0015501D">
        <w:rPr>
          <w:sz w:val="16"/>
          <w:szCs w:val="16"/>
        </w:rPr>
        <w:t>、民生证券研究院整理</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15501D" w:rsidP="0015501D">
      <w:pPr>
        <w:numPr>
          <w:ilvl w:val="0"/>
          <w:numId w:val="11"/>
        </w:numPr>
        <w:spacing w:line="360" w:lineRule="auto"/>
        <w:ind w:rightChars="1000" w:right="2100"/>
        <w:rPr>
          <w:rFonts w:ascii="楷体" w:eastAsia="楷体" w:hAnsi="楷体"/>
          <w:b/>
          <w:szCs w:val="21"/>
        </w:rPr>
      </w:pPr>
      <w:r w:rsidRPr="0015501D">
        <w:rPr>
          <w:rFonts w:ascii="楷体" w:eastAsia="楷体" w:hAnsi="楷体" w:hint="eastAsia"/>
          <w:b/>
          <w:szCs w:val="21"/>
        </w:rPr>
        <w:t>橡胶正在酝酿新一轮大周期</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15501D" w:rsidP="0015501D">
      <w:pPr>
        <w:numPr>
          <w:ilvl w:val="0"/>
          <w:numId w:val="34"/>
        </w:numPr>
        <w:spacing w:line="360" w:lineRule="auto"/>
        <w:ind w:rightChars="1000" w:right="2100"/>
        <w:rPr>
          <w:rFonts w:ascii="楷体" w:eastAsia="楷体" w:hAnsi="楷体"/>
          <w:b/>
          <w:szCs w:val="21"/>
        </w:rPr>
      </w:pPr>
      <w:r w:rsidRPr="0015501D">
        <w:rPr>
          <w:rFonts w:ascii="楷体" w:eastAsia="楷体" w:hAnsi="楷体" w:hint="eastAsia"/>
          <w:b/>
          <w:szCs w:val="21"/>
        </w:rPr>
        <w:t>橡胶供应增速高峰在2015年，未来供应增长放缓</w:t>
      </w:r>
    </w:p>
    <w:p w:rsidR="0015501D" w:rsidRPr="0015501D" w:rsidRDefault="0015501D" w:rsidP="0015501D">
      <w:pPr>
        <w:spacing w:line="360" w:lineRule="auto"/>
        <w:ind w:rightChars="1000" w:right="2100" w:firstLine="420"/>
        <w:rPr>
          <w:rFonts w:ascii="楷体" w:eastAsia="楷体" w:hAnsi="楷体"/>
          <w:szCs w:val="21"/>
        </w:rPr>
      </w:pPr>
      <w:r w:rsidRPr="0015501D">
        <w:rPr>
          <w:rFonts w:ascii="楷体" w:eastAsia="楷体" w:hAnsi="楷体" w:hint="eastAsia"/>
          <w:szCs w:val="21"/>
        </w:rPr>
        <w:t>按照平均7年的成长期来算，2012-2015年是天然橡胶供应的高峰，特别是2015年，我们确实也观察到过去3年天然橡胶价格的走势远远弱于大多数大宗商品。</w:t>
      </w:r>
    </w:p>
    <w:p w:rsidR="0015501D" w:rsidRPr="0015501D" w:rsidRDefault="0015501D" w:rsidP="0015501D">
      <w:pPr>
        <w:spacing w:line="360" w:lineRule="auto"/>
        <w:ind w:rightChars="1000" w:right="2100" w:firstLine="420"/>
        <w:rPr>
          <w:rFonts w:ascii="楷体" w:eastAsia="楷体" w:hAnsi="楷体"/>
          <w:b/>
          <w:szCs w:val="21"/>
        </w:rPr>
      </w:pPr>
      <w:r w:rsidRPr="0015501D">
        <w:rPr>
          <w:rFonts w:ascii="楷体" w:eastAsia="楷体" w:hAnsi="楷体" w:hint="eastAsia"/>
          <w:szCs w:val="21"/>
        </w:rPr>
        <w:t>虽然总体来说，在全球需求低迷的大背景下，天然橡胶供应依然过剩，但</w:t>
      </w:r>
      <w:r w:rsidRPr="0015501D">
        <w:rPr>
          <w:rFonts w:ascii="楷体" w:eastAsia="楷体" w:hAnsi="楷体" w:hint="eastAsia"/>
          <w:b/>
          <w:szCs w:val="21"/>
        </w:rPr>
        <w:t>2015年的供应高峰过后，我们可以预见下一轮新的大向上周期将在未来1-2年内酝酿。</w:t>
      </w:r>
    </w:p>
    <w:p w:rsidR="0015501D" w:rsidRPr="0015501D" w:rsidRDefault="0015501D" w:rsidP="0015501D">
      <w:pPr>
        <w:spacing w:line="360" w:lineRule="auto"/>
        <w:ind w:rightChars="1000" w:right="2100"/>
        <w:rPr>
          <w:rFonts w:ascii="楷体" w:eastAsia="楷体" w:hAnsi="楷体"/>
          <w:szCs w:val="21"/>
        </w:rPr>
      </w:pPr>
    </w:p>
    <w:p w:rsidR="0015501D" w:rsidRPr="0015501D" w:rsidRDefault="00494722" w:rsidP="0015501D">
      <w:pPr>
        <w:numPr>
          <w:ilvl w:val="0"/>
          <w:numId w:val="34"/>
        </w:numPr>
        <w:spacing w:line="360" w:lineRule="auto"/>
        <w:ind w:rightChars="1000" w:right="2100"/>
        <w:rPr>
          <w:rFonts w:ascii="楷体" w:eastAsia="楷体" w:hAnsi="楷体"/>
          <w:b/>
          <w:szCs w:val="21"/>
        </w:rPr>
      </w:pPr>
      <w:r>
        <w:rPr>
          <w:rFonts w:ascii="楷体" w:eastAsia="楷体" w:hAnsi="楷体" w:hint="eastAsia"/>
          <w:b/>
          <w:szCs w:val="21"/>
        </w:rPr>
        <w:t>受益公司</w:t>
      </w:r>
    </w:p>
    <w:p w:rsidR="0015501D" w:rsidRPr="0015501D" w:rsidRDefault="0015501D" w:rsidP="0015501D">
      <w:pPr>
        <w:spacing w:line="360" w:lineRule="auto"/>
        <w:ind w:rightChars="1000" w:right="2100" w:firstLine="420"/>
        <w:rPr>
          <w:rFonts w:ascii="楷体" w:eastAsia="楷体" w:hAnsi="楷体"/>
          <w:b/>
          <w:szCs w:val="21"/>
        </w:rPr>
      </w:pPr>
      <w:r w:rsidRPr="0015501D">
        <w:rPr>
          <w:rFonts w:ascii="楷体" w:eastAsia="楷体" w:hAnsi="楷体" w:hint="eastAsia"/>
          <w:b/>
          <w:szCs w:val="21"/>
        </w:rPr>
        <w:t>综合以上逻辑和数据，我们对天然橡胶价格走势的总体判断是：目前价格已经超跌，严重低于成本最低的泰国成本，随着联储加息落地和中间商补库存的需求短期（3-6个月）会有反弹；中期（6-18个月）依然处于底部盘整；长期（18个月以上）酝酿新一轮大的长达7年的向上周期。股票推荐顺序：齐翔腾达、海南橡胶。</w:t>
      </w:r>
    </w:p>
    <w:p w:rsidR="00EB75AE" w:rsidRDefault="00EB75AE" w:rsidP="00F05A89">
      <w:pPr>
        <w:spacing w:line="360" w:lineRule="auto"/>
        <w:ind w:rightChars="1000" w:right="2100"/>
        <w:rPr>
          <w:rFonts w:ascii="楷体" w:eastAsia="楷体" w:hAnsi="楷体"/>
          <w:szCs w:val="21"/>
        </w:rPr>
      </w:pPr>
    </w:p>
    <w:p w:rsidR="00F52B5F" w:rsidRPr="00F52B5F" w:rsidRDefault="00F52B5F" w:rsidP="00F05A89">
      <w:pPr>
        <w:spacing w:line="360" w:lineRule="auto"/>
        <w:ind w:rightChars="1000" w:right="2100"/>
        <w:rPr>
          <w:rFonts w:ascii="楷体" w:eastAsia="楷体" w:hAnsi="楷体"/>
          <w:b/>
          <w:sz w:val="22"/>
          <w:szCs w:val="21"/>
        </w:rPr>
      </w:pPr>
      <w:r w:rsidRPr="00F52B5F">
        <w:rPr>
          <w:rFonts w:ascii="楷体" w:eastAsia="楷体" w:hAnsi="楷体"/>
          <w:b/>
          <w:sz w:val="22"/>
          <w:szCs w:val="21"/>
        </w:rPr>
        <w:t>各行业小结</w:t>
      </w:r>
      <w:r w:rsidRPr="00F52B5F">
        <w:rPr>
          <w:rFonts w:ascii="楷体" w:eastAsia="楷体" w:hAnsi="楷体" w:hint="eastAsia"/>
          <w:b/>
          <w:sz w:val="22"/>
          <w:szCs w:val="21"/>
        </w:rPr>
        <w:t>：</w:t>
      </w:r>
    </w:p>
    <w:p w:rsidR="00307DD7" w:rsidRPr="00307DD7" w:rsidRDefault="00307DD7" w:rsidP="00307DD7">
      <w:pPr>
        <w:spacing w:line="360" w:lineRule="exact"/>
        <w:rPr>
          <w:b/>
          <w:color w:val="005096"/>
          <w:sz w:val="18"/>
          <w:szCs w:val="20"/>
        </w:rPr>
      </w:pPr>
      <w:r w:rsidRPr="00307DD7">
        <w:rPr>
          <w:rFonts w:hint="eastAsia"/>
          <w:b/>
          <w:color w:val="005096"/>
          <w:sz w:val="18"/>
          <w:szCs w:val="20"/>
        </w:rPr>
        <w:t>表</w:t>
      </w:r>
      <w:r w:rsidR="007A307A">
        <w:rPr>
          <w:b/>
          <w:color w:val="005096"/>
          <w:sz w:val="18"/>
          <w:szCs w:val="20"/>
        </w:rPr>
        <w:t>19</w:t>
      </w:r>
      <w:r w:rsidRPr="00307DD7">
        <w:rPr>
          <w:rFonts w:hint="eastAsia"/>
          <w:b/>
          <w:color w:val="005096"/>
          <w:sz w:val="18"/>
          <w:szCs w:val="20"/>
        </w:rPr>
        <w:t>：</w:t>
      </w:r>
      <w:r>
        <w:rPr>
          <w:rFonts w:hint="eastAsia"/>
          <w:b/>
          <w:color w:val="005096"/>
          <w:sz w:val="18"/>
          <w:szCs w:val="20"/>
        </w:rPr>
        <w:t>各行业</w:t>
      </w:r>
      <w:r w:rsidR="00C961A5">
        <w:rPr>
          <w:rFonts w:hint="eastAsia"/>
          <w:b/>
          <w:color w:val="005096"/>
          <w:sz w:val="18"/>
          <w:szCs w:val="20"/>
        </w:rPr>
        <w:t>去产能</w:t>
      </w:r>
      <w:r>
        <w:rPr>
          <w:rFonts w:hint="eastAsia"/>
          <w:b/>
          <w:color w:val="005096"/>
          <w:sz w:val="18"/>
          <w:szCs w:val="20"/>
        </w:rPr>
        <w:t>核心信息汇总</w:t>
      </w:r>
    </w:p>
    <w:tbl>
      <w:tblPr>
        <w:tblStyle w:val="-132"/>
        <w:tblW w:w="10421" w:type="dxa"/>
        <w:tblLook w:val="04A0"/>
      </w:tblPr>
      <w:tblGrid>
        <w:gridCol w:w="1101"/>
        <w:gridCol w:w="992"/>
        <w:gridCol w:w="992"/>
        <w:gridCol w:w="851"/>
        <w:gridCol w:w="850"/>
        <w:gridCol w:w="2268"/>
        <w:gridCol w:w="3367"/>
      </w:tblGrid>
      <w:tr w:rsidR="00C961A5" w:rsidRPr="00307DD7" w:rsidTr="00ED726E">
        <w:trPr>
          <w:cnfStyle w:val="100000000000"/>
          <w:trHeight w:val="274"/>
        </w:trPr>
        <w:tc>
          <w:tcPr>
            <w:cnfStyle w:val="001000000000"/>
            <w:tcW w:w="1101" w:type="dxa"/>
            <w:noWrap/>
            <w:hideMark/>
          </w:tcPr>
          <w:p w:rsidR="00C961A5" w:rsidRPr="00307DD7" w:rsidRDefault="00C961A5" w:rsidP="00307DD7">
            <w:pPr>
              <w:widowControl/>
              <w:spacing w:before="50" w:after="50" w:line="200" w:lineRule="atLeast"/>
              <w:jc w:val="left"/>
              <w:rPr>
                <w:rFonts w:ascii="华文楷体" w:eastAsia="华文楷体" w:hAnsi="华文楷体" w:cs="宋体"/>
                <w:color w:val="1F497D"/>
                <w:kern w:val="0"/>
                <w:sz w:val="16"/>
                <w:szCs w:val="16"/>
              </w:rPr>
            </w:pPr>
          </w:p>
        </w:tc>
        <w:tc>
          <w:tcPr>
            <w:tcW w:w="992" w:type="dxa"/>
            <w:noWrap/>
            <w:hideMark/>
          </w:tcPr>
          <w:p w:rsidR="00C961A5" w:rsidRPr="00307DD7" w:rsidRDefault="00C961A5" w:rsidP="00307DD7">
            <w:pPr>
              <w:widowControl/>
              <w:spacing w:before="50" w:after="50" w:line="200" w:lineRule="atLeast"/>
              <w:jc w:val="left"/>
              <w:cnfStyle w:val="1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全年产量</w:t>
            </w:r>
          </w:p>
        </w:tc>
        <w:tc>
          <w:tcPr>
            <w:tcW w:w="992" w:type="dxa"/>
            <w:noWrap/>
            <w:hideMark/>
          </w:tcPr>
          <w:p w:rsidR="00C961A5" w:rsidRPr="00307DD7" w:rsidRDefault="00C961A5" w:rsidP="00307DD7">
            <w:pPr>
              <w:widowControl/>
              <w:spacing w:before="50" w:after="50" w:line="200" w:lineRule="atLeast"/>
              <w:jc w:val="left"/>
              <w:cnfStyle w:val="1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全年累计产量同比</w:t>
            </w:r>
          </w:p>
        </w:tc>
        <w:tc>
          <w:tcPr>
            <w:tcW w:w="851" w:type="dxa"/>
          </w:tcPr>
          <w:p w:rsidR="00C961A5" w:rsidRPr="00307DD7" w:rsidRDefault="00C961A5" w:rsidP="00307DD7">
            <w:pPr>
              <w:widowControl/>
              <w:spacing w:before="50" w:after="50" w:line="200" w:lineRule="atLeast"/>
              <w:jc w:val="left"/>
              <w:cnfStyle w:val="1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产能利用率（%）</w:t>
            </w:r>
          </w:p>
        </w:tc>
        <w:tc>
          <w:tcPr>
            <w:tcW w:w="850" w:type="dxa"/>
          </w:tcPr>
          <w:p w:rsidR="00C961A5" w:rsidRPr="00307DD7" w:rsidRDefault="00C961A5" w:rsidP="00307DD7">
            <w:pPr>
              <w:widowControl/>
              <w:spacing w:before="50" w:after="50" w:line="200" w:lineRule="atLeast"/>
              <w:jc w:val="left"/>
              <w:cnfStyle w:val="1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全球产量占比</w:t>
            </w:r>
          </w:p>
        </w:tc>
        <w:tc>
          <w:tcPr>
            <w:tcW w:w="2268" w:type="dxa"/>
          </w:tcPr>
          <w:p w:rsidR="00C961A5" w:rsidRPr="00307DD7" w:rsidRDefault="00C961A5" w:rsidP="00307DD7">
            <w:pPr>
              <w:widowControl/>
              <w:spacing w:before="50" w:after="50" w:line="200" w:lineRule="atLeast"/>
              <w:jc w:val="left"/>
              <w:cnfStyle w:val="1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就业冲击</w:t>
            </w:r>
          </w:p>
        </w:tc>
        <w:tc>
          <w:tcPr>
            <w:tcW w:w="3367" w:type="dxa"/>
            <w:noWrap/>
            <w:hideMark/>
          </w:tcPr>
          <w:p w:rsidR="00C961A5" w:rsidRPr="00307DD7" w:rsidRDefault="00C961A5" w:rsidP="00307DD7">
            <w:pPr>
              <w:widowControl/>
              <w:spacing w:before="50" w:after="50" w:line="200" w:lineRule="atLeast"/>
              <w:jc w:val="left"/>
              <w:cnfStyle w:val="1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去产能进度</w:t>
            </w:r>
          </w:p>
        </w:tc>
      </w:tr>
      <w:tr w:rsidR="00C961A5" w:rsidRPr="00307DD7" w:rsidTr="00ED726E">
        <w:trPr>
          <w:cnfStyle w:val="000000100000"/>
          <w:trHeight w:val="274"/>
        </w:trPr>
        <w:tc>
          <w:tcPr>
            <w:cnfStyle w:val="001000000000"/>
            <w:tcW w:w="1101" w:type="dxa"/>
            <w:noWrap/>
          </w:tcPr>
          <w:p w:rsidR="00C961A5" w:rsidRPr="00307DD7" w:rsidRDefault="00C961A5" w:rsidP="00307DD7">
            <w:pPr>
              <w:widowControl/>
              <w:spacing w:before="50" w:after="50" w:line="200" w:lineRule="atLeast"/>
              <w:jc w:val="left"/>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t>电解铝</w:t>
            </w:r>
          </w:p>
        </w:tc>
        <w:tc>
          <w:tcPr>
            <w:tcW w:w="992" w:type="dxa"/>
            <w:noWrap/>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3141万吨</w:t>
            </w:r>
          </w:p>
        </w:tc>
        <w:tc>
          <w:tcPr>
            <w:tcW w:w="992" w:type="dxa"/>
            <w:noWrap/>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8.40%</w:t>
            </w:r>
          </w:p>
        </w:tc>
        <w:tc>
          <w:tcPr>
            <w:tcW w:w="851" w:type="dxa"/>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sidRPr="00C961A5">
              <w:rPr>
                <w:rFonts w:ascii="华文楷体" w:eastAsia="华文楷体" w:hAnsi="华文楷体" w:cs="宋体"/>
                <w:color w:val="1F497D"/>
                <w:kern w:val="0"/>
                <w:sz w:val="16"/>
                <w:szCs w:val="16"/>
              </w:rPr>
              <w:t>78.05%</w:t>
            </w:r>
          </w:p>
        </w:tc>
        <w:tc>
          <w:tcPr>
            <w:tcW w:w="850" w:type="dxa"/>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54.26</w:t>
            </w:r>
            <w:r w:rsidRPr="00307DD7">
              <w:rPr>
                <w:rFonts w:ascii="华文楷体" w:eastAsia="华文楷体" w:hAnsi="华文楷体" w:cs="宋体" w:hint="eastAsia"/>
                <w:color w:val="1F497D"/>
                <w:kern w:val="0"/>
                <w:sz w:val="16"/>
                <w:szCs w:val="16"/>
              </w:rPr>
              <w:t>%</w:t>
            </w:r>
          </w:p>
        </w:tc>
        <w:tc>
          <w:tcPr>
            <w:tcW w:w="2268" w:type="dxa"/>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sidRPr="00C961A5">
              <w:rPr>
                <w:rFonts w:ascii="华文楷体" w:eastAsia="华文楷体" w:hAnsi="华文楷体" w:cs="宋体" w:hint="eastAsia"/>
                <w:color w:val="1F497D"/>
                <w:kern w:val="0"/>
                <w:sz w:val="16"/>
                <w:szCs w:val="16"/>
              </w:rPr>
              <w:t>从目前产能看，预计需要淘汰的产能总共达1000万吨，待分流人员达17万。</w:t>
            </w:r>
          </w:p>
        </w:tc>
        <w:tc>
          <w:tcPr>
            <w:tcW w:w="3367" w:type="dxa"/>
            <w:noWrap/>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电解铝行业2015年减产规模达到500万吨，占全部产能12%以上，去产能开始。</w:t>
            </w:r>
          </w:p>
        </w:tc>
      </w:tr>
      <w:tr w:rsidR="00C961A5" w:rsidRPr="00307DD7" w:rsidTr="00ED726E">
        <w:trPr>
          <w:trHeight w:val="274"/>
        </w:trPr>
        <w:tc>
          <w:tcPr>
            <w:cnfStyle w:val="001000000000"/>
            <w:tcW w:w="1101" w:type="dxa"/>
            <w:noWrap/>
            <w:hideMark/>
          </w:tcPr>
          <w:p w:rsidR="00C961A5" w:rsidRPr="00307DD7" w:rsidRDefault="00C961A5" w:rsidP="00307DD7">
            <w:pPr>
              <w:widowControl/>
              <w:spacing w:before="50" w:after="50" w:line="200" w:lineRule="atLeast"/>
              <w:jc w:val="left"/>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钢铁</w:t>
            </w:r>
          </w:p>
        </w:tc>
        <w:tc>
          <w:tcPr>
            <w:tcW w:w="992" w:type="dxa"/>
            <w:noWrap/>
            <w:hideMark/>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8.06</w:t>
            </w:r>
            <w:r w:rsidRPr="00307DD7">
              <w:rPr>
                <w:rFonts w:ascii="华文楷体" w:eastAsia="华文楷体" w:hAnsi="华文楷体" w:cs="宋体" w:hint="eastAsia"/>
                <w:color w:val="1F497D"/>
                <w:kern w:val="0"/>
                <w:sz w:val="16"/>
                <w:szCs w:val="16"/>
              </w:rPr>
              <w:t>亿吨</w:t>
            </w:r>
          </w:p>
        </w:tc>
        <w:tc>
          <w:tcPr>
            <w:tcW w:w="992" w:type="dxa"/>
            <w:noWrap/>
            <w:hideMark/>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-2.30%</w:t>
            </w:r>
          </w:p>
        </w:tc>
        <w:tc>
          <w:tcPr>
            <w:tcW w:w="851" w:type="dxa"/>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t>67.17</w:t>
            </w:r>
            <w:r>
              <w:rPr>
                <w:rFonts w:ascii="华文楷体" w:eastAsia="华文楷体" w:hAnsi="华文楷体" w:cs="宋体" w:hint="eastAsia"/>
                <w:color w:val="1F497D"/>
                <w:kern w:val="0"/>
                <w:sz w:val="16"/>
                <w:szCs w:val="16"/>
              </w:rPr>
              <w:t>%</w:t>
            </w:r>
          </w:p>
        </w:tc>
        <w:tc>
          <w:tcPr>
            <w:tcW w:w="850" w:type="dxa"/>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50.37%</w:t>
            </w:r>
          </w:p>
        </w:tc>
        <w:tc>
          <w:tcPr>
            <w:tcW w:w="2268" w:type="dxa"/>
          </w:tcPr>
          <w:p w:rsidR="00C961A5" w:rsidRPr="00307DD7" w:rsidRDefault="00156501"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sidRPr="00156501">
              <w:rPr>
                <w:rFonts w:ascii="华文楷体" w:eastAsia="华文楷体" w:hAnsi="华文楷体" w:cs="宋体" w:hint="eastAsia"/>
                <w:color w:val="1F497D"/>
                <w:kern w:val="0"/>
                <w:sz w:val="16"/>
                <w:szCs w:val="16"/>
              </w:rPr>
              <w:t>目前我国钢铁平均人均年产粗钢约为300吨/人，如果压缩1亿吨产能，将有33.33万人面临失业；压缩1.5亿吨产能，将有50万人面临失业</w:t>
            </w:r>
          </w:p>
        </w:tc>
        <w:tc>
          <w:tcPr>
            <w:tcW w:w="3367" w:type="dxa"/>
            <w:noWrap/>
            <w:hideMark/>
          </w:tcPr>
          <w:p w:rsidR="00C961A5" w:rsidRPr="00307DD7" w:rsidRDefault="00156501"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sidRPr="00156501">
              <w:rPr>
                <w:rFonts w:ascii="华文楷体" w:eastAsia="华文楷体" w:hAnsi="华文楷体" w:cs="宋体" w:hint="eastAsia"/>
                <w:color w:val="1F497D"/>
                <w:kern w:val="0"/>
                <w:sz w:val="16"/>
                <w:szCs w:val="16"/>
              </w:rPr>
              <w:t>2010年至2014年间，全国累计淘汰粗钢产能9377.15万吨。</w:t>
            </w:r>
            <w:r>
              <w:rPr>
                <w:rFonts w:ascii="华文楷体" w:eastAsia="华文楷体" w:hAnsi="华文楷体" w:cs="宋体" w:hint="eastAsia"/>
                <w:color w:val="1F497D"/>
                <w:kern w:val="0"/>
                <w:sz w:val="16"/>
                <w:szCs w:val="16"/>
              </w:rPr>
              <w:t>2</w:t>
            </w:r>
            <w:r>
              <w:rPr>
                <w:rFonts w:ascii="华文楷体" w:eastAsia="华文楷体" w:hAnsi="华文楷体" w:cs="宋体"/>
                <w:color w:val="1F497D"/>
                <w:kern w:val="0"/>
                <w:sz w:val="16"/>
                <w:szCs w:val="16"/>
              </w:rPr>
              <w:t>015</w:t>
            </w:r>
            <w:r w:rsidR="00C961A5" w:rsidRPr="00307DD7">
              <w:rPr>
                <w:rFonts w:ascii="华文楷体" w:eastAsia="华文楷体" w:hAnsi="华文楷体" w:cs="宋体" w:hint="eastAsia"/>
                <w:color w:val="1F497D"/>
                <w:kern w:val="0"/>
                <w:sz w:val="16"/>
                <w:szCs w:val="16"/>
              </w:rPr>
              <w:t>年钢铁产量同比下降2.3%，去产能已经开始。</w:t>
            </w:r>
          </w:p>
        </w:tc>
      </w:tr>
      <w:tr w:rsidR="00476505" w:rsidRPr="00307DD7" w:rsidTr="00ED726E">
        <w:trPr>
          <w:cnfStyle w:val="000000100000"/>
          <w:trHeight w:val="274"/>
        </w:trPr>
        <w:tc>
          <w:tcPr>
            <w:cnfStyle w:val="001000000000"/>
            <w:tcW w:w="1101" w:type="dxa"/>
            <w:noWrap/>
          </w:tcPr>
          <w:p w:rsidR="00476505" w:rsidRPr="00307DD7" w:rsidRDefault="00476505" w:rsidP="00307DD7">
            <w:pPr>
              <w:widowControl/>
              <w:spacing w:before="50" w:after="50" w:line="200" w:lineRule="atLeast"/>
              <w:jc w:val="left"/>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煤炭</w:t>
            </w:r>
          </w:p>
        </w:tc>
        <w:tc>
          <w:tcPr>
            <w:tcW w:w="992" w:type="dxa"/>
            <w:noWrap/>
          </w:tcPr>
          <w:p w:rsidR="00476505" w:rsidRDefault="00E875B9"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36.8亿吨</w:t>
            </w:r>
          </w:p>
        </w:tc>
        <w:tc>
          <w:tcPr>
            <w:tcW w:w="992" w:type="dxa"/>
            <w:noWrap/>
          </w:tcPr>
          <w:p w:rsidR="00476505" w:rsidRPr="00307DD7" w:rsidRDefault="00E875B9"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w:t>
            </w:r>
            <w:r>
              <w:rPr>
                <w:rFonts w:ascii="华文楷体" w:eastAsia="华文楷体" w:hAnsi="华文楷体" w:cs="宋体"/>
                <w:color w:val="1F497D"/>
                <w:kern w:val="0"/>
                <w:sz w:val="16"/>
                <w:szCs w:val="16"/>
              </w:rPr>
              <w:t>3.5</w:t>
            </w:r>
            <w:r>
              <w:rPr>
                <w:rFonts w:ascii="华文楷体" w:eastAsia="华文楷体" w:hAnsi="华文楷体" w:cs="宋体" w:hint="eastAsia"/>
                <w:color w:val="1F497D"/>
                <w:kern w:val="0"/>
                <w:sz w:val="16"/>
                <w:szCs w:val="16"/>
              </w:rPr>
              <w:t>%</w:t>
            </w:r>
          </w:p>
        </w:tc>
        <w:tc>
          <w:tcPr>
            <w:tcW w:w="851" w:type="dxa"/>
          </w:tcPr>
          <w:p w:rsidR="00476505" w:rsidRDefault="00E875B9"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70%</w:t>
            </w:r>
          </w:p>
        </w:tc>
        <w:tc>
          <w:tcPr>
            <w:tcW w:w="850" w:type="dxa"/>
          </w:tcPr>
          <w:p w:rsidR="00476505" w:rsidRPr="00307DD7" w:rsidRDefault="00476505"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47%</w:t>
            </w:r>
          </w:p>
        </w:tc>
        <w:tc>
          <w:tcPr>
            <w:tcW w:w="2268" w:type="dxa"/>
          </w:tcPr>
          <w:p w:rsidR="00476505" w:rsidRPr="00156501" w:rsidRDefault="00476505"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sidRPr="00476505">
              <w:rPr>
                <w:rFonts w:ascii="华文楷体" w:eastAsia="华文楷体" w:hAnsi="华文楷体" w:cs="宋体" w:hint="eastAsia"/>
                <w:color w:val="1F497D"/>
                <w:kern w:val="0"/>
                <w:sz w:val="16"/>
                <w:szCs w:val="16"/>
              </w:rPr>
              <w:t>未来三年，中国将关闭4300家煤矿（总产能约为每年7亿吨），分流人员100万人，即分流整个行业就业人口的17%</w:t>
            </w:r>
          </w:p>
        </w:tc>
        <w:tc>
          <w:tcPr>
            <w:tcW w:w="3367" w:type="dxa"/>
            <w:noWrap/>
          </w:tcPr>
          <w:p w:rsidR="00476505" w:rsidRPr="00156501" w:rsidRDefault="00F72BCE" w:rsidP="00F72BCE">
            <w:pPr>
              <w:widowControl/>
              <w:spacing w:before="50" w:after="50" w:line="200" w:lineRule="atLeast"/>
              <w:jc w:val="left"/>
              <w:cnfStyle w:val="000000100000"/>
              <w:rPr>
                <w:rFonts w:ascii="华文楷体" w:eastAsia="华文楷体" w:hAnsi="华文楷体" w:cs="宋体"/>
                <w:color w:val="1F497D"/>
                <w:kern w:val="0"/>
                <w:sz w:val="16"/>
                <w:szCs w:val="16"/>
              </w:rPr>
            </w:pPr>
            <w:r w:rsidRPr="00F72BCE">
              <w:rPr>
                <w:rFonts w:ascii="华文楷体" w:eastAsia="华文楷体" w:hAnsi="华文楷体" w:cs="宋体" w:hint="eastAsia"/>
                <w:color w:val="1F497D"/>
                <w:kern w:val="0"/>
                <w:sz w:val="16"/>
                <w:szCs w:val="16"/>
              </w:rPr>
              <w:t>预计2015年供需差为4.2亿吨左右，供需</w:t>
            </w:r>
            <w:proofErr w:type="gramStart"/>
            <w:r w:rsidRPr="00F72BCE">
              <w:rPr>
                <w:rFonts w:ascii="华文楷体" w:eastAsia="华文楷体" w:hAnsi="华文楷体" w:cs="宋体" w:hint="eastAsia"/>
                <w:color w:val="1F497D"/>
                <w:kern w:val="0"/>
                <w:sz w:val="16"/>
                <w:szCs w:val="16"/>
              </w:rPr>
              <w:t>差未来</w:t>
            </w:r>
            <w:proofErr w:type="gramEnd"/>
            <w:r w:rsidRPr="00F72BCE">
              <w:rPr>
                <w:rFonts w:ascii="华文楷体" w:eastAsia="华文楷体" w:hAnsi="华文楷体" w:cs="宋体" w:hint="eastAsia"/>
                <w:color w:val="1F497D"/>
                <w:kern w:val="0"/>
                <w:sz w:val="16"/>
                <w:szCs w:val="16"/>
              </w:rPr>
              <w:t>三年（2016年-2018年）</w:t>
            </w:r>
            <w:r>
              <w:rPr>
                <w:rFonts w:ascii="华文楷体" w:eastAsia="华文楷体" w:hAnsi="华文楷体" w:cs="宋体" w:hint="eastAsia"/>
                <w:color w:val="1F497D"/>
                <w:kern w:val="0"/>
                <w:sz w:val="16"/>
                <w:szCs w:val="16"/>
              </w:rPr>
              <w:t>预计</w:t>
            </w:r>
            <w:r w:rsidRPr="00F72BCE">
              <w:rPr>
                <w:rFonts w:ascii="华文楷体" w:eastAsia="华文楷体" w:hAnsi="华文楷体" w:cs="宋体" w:hint="eastAsia"/>
                <w:color w:val="1F497D"/>
                <w:kern w:val="0"/>
                <w:sz w:val="16"/>
                <w:szCs w:val="16"/>
              </w:rPr>
              <w:t>将大幅收窄2.7亿吨至1.5亿吨，</w:t>
            </w:r>
            <w:r>
              <w:rPr>
                <w:rFonts w:ascii="华文楷体" w:eastAsia="华文楷体" w:hAnsi="华文楷体" w:cs="宋体" w:hint="eastAsia"/>
                <w:color w:val="1F497D"/>
                <w:kern w:val="0"/>
                <w:sz w:val="16"/>
                <w:szCs w:val="16"/>
              </w:rPr>
              <w:t>去产能进程持续推进</w:t>
            </w:r>
            <w:r w:rsidR="008A2584">
              <w:rPr>
                <w:rFonts w:ascii="华文楷体" w:eastAsia="华文楷体" w:hAnsi="华文楷体" w:cs="宋体" w:hint="eastAsia"/>
                <w:color w:val="1F497D"/>
                <w:kern w:val="0"/>
                <w:sz w:val="16"/>
                <w:szCs w:val="16"/>
              </w:rPr>
              <w:t>。</w:t>
            </w:r>
            <w:r w:rsidRPr="00156501">
              <w:rPr>
                <w:rFonts w:ascii="华文楷体" w:eastAsia="华文楷体" w:hAnsi="华文楷体" w:cs="宋体" w:hint="eastAsia"/>
                <w:color w:val="1F497D"/>
                <w:kern w:val="0"/>
                <w:sz w:val="16"/>
                <w:szCs w:val="16"/>
              </w:rPr>
              <w:t xml:space="preserve"> </w:t>
            </w:r>
          </w:p>
        </w:tc>
      </w:tr>
      <w:tr w:rsidR="003E461F" w:rsidRPr="00307DD7" w:rsidTr="00ED726E">
        <w:trPr>
          <w:trHeight w:val="274"/>
        </w:trPr>
        <w:tc>
          <w:tcPr>
            <w:cnfStyle w:val="001000000000"/>
            <w:tcW w:w="1101" w:type="dxa"/>
            <w:noWrap/>
          </w:tcPr>
          <w:p w:rsidR="00C961A5" w:rsidRPr="00307DD7" w:rsidRDefault="00C961A5" w:rsidP="00307DD7">
            <w:pPr>
              <w:widowControl/>
              <w:spacing w:before="50" w:after="50" w:line="200" w:lineRule="atLeast"/>
              <w:jc w:val="left"/>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水泥</w:t>
            </w:r>
          </w:p>
        </w:tc>
        <w:tc>
          <w:tcPr>
            <w:tcW w:w="992" w:type="dxa"/>
            <w:noWrap/>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23.48亿吨</w:t>
            </w:r>
          </w:p>
        </w:tc>
        <w:tc>
          <w:tcPr>
            <w:tcW w:w="992" w:type="dxa"/>
            <w:noWrap/>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-4.90%</w:t>
            </w:r>
          </w:p>
        </w:tc>
        <w:tc>
          <w:tcPr>
            <w:tcW w:w="851" w:type="dxa"/>
          </w:tcPr>
          <w:p w:rsidR="00C961A5" w:rsidRPr="00307DD7" w:rsidRDefault="00C961A5" w:rsidP="00030056">
            <w:pPr>
              <w:widowControl/>
              <w:spacing w:before="50" w:after="50" w:line="200" w:lineRule="atLeast"/>
              <w:jc w:val="left"/>
              <w:cnfStyle w:val="0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6</w:t>
            </w:r>
            <w:r w:rsidR="00030056">
              <w:rPr>
                <w:rFonts w:ascii="华文楷体" w:eastAsia="华文楷体" w:hAnsi="华文楷体" w:cs="宋体"/>
                <w:color w:val="1F497D"/>
                <w:kern w:val="0"/>
                <w:sz w:val="16"/>
                <w:szCs w:val="16"/>
              </w:rPr>
              <w:t>7</w:t>
            </w:r>
            <w:r w:rsidRPr="00307DD7">
              <w:rPr>
                <w:rFonts w:ascii="华文楷体" w:eastAsia="华文楷体" w:hAnsi="华文楷体" w:cs="宋体" w:hint="eastAsia"/>
                <w:color w:val="1F497D"/>
                <w:kern w:val="0"/>
                <w:sz w:val="16"/>
                <w:szCs w:val="16"/>
              </w:rPr>
              <w:t>%</w:t>
            </w:r>
          </w:p>
        </w:tc>
        <w:tc>
          <w:tcPr>
            <w:tcW w:w="850" w:type="dxa"/>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sidRPr="00307DD7">
              <w:rPr>
                <w:rFonts w:ascii="华文楷体" w:eastAsia="华文楷体" w:hAnsi="华文楷体" w:cs="宋体" w:hint="eastAsia"/>
                <w:color w:val="1F497D"/>
                <w:kern w:val="0"/>
                <w:sz w:val="16"/>
                <w:szCs w:val="16"/>
              </w:rPr>
              <w:t>59.25%</w:t>
            </w:r>
          </w:p>
        </w:tc>
        <w:tc>
          <w:tcPr>
            <w:tcW w:w="2268" w:type="dxa"/>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p>
        </w:tc>
        <w:tc>
          <w:tcPr>
            <w:tcW w:w="3367" w:type="dxa"/>
            <w:noWrap/>
          </w:tcPr>
          <w:p w:rsidR="00621AF0" w:rsidRPr="00307DD7" w:rsidRDefault="00621AF0" w:rsidP="00621AF0">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2015年水泥产量首现负增长，行业集中度缓慢提升，</w:t>
            </w:r>
            <w:r w:rsidRPr="00621AF0">
              <w:rPr>
                <w:rFonts w:ascii="华文楷体" w:eastAsia="华文楷体" w:hAnsi="华文楷体" w:cs="宋体" w:hint="eastAsia"/>
                <w:color w:val="1F497D"/>
                <w:kern w:val="0"/>
                <w:sz w:val="16"/>
                <w:szCs w:val="16"/>
              </w:rPr>
              <w:t>中国建材、中材集团、金</w:t>
            </w:r>
            <w:proofErr w:type="gramStart"/>
            <w:r w:rsidRPr="00621AF0">
              <w:rPr>
                <w:rFonts w:ascii="华文楷体" w:eastAsia="华文楷体" w:hAnsi="华文楷体" w:cs="宋体" w:hint="eastAsia"/>
                <w:color w:val="1F497D"/>
                <w:kern w:val="0"/>
                <w:sz w:val="16"/>
                <w:szCs w:val="16"/>
              </w:rPr>
              <w:t>隅股份</w:t>
            </w:r>
            <w:proofErr w:type="gramEnd"/>
            <w:r w:rsidRPr="00621AF0">
              <w:rPr>
                <w:rFonts w:ascii="华文楷体" w:eastAsia="华文楷体" w:hAnsi="华文楷体" w:cs="宋体" w:hint="eastAsia"/>
                <w:color w:val="1F497D"/>
                <w:kern w:val="0"/>
                <w:sz w:val="16"/>
                <w:szCs w:val="16"/>
              </w:rPr>
              <w:t>等</w:t>
            </w:r>
            <w:r>
              <w:rPr>
                <w:rFonts w:ascii="华文楷体" w:eastAsia="华文楷体" w:hAnsi="华文楷体" w:cs="宋体" w:hint="eastAsia"/>
                <w:color w:val="1F497D"/>
                <w:kern w:val="0"/>
                <w:sz w:val="16"/>
                <w:szCs w:val="16"/>
              </w:rPr>
              <w:t>实现战略重组，中央政策频出，去产能步伐加快。</w:t>
            </w:r>
          </w:p>
        </w:tc>
      </w:tr>
      <w:tr w:rsidR="00C961A5" w:rsidRPr="00307DD7" w:rsidTr="00ED726E">
        <w:trPr>
          <w:cnfStyle w:val="000000100000"/>
          <w:trHeight w:val="274"/>
        </w:trPr>
        <w:tc>
          <w:tcPr>
            <w:cnfStyle w:val="001000000000"/>
            <w:tcW w:w="1101" w:type="dxa"/>
            <w:noWrap/>
          </w:tcPr>
          <w:p w:rsidR="00C961A5" w:rsidRPr="00307DD7" w:rsidRDefault="003E461F" w:rsidP="00307DD7">
            <w:pPr>
              <w:widowControl/>
              <w:spacing w:before="50" w:after="50" w:line="200" w:lineRule="atLeast"/>
              <w:jc w:val="left"/>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t>化工</w:t>
            </w:r>
            <w:r>
              <w:rPr>
                <w:rFonts w:ascii="华文楷体" w:eastAsia="华文楷体" w:hAnsi="华文楷体" w:cs="宋体" w:hint="eastAsia"/>
                <w:color w:val="1F497D"/>
                <w:kern w:val="0"/>
                <w:sz w:val="16"/>
                <w:szCs w:val="16"/>
              </w:rPr>
              <w:t>-</w:t>
            </w:r>
            <w:r>
              <w:rPr>
                <w:rFonts w:ascii="华文楷体" w:eastAsia="华文楷体" w:hAnsi="华文楷体" w:cs="宋体"/>
                <w:color w:val="1F497D"/>
                <w:kern w:val="0"/>
                <w:sz w:val="16"/>
                <w:szCs w:val="16"/>
              </w:rPr>
              <w:t>钛白粉</w:t>
            </w:r>
          </w:p>
        </w:tc>
        <w:tc>
          <w:tcPr>
            <w:tcW w:w="992" w:type="dxa"/>
            <w:noWrap/>
          </w:tcPr>
          <w:p w:rsidR="00C961A5" w:rsidRPr="00307DD7" w:rsidRDefault="00660CC3"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t>235</w:t>
            </w:r>
            <w:r>
              <w:rPr>
                <w:rFonts w:ascii="华文楷体" w:eastAsia="华文楷体" w:hAnsi="华文楷体" w:cs="宋体" w:hint="eastAsia"/>
                <w:color w:val="1F497D"/>
                <w:kern w:val="0"/>
                <w:sz w:val="16"/>
                <w:szCs w:val="16"/>
              </w:rPr>
              <w:t>万吨</w:t>
            </w:r>
          </w:p>
        </w:tc>
        <w:tc>
          <w:tcPr>
            <w:tcW w:w="992" w:type="dxa"/>
            <w:noWrap/>
          </w:tcPr>
          <w:p w:rsidR="00C961A5" w:rsidRPr="00307DD7" w:rsidRDefault="00660CC3"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w:t>
            </w:r>
            <w:r>
              <w:rPr>
                <w:rFonts w:ascii="华文楷体" w:eastAsia="华文楷体" w:hAnsi="华文楷体" w:cs="宋体"/>
                <w:color w:val="1F497D"/>
                <w:kern w:val="0"/>
                <w:sz w:val="16"/>
                <w:szCs w:val="16"/>
              </w:rPr>
              <w:t>4.85</w:t>
            </w:r>
            <w:r>
              <w:rPr>
                <w:rFonts w:ascii="华文楷体" w:eastAsia="华文楷体" w:hAnsi="华文楷体" w:cs="宋体" w:hint="eastAsia"/>
                <w:color w:val="1F497D"/>
                <w:kern w:val="0"/>
                <w:sz w:val="16"/>
                <w:szCs w:val="16"/>
              </w:rPr>
              <w:t>%</w:t>
            </w:r>
          </w:p>
        </w:tc>
        <w:tc>
          <w:tcPr>
            <w:tcW w:w="851" w:type="dxa"/>
          </w:tcPr>
          <w:p w:rsidR="00C961A5" w:rsidRPr="00307DD7" w:rsidRDefault="00D63434"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t>79</w:t>
            </w:r>
            <w:r>
              <w:rPr>
                <w:rFonts w:ascii="华文楷体" w:eastAsia="华文楷体" w:hAnsi="华文楷体" w:cs="宋体" w:hint="eastAsia"/>
                <w:color w:val="1F497D"/>
                <w:kern w:val="0"/>
                <w:sz w:val="16"/>
                <w:szCs w:val="16"/>
              </w:rPr>
              <w:t>%</w:t>
            </w:r>
          </w:p>
        </w:tc>
        <w:tc>
          <w:tcPr>
            <w:tcW w:w="850" w:type="dxa"/>
          </w:tcPr>
          <w:p w:rsidR="00C961A5" w:rsidRPr="00307DD7" w:rsidRDefault="00660CC3"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&gt;40%</w:t>
            </w:r>
          </w:p>
        </w:tc>
        <w:tc>
          <w:tcPr>
            <w:tcW w:w="2268" w:type="dxa"/>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p>
        </w:tc>
        <w:tc>
          <w:tcPr>
            <w:tcW w:w="3367" w:type="dxa"/>
            <w:noWrap/>
          </w:tcPr>
          <w:p w:rsidR="00C961A5" w:rsidRPr="00307DD7" w:rsidRDefault="00D63434"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t>新增产能投放趋缓</w:t>
            </w:r>
            <w:r>
              <w:rPr>
                <w:rFonts w:ascii="华文楷体" w:eastAsia="华文楷体" w:hAnsi="华文楷体" w:cs="宋体" w:hint="eastAsia"/>
                <w:color w:val="1F497D"/>
                <w:kern w:val="0"/>
                <w:sz w:val="16"/>
                <w:szCs w:val="16"/>
              </w:rPr>
              <w:t>，</w:t>
            </w:r>
            <w:r w:rsidRPr="00D63434">
              <w:rPr>
                <w:rFonts w:ascii="华文楷体" w:eastAsia="华文楷体" w:hAnsi="华文楷体" w:cs="宋体" w:hint="eastAsia"/>
                <w:color w:val="1F497D"/>
                <w:kern w:val="0"/>
                <w:sz w:val="16"/>
                <w:szCs w:val="16"/>
              </w:rPr>
              <w:t>产能增速降到了10%以下</w:t>
            </w:r>
            <w:r>
              <w:rPr>
                <w:rFonts w:ascii="华文楷体" w:eastAsia="华文楷体" w:hAnsi="华文楷体" w:cs="宋体" w:hint="eastAsia"/>
                <w:color w:val="1F497D"/>
                <w:kern w:val="0"/>
                <w:sz w:val="16"/>
                <w:szCs w:val="16"/>
              </w:rPr>
              <w:t>；节能环保政策下中小企业退出，僵尸企业</w:t>
            </w:r>
            <w:r>
              <w:rPr>
                <w:rFonts w:ascii="华文楷体" w:eastAsia="华文楷体" w:hAnsi="华文楷体" w:cs="宋体" w:hint="eastAsia"/>
                <w:color w:val="1F497D"/>
                <w:kern w:val="0"/>
                <w:sz w:val="16"/>
                <w:szCs w:val="16"/>
              </w:rPr>
              <w:lastRenderedPageBreak/>
              <w:t>被淘汰，行业集中度提高，去产能初见成效。</w:t>
            </w:r>
          </w:p>
        </w:tc>
      </w:tr>
      <w:tr w:rsidR="003E461F" w:rsidRPr="00307DD7" w:rsidTr="00ED726E">
        <w:trPr>
          <w:trHeight w:val="274"/>
        </w:trPr>
        <w:tc>
          <w:tcPr>
            <w:cnfStyle w:val="001000000000"/>
            <w:tcW w:w="1101" w:type="dxa"/>
            <w:noWrap/>
          </w:tcPr>
          <w:p w:rsidR="00C961A5" w:rsidRPr="00307DD7" w:rsidRDefault="00D63434" w:rsidP="00307DD7">
            <w:pPr>
              <w:widowControl/>
              <w:spacing w:before="50" w:after="50" w:line="200" w:lineRule="atLeast"/>
              <w:jc w:val="left"/>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lastRenderedPageBreak/>
              <w:t>化工</w:t>
            </w:r>
            <w:r>
              <w:rPr>
                <w:rFonts w:ascii="华文楷体" w:eastAsia="华文楷体" w:hAnsi="华文楷体" w:cs="宋体" w:hint="eastAsia"/>
                <w:color w:val="1F497D"/>
                <w:kern w:val="0"/>
                <w:sz w:val="16"/>
                <w:szCs w:val="16"/>
              </w:rPr>
              <w:t>-</w:t>
            </w:r>
            <w:r>
              <w:rPr>
                <w:rFonts w:ascii="华文楷体" w:eastAsia="华文楷体" w:hAnsi="华文楷体" w:cs="宋体"/>
                <w:color w:val="1F497D"/>
                <w:kern w:val="0"/>
                <w:sz w:val="16"/>
                <w:szCs w:val="16"/>
              </w:rPr>
              <w:t>PTA</w:t>
            </w:r>
          </w:p>
        </w:tc>
        <w:tc>
          <w:tcPr>
            <w:tcW w:w="992" w:type="dxa"/>
            <w:noWrap/>
          </w:tcPr>
          <w:p w:rsidR="00C961A5" w:rsidRPr="00307DD7" w:rsidRDefault="00B3156F"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2022万吨</w:t>
            </w:r>
          </w:p>
        </w:tc>
        <w:tc>
          <w:tcPr>
            <w:tcW w:w="992" w:type="dxa"/>
            <w:noWrap/>
          </w:tcPr>
          <w:p w:rsidR="00C961A5" w:rsidRPr="00307DD7" w:rsidRDefault="00B3156F"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w:t>
            </w:r>
            <w:r>
              <w:rPr>
                <w:rFonts w:ascii="华文楷体" w:eastAsia="华文楷体" w:hAnsi="华文楷体" w:cs="宋体"/>
                <w:color w:val="1F497D"/>
                <w:kern w:val="0"/>
                <w:sz w:val="16"/>
                <w:szCs w:val="16"/>
              </w:rPr>
              <w:t>5.28</w:t>
            </w:r>
            <w:r>
              <w:rPr>
                <w:rFonts w:ascii="华文楷体" w:eastAsia="华文楷体" w:hAnsi="华文楷体" w:cs="宋体" w:hint="eastAsia"/>
                <w:color w:val="1F497D"/>
                <w:kern w:val="0"/>
                <w:sz w:val="16"/>
                <w:szCs w:val="16"/>
              </w:rPr>
              <w:t>%</w:t>
            </w:r>
          </w:p>
        </w:tc>
        <w:tc>
          <w:tcPr>
            <w:tcW w:w="851" w:type="dxa"/>
          </w:tcPr>
          <w:p w:rsidR="00C961A5" w:rsidRPr="00307DD7" w:rsidRDefault="00F847F5"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t>75%</w:t>
            </w:r>
          </w:p>
        </w:tc>
        <w:tc>
          <w:tcPr>
            <w:tcW w:w="850" w:type="dxa"/>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p>
        </w:tc>
        <w:tc>
          <w:tcPr>
            <w:tcW w:w="2268" w:type="dxa"/>
          </w:tcPr>
          <w:p w:rsidR="00C961A5" w:rsidRPr="00307DD7" w:rsidRDefault="00C961A5" w:rsidP="00307DD7">
            <w:pPr>
              <w:widowControl/>
              <w:spacing w:before="50" w:after="50" w:line="200" w:lineRule="atLeast"/>
              <w:jc w:val="left"/>
              <w:cnfStyle w:val="000000000000"/>
              <w:rPr>
                <w:rFonts w:ascii="华文楷体" w:eastAsia="华文楷体" w:hAnsi="华文楷体" w:cs="宋体"/>
                <w:color w:val="1F497D"/>
                <w:kern w:val="0"/>
                <w:sz w:val="16"/>
                <w:szCs w:val="16"/>
              </w:rPr>
            </w:pPr>
          </w:p>
        </w:tc>
        <w:tc>
          <w:tcPr>
            <w:tcW w:w="3367" w:type="dxa"/>
            <w:noWrap/>
          </w:tcPr>
          <w:p w:rsidR="00C961A5" w:rsidRPr="00307DD7" w:rsidRDefault="00F847F5" w:rsidP="00D07043">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产能扩张进入尾声，未来三年增速将放缓至6%，行业集中度高，问题产能加速退出，2016年PTA有望达到供需平衡</w:t>
            </w:r>
          </w:p>
        </w:tc>
      </w:tr>
      <w:tr w:rsidR="00C961A5" w:rsidRPr="00307DD7" w:rsidTr="00ED726E">
        <w:trPr>
          <w:cnfStyle w:val="000000100000"/>
          <w:trHeight w:val="274"/>
        </w:trPr>
        <w:tc>
          <w:tcPr>
            <w:cnfStyle w:val="001000000000"/>
            <w:tcW w:w="1101" w:type="dxa"/>
            <w:noWrap/>
          </w:tcPr>
          <w:p w:rsidR="00C961A5" w:rsidRPr="00307DD7" w:rsidRDefault="00D63434" w:rsidP="00307DD7">
            <w:pPr>
              <w:widowControl/>
              <w:spacing w:before="50" w:after="50" w:line="200" w:lineRule="atLeast"/>
              <w:jc w:val="left"/>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化工-纯碱</w:t>
            </w:r>
          </w:p>
        </w:tc>
        <w:tc>
          <w:tcPr>
            <w:tcW w:w="992" w:type="dxa"/>
            <w:noWrap/>
          </w:tcPr>
          <w:p w:rsidR="00C961A5" w:rsidRPr="00307DD7" w:rsidRDefault="00D63434"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2916万吨</w:t>
            </w:r>
          </w:p>
        </w:tc>
        <w:tc>
          <w:tcPr>
            <w:tcW w:w="992" w:type="dxa"/>
            <w:noWrap/>
          </w:tcPr>
          <w:p w:rsidR="00C961A5" w:rsidRPr="00307DD7" w:rsidRDefault="00D63434"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w:t>
            </w:r>
            <w:r>
              <w:rPr>
                <w:rFonts w:ascii="华文楷体" w:eastAsia="华文楷体" w:hAnsi="华文楷体" w:cs="宋体"/>
                <w:color w:val="1F497D"/>
                <w:kern w:val="0"/>
                <w:sz w:val="16"/>
                <w:szCs w:val="16"/>
              </w:rPr>
              <w:t>6.8</w:t>
            </w:r>
            <w:r>
              <w:rPr>
                <w:rFonts w:ascii="华文楷体" w:eastAsia="华文楷体" w:hAnsi="华文楷体" w:cs="宋体" w:hint="eastAsia"/>
                <w:color w:val="1F497D"/>
                <w:kern w:val="0"/>
                <w:sz w:val="16"/>
                <w:szCs w:val="16"/>
              </w:rPr>
              <w:t>%</w:t>
            </w:r>
          </w:p>
        </w:tc>
        <w:tc>
          <w:tcPr>
            <w:tcW w:w="851" w:type="dxa"/>
          </w:tcPr>
          <w:p w:rsidR="00C961A5" w:rsidRPr="00307DD7" w:rsidRDefault="00D63434"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&gt;80%</w:t>
            </w:r>
          </w:p>
        </w:tc>
        <w:tc>
          <w:tcPr>
            <w:tcW w:w="850" w:type="dxa"/>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p>
        </w:tc>
        <w:tc>
          <w:tcPr>
            <w:tcW w:w="2268" w:type="dxa"/>
          </w:tcPr>
          <w:p w:rsidR="00C961A5" w:rsidRPr="00307DD7" w:rsidRDefault="00C961A5" w:rsidP="00307DD7">
            <w:pPr>
              <w:widowControl/>
              <w:spacing w:before="50" w:after="50" w:line="200" w:lineRule="atLeast"/>
              <w:jc w:val="left"/>
              <w:cnfStyle w:val="000000100000"/>
              <w:rPr>
                <w:rFonts w:ascii="华文楷体" w:eastAsia="华文楷体" w:hAnsi="华文楷体" w:cs="宋体"/>
                <w:color w:val="1F497D"/>
                <w:kern w:val="0"/>
                <w:sz w:val="16"/>
                <w:szCs w:val="16"/>
              </w:rPr>
            </w:pPr>
          </w:p>
        </w:tc>
        <w:tc>
          <w:tcPr>
            <w:tcW w:w="3367" w:type="dxa"/>
            <w:noWrap/>
          </w:tcPr>
          <w:p w:rsidR="00C961A5" w:rsidRPr="00307DD7" w:rsidRDefault="00D63434"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产能2015年负增长，在环保和去产能压力下会持续</w:t>
            </w:r>
            <w:r w:rsidR="00D07043">
              <w:rPr>
                <w:rFonts w:ascii="华文楷体" w:eastAsia="华文楷体" w:hAnsi="华文楷体" w:cs="宋体" w:hint="eastAsia"/>
                <w:color w:val="1F497D"/>
                <w:kern w:val="0"/>
                <w:sz w:val="16"/>
                <w:szCs w:val="16"/>
              </w:rPr>
              <w:t>减少</w:t>
            </w:r>
            <w:r>
              <w:rPr>
                <w:rFonts w:ascii="华文楷体" w:eastAsia="华文楷体" w:hAnsi="华文楷体" w:cs="宋体" w:hint="eastAsia"/>
                <w:color w:val="1F497D"/>
                <w:kern w:val="0"/>
                <w:sz w:val="16"/>
                <w:szCs w:val="16"/>
              </w:rPr>
              <w:t>；下游需求已触底，出口保持强劲</w:t>
            </w:r>
            <w:r w:rsidR="00C61569">
              <w:rPr>
                <w:rFonts w:ascii="华文楷体" w:eastAsia="华文楷体" w:hAnsi="华文楷体" w:cs="宋体" w:hint="eastAsia"/>
                <w:color w:val="1F497D"/>
                <w:kern w:val="0"/>
                <w:sz w:val="16"/>
                <w:szCs w:val="16"/>
              </w:rPr>
              <w:t>，有望率先反弹。</w:t>
            </w:r>
          </w:p>
        </w:tc>
      </w:tr>
      <w:tr w:rsidR="00320E1D" w:rsidRPr="00307DD7" w:rsidTr="00ED726E">
        <w:trPr>
          <w:trHeight w:val="274"/>
        </w:trPr>
        <w:tc>
          <w:tcPr>
            <w:cnfStyle w:val="001000000000"/>
            <w:tcW w:w="1101" w:type="dxa"/>
            <w:noWrap/>
          </w:tcPr>
          <w:p w:rsidR="00320E1D" w:rsidRDefault="00320E1D" w:rsidP="00307DD7">
            <w:pPr>
              <w:widowControl/>
              <w:spacing w:before="50" w:after="50" w:line="200" w:lineRule="atLeast"/>
              <w:jc w:val="left"/>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化工-</w:t>
            </w:r>
            <w:r>
              <w:rPr>
                <w:rFonts w:ascii="华文楷体" w:eastAsia="华文楷体" w:hAnsi="华文楷体" w:cs="宋体"/>
                <w:color w:val="1F497D"/>
                <w:kern w:val="0"/>
                <w:sz w:val="16"/>
                <w:szCs w:val="16"/>
              </w:rPr>
              <w:t>PVC</w:t>
            </w:r>
          </w:p>
        </w:tc>
        <w:tc>
          <w:tcPr>
            <w:tcW w:w="992" w:type="dxa"/>
            <w:noWrap/>
          </w:tcPr>
          <w:p w:rsidR="00320E1D" w:rsidRDefault="00320E1D"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1630万吨</w:t>
            </w:r>
          </w:p>
        </w:tc>
        <w:tc>
          <w:tcPr>
            <w:tcW w:w="992" w:type="dxa"/>
            <w:noWrap/>
          </w:tcPr>
          <w:p w:rsidR="00320E1D" w:rsidRDefault="00AE3356"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w:t>
            </w:r>
            <w:r>
              <w:rPr>
                <w:rFonts w:ascii="华文楷体" w:eastAsia="华文楷体" w:hAnsi="华文楷体" w:cs="宋体"/>
                <w:color w:val="1F497D"/>
                <w:kern w:val="0"/>
                <w:sz w:val="16"/>
                <w:szCs w:val="16"/>
              </w:rPr>
              <w:t>0.82</w:t>
            </w:r>
            <w:r>
              <w:rPr>
                <w:rFonts w:ascii="华文楷体" w:eastAsia="华文楷体" w:hAnsi="华文楷体" w:cs="宋体" w:hint="eastAsia"/>
                <w:color w:val="1F497D"/>
                <w:kern w:val="0"/>
                <w:sz w:val="16"/>
                <w:szCs w:val="16"/>
              </w:rPr>
              <w:t>%</w:t>
            </w:r>
          </w:p>
        </w:tc>
        <w:tc>
          <w:tcPr>
            <w:tcW w:w="851" w:type="dxa"/>
          </w:tcPr>
          <w:p w:rsidR="00320E1D" w:rsidRDefault="00B3156F"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color w:val="1F497D"/>
                <w:kern w:val="0"/>
                <w:sz w:val="16"/>
                <w:szCs w:val="16"/>
              </w:rPr>
              <w:t>75</w:t>
            </w:r>
            <w:r>
              <w:rPr>
                <w:rFonts w:ascii="华文楷体" w:eastAsia="华文楷体" w:hAnsi="华文楷体" w:cs="宋体" w:hint="eastAsia"/>
                <w:color w:val="1F497D"/>
                <w:kern w:val="0"/>
                <w:sz w:val="16"/>
                <w:szCs w:val="16"/>
              </w:rPr>
              <w:t>%</w:t>
            </w:r>
          </w:p>
        </w:tc>
        <w:tc>
          <w:tcPr>
            <w:tcW w:w="850" w:type="dxa"/>
          </w:tcPr>
          <w:p w:rsidR="00320E1D" w:rsidRPr="00307DD7" w:rsidRDefault="00320E1D" w:rsidP="00307DD7">
            <w:pPr>
              <w:widowControl/>
              <w:spacing w:before="50" w:after="50" w:line="200" w:lineRule="atLeast"/>
              <w:jc w:val="left"/>
              <w:cnfStyle w:val="000000000000"/>
              <w:rPr>
                <w:rFonts w:ascii="华文楷体" w:eastAsia="华文楷体" w:hAnsi="华文楷体" w:cs="宋体"/>
                <w:color w:val="1F497D"/>
                <w:kern w:val="0"/>
                <w:sz w:val="16"/>
                <w:szCs w:val="16"/>
              </w:rPr>
            </w:pPr>
          </w:p>
        </w:tc>
        <w:tc>
          <w:tcPr>
            <w:tcW w:w="2268" w:type="dxa"/>
          </w:tcPr>
          <w:p w:rsidR="00320E1D" w:rsidRPr="00307DD7" w:rsidRDefault="00320E1D" w:rsidP="00307DD7">
            <w:pPr>
              <w:widowControl/>
              <w:spacing w:before="50" w:after="50" w:line="200" w:lineRule="atLeast"/>
              <w:jc w:val="left"/>
              <w:cnfStyle w:val="000000000000"/>
              <w:rPr>
                <w:rFonts w:ascii="华文楷体" w:eastAsia="华文楷体" w:hAnsi="华文楷体" w:cs="宋体"/>
                <w:color w:val="1F497D"/>
                <w:kern w:val="0"/>
                <w:sz w:val="16"/>
                <w:szCs w:val="16"/>
              </w:rPr>
            </w:pPr>
          </w:p>
        </w:tc>
        <w:tc>
          <w:tcPr>
            <w:tcW w:w="3367" w:type="dxa"/>
            <w:noWrap/>
          </w:tcPr>
          <w:p w:rsidR="00320E1D" w:rsidRDefault="00320E1D" w:rsidP="00307DD7">
            <w:pPr>
              <w:widowControl/>
              <w:spacing w:before="50" w:after="50" w:line="200" w:lineRule="atLeast"/>
              <w:jc w:val="left"/>
              <w:cnfStyle w:val="0000000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产能增速大幅放缓，</w:t>
            </w:r>
            <w:r w:rsidRPr="00320E1D">
              <w:rPr>
                <w:rFonts w:ascii="华文楷体" w:eastAsia="华文楷体" w:hAnsi="华文楷体" w:cs="宋体" w:hint="eastAsia"/>
                <w:color w:val="1F497D"/>
                <w:kern w:val="0"/>
                <w:sz w:val="16"/>
                <w:szCs w:val="16"/>
              </w:rPr>
              <w:t>低于10%，</w:t>
            </w:r>
            <w:r w:rsidR="000C7E54">
              <w:rPr>
                <w:rFonts w:ascii="华文楷体" w:eastAsia="华文楷体" w:hAnsi="华文楷体" w:cs="宋体" w:hint="eastAsia"/>
                <w:color w:val="1F497D"/>
                <w:kern w:val="0"/>
                <w:sz w:val="16"/>
                <w:szCs w:val="16"/>
              </w:rPr>
              <w:t>20</w:t>
            </w:r>
            <w:r w:rsidRPr="00320E1D">
              <w:rPr>
                <w:rFonts w:ascii="华文楷体" w:eastAsia="华文楷体" w:hAnsi="华文楷体" w:cs="宋体" w:hint="eastAsia"/>
                <w:color w:val="1F497D"/>
                <w:kern w:val="0"/>
                <w:sz w:val="16"/>
                <w:szCs w:val="16"/>
              </w:rPr>
              <w:t>15</w:t>
            </w:r>
            <w:proofErr w:type="gramStart"/>
            <w:r w:rsidRPr="00320E1D">
              <w:rPr>
                <w:rFonts w:ascii="华文楷体" w:eastAsia="华文楷体" w:hAnsi="华文楷体" w:cs="宋体" w:hint="eastAsia"/>
                <w:color w:val="1F497D"/>
                <w:kern w:val="0"/>
                <w:sz w:val="16"/>
                <w:szCs w:val="16"/>
              </w:rPr>
              <w:t>年产能净减少</w:t>
            </w:r>
            <w:proofErr w:type="gramEnd"/>
            <w:r w:rsidRPr="00320E1D">
              <w:rPr>
                <w:rFonts w:ascii="华文楷体" w:eastAsia="华文楷体" w:hAnsi="华文楷体" w:cs="宋体" w:hint="eastAsia"/>
                <w:color w:val="1F497D"/>
                <w:kern w:val="0"/>
                <w:sz w:val="16"/>
                <w:szCs w:val="16"/>
              </w:rPr>
              <w:t>41万吨</w:t>
            </w:r>
            <w:r w:rsidR="000C7E54">
              <w:rPr>
                <w:rFonts w:ascii="华文楷体" w:eastAsia="华文楷体" w:hAnsi="华文楷体" w:cs="宋体" w:hint="eastAsia"/>
                <w:color w:val="1F497D"/>
                <w:kern w:val="0"/>
                <w:sz w:val="16"/>
                <w:szCs w:val="16"/>
              </w:rPr>
              <w:t>，行业出清和整合开始推进。</w:t>
            </w:r>
          </w:p>
        </w:tc>
      </w:tr>
      <w:tr w:rsidR="00320E1D" w:rsidRPr="00307DD7" w:rsidTr="00ED726E">
        <w:trPr>
          <w:cnfStyle w:val="000000100000"/>
          <w:trHeight w:val="274"/>
        </w:trPr>
        <w:tc>
          <w:tcPr>
            <w:cnfStyle w:val="001000000000"/>
            <w:tcW w:w="1101" w:type="dxa"/>
            <w:noWrap/>
          </w:tcPr>
          <w:p w:rsidR="00320E1D" w:rsidRDefault="00A628D3" w:rsidP="00307DD7">
            <w:pPr>
              <w:widowControl/>
              <w:spacing w:before="50" w:after="50" w:line="200" w:lineRule="atLeast"/>
              <w:jc w:val="left"/>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化工-橡胶</w:t>
            </w:r>
          </w:p>
        </w:tc>
        <w:tc>
          <w:tcPr>
            <w:tcW w:w="992" w:type="dxa"/>
            <w:noWrap/>
          </w:tcPr>
          <w:p w:rsidR="00AE3356" w:rsidRDefault="00AE3356"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426万吨</w:t>
            </w:r>
          </w:p>
          <w:p w:rsidR="00320E1D" w:rsidRDefault="00AE3356" w:rsidP="00AE3356">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（2015年1-10月）</w:t>
            </w:r>
          </w:p>
        </w:tc>
        <w:tc>
          <w:tcPr>
            <w:tcW w:w="992" w:type="dxa"/>
            <w:noWrap/>
          </w:tcPr>
          <w:p w:rsidR="00320E1D" w:rsidRDefault="00AE3356"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w:t>
            </w:r>
            <w:r>
              <w:rPr>
                <w:rFonts w:ascii="华文楷体" w:eastAsia="华文楷体" w:hAnsi="华文楷体" w:cs="宋体"/>
                <w:color w:val="1F497D"/>
                <w:kern w:val="0"/>
                <w:sz w:val="16"/>
                <w:szCs w:val="16"/>
              </w:rPr>
              <w:t>1.8</w:t>
            </w:r>
            <w:r>
              <w:rPr>
                <w:rFonts w:ascii="华文楷体" w:eastAsia="华文楷体" w:hAnsi="华文楷体" w:cs="宋体" w:hint="eastAsia"/>
                <w:color w:val="1F497D"/>
                <w:kern w:val="0"/>
                <w:sz w:val="16"/>
                <w:szCs w:val="16"/>
              </w:rPr>
              <w:t>%</w:t>
            </w:r>
          </w:p>
        </w:tc>
        <w:tc>
          <w:tcPr>
            <w:tcW w:w="851" w:type="dxa"/>
          </w:tcPr>
          <w:p w:rsidR="00320E1D" w:rsidRDefault="008376A6"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70%</w:t>
            </w:r>
          </w:p>
        </w:tc>
        <w:tc>
          <w:tcPr>
            <w:tcW w:w="850" w:type="dxa"/>
          </w:tcPr>
          <w:p w:rsidR="00320E1D" w:rsidRPr="00307DD7" w:rsidRDefault="00320E1D" w:rsidP="00307DD7">
            <w:pPr>
              <w:widowControl/>
              <w:spacing w:before="50" w:after="50" w:line="200" w:lineRule="atLeast"/>
              <w:jc w:val="left"/>
              <w:cnfStyle w:val="000000100000"/>
              <w:rPr>
                <w:rFonts w:ascii="华文楷体" w:eastAsia="华文楷体" w:hAnsi="华文楷体" w:cs="宋体"/>
                <w:color w:val="1F497D"/>
                <w:kern w:val="0"/>
                <w:sz w:val="16"/>
                <w:szCs w:val="16"/>
              </w:rPr>
            </w:pPr>
          </w:p>
        </w:tc>
        <w:tc>
          <w:tcPr>
            <w:tcW w:w="2268" w:type="dxa"/>
          </w:tcPr>
          <w:p w:rsidR="00320E1D" w:rsidRPr="00307DD7" w:rsidRDefault="00320E1D" w:rsidP="00307DD7">
            <w:pPr>
              <w:widowControl/>
              <w:spacing w:before="50" w:after="50" w:line="200" w:lineRule="atLeast"/>
              <w:jc w:val="left"/>
              <w:cnfStyle w:val="000000100000"/>
              <w:rPr>
                <w:rFonts w:ascii="华文楷体" w:eastAsia="华文楷体" w:hAnsi="华文楷体" w:cs="宋体"/>
                <w:color w:val="1F497D"/>
                <w:kern w:val="0"/>
                <w:sz w:val="16"/>
                <w:szCs w:val="16"/>
              </w:rPr>
            </w:pPr>
          </w:p>
        </w:tc>
        <w:tc>
          <w:tcPr>
            <w:tcW w:w="3367" w:type="dxa"/>
            <w:noWrap/>
          </w:tcPr>
          <w:p w:rsidR="00320E1D" w:rsidRDefault="00507531" w:rsidP="00307DD7">
            <w:pPr>
              <w:widowControl/>
              <w:spacing w:before="50" w:after="50" w:line="200" w:lineRule="atLeast"/>
              <w:jc w:val="left"/>
              <w:cnfStyle w:val="000000100000"/>
              <w:rPr>
                <w:rFonts w:ascii="华文楷体" w:eastAsia="华文楷体" w:hAnsi="华文楷体" w:cs="宋体"/>
                <w:color w:val="1F497D"/>
                <w:kern w:val="0"/>
                <w:sz w:val="16"/>
                <w:szCs w:val="16"/>
              </w:rPr>
            </w:pPr>
            <w:r>
              <w:rPr>
                <w:rFonts w:ascii="华文楷体" w:eastAsia="华文楷体" w:hAnsi="华文楷体" w:cs="宋体" w:hint="eastAsia"/>
                <w:color w:val="1F497D"/>
                <w:kern w:val="0"/>
                <w:sz w:val="16"/>
                <w:szCs w:val="16"/>
              </w:rPr>
              <w:t>橡胶供应增速高峰在2015年，未来供应增长放缓，国内现价已超跌，远低于全球最低的泰国成本</w:t>
            </w:r>
            <w:r w:rsidR="00237F34">
              <w:rPr>
                <w:rFonts w:ascii="华文楷体" w:eastAsia="华文楷体" w:hAnsi="华文楷体" w:cs="宋体" w:hint="eastAsia"/>
                <w:color w:val="1F497D"/>
                <w:kern w:val="0"/>
                <w:sz w:val="16"/>
                <w:szCs w:val="16"/>
              </w:rPr>
              <w:t>。</w:t>
            </w:r>
          </w:p>
        </w:tc>
      </w:tr>
    </w:tbl>
    <w:p w:rsidR="00307DD7" w:rsidRPr="00307DD7" w:rsidRDefault="00307DD7" w:rsidP="005143F4">
      <w:pPr>
        <w:spacing w:afterLines="50" w:line="360" w:lineRule="exact"/>
        <w:rPr>
          <w:sz w:val="16"/>
          <w:szCs w:val="16"/>
        </w:rPr>
      </w:pPr>
      <w:r w:rsidRPr="00307DD7">
        <w:rPr>
          <w:rFonts w:hint="eastAsia"/>
          <w:sz w:val="16"/>
          <w:szCs w:val="16"/>
        </w:rPr>
        <w:t>数据来源：</w:t>
      </w:r>
      <w:r w:rsidRPr="00307DD7">
        <w:rPr>
          <w:rFonts w:hint="eastAsia"/>
          <w:sz w:val="16"/>
          <w:szCs w:val="16"/>
        </w:rPr>
        <w:t>Wind</w:t>
      </w:r>
      <w:r w:rsidRPr="00307DD7">
        <w:rPr>
          <w:rFonts w:hint="eastAsia"/>
          <w:sz w:val="16"/>
          <w:szCs w:val="16"/>
        </w:rPr>
        <w:t>，</w:t>
      </w:r>
      <w:r w:rsidR="004F17B3">
        <w:rPr>
          <w:rFonts w:hint="eastAsia"/>
          <w:sz w:val="16"/>
          <w:szCs w:val="16"/>
        </w:rPr>
        <w:t>新闻资料，</w:t>
      </w:r>
      <w:r w:rsidRPr="00307DD7">
        <w:rPr>
          <w:rFonts w:hint="eastAsia"/>
          <w:sz w:val="16"/>
          <w:szCs w:val="16"/>
        </w:rPr>
        <w:t>民生证券研究院</w:t>
      </w:r>
    </w:p>
    <w:p w:rsidR="00D90FE2" w:rsidRPr="00307DD7" w:rsidRDefault="00D90FE2" w:rsidP="00F05A89">
      <w:pPr>
        <w:spacing w:line="360" w:lineRule="auto"/>
        <w:ind w:rightChars="1000" w:right="2100"/>
        <w:rPr>
          <w:rFonts w:ascii="楷体" w:eastAsia="楷体" w:hAnsi="楷体"/>
          <w:szCs w:val="21"/>
        </w:rPr>
      </w:pPr>
    </w:p>
    <w:p w:rsidR="00F63A1B" w:rsidRPr="0097513A" w:rsidRDefault="00F63A1B" w:rsidP="00F63A1B">
      <w:pPr>
        <w:spacing w:line="360" w:lineRule="auto"/>
        <w:ind w:rightChars="1000" w:right="2100"/>
        <w:rPr>
          <w:rFonts w:ascii="楷体" w:eastAsia="楷体" w:hAnsi="楷体"/>
          <w:szCs w:val="21"/>
        </w:rPr>
        <w:sectPr w:rsidR="00F63A1B" w:rsidRPr="0097513A" w:rsidSect="00EA0D72">
          <w:headerReference w:type="default" r:id="rId57"/>
          <w:footerReference w:type="default" r:id="rId58"/>
          <w:headerReference w:type="first" r:id="rId59"/>
          <w:footerReference w:type="first" r:id="rId60"/>
          <w:pgSz w:w="11907" w:h="16839" w:code="9"/>
          <w:pgMar w:top="1869" w:right="851" w:bottom="1134" w:left="851" w:header="692" w:footer="888" w:gutter="0"/>
          <w:pgBorders w:offsetFrom="page">
            <w:top w:val="none" w:sz="0" w:space="24" w:color="auto"/>
            <w:left w:val="none" w:sz="0" w:space="24" w:color="auto"/>
            <w:bottom w:val="none" w:sz="0" w:space="24" w:color="auto"/>
            <w:right w:val="none" w:sz="0" w:space="24" w:color="auto"/>
          </w:pgBorders>
          <w:cols w:space="720"/>
          <w:titlePg/>
          <w:docGrid w:linePitch="286"/>
        </w:sectPr>
      </w:pPr>
    </w:p>
    <w:p w:rsidR="00233103" w:rsidRPr="00B62BA3" w:rsidRDefault="0078203E" w:rsidP="006B540E">
      <w:pPr>
        <w:widowControl/>
        <w:jc w:val="left"/>
        <w:rPr>
          <w:sz w:val="24"/>
        </w:rPr>
      </w:pPr>
      <w:r>
        <w:rPr>
          <w:rFonts w:hint="eastAsia"/>
          <w:b/>
          <w:sz w:val="24"/>
        </w:rPr>
        <w:lastRenderedPageBreak/>
        <w:t>作者</w:t>
      </w:r>
      <w:r w:rsidR="00233103" w:rsidRPr="00B62BA3">
        <w:rPr>
          <w:rFonts w:hint="eastAsia"/>
          <w:b/>
          <w:sz w:val="24"/>
        </w:rPr>
        <w:t>简介</w:t>
      </w:r>
    </w:p>
    <w:p w:rsidR="00FB74CC" w:rsidRDefault="00FB74CC" w:rsidP="005143F4">
      <w:pPr>
        <w:autoSpaceDE w:val="0"/>
        <w:autoSpaceDN w:val="0"/>
        <w:spacing w:beforeLines="50" w:afterLines="50" w:line="360" w:lineRule="exact"/>
        <w:ind w:firstLineChars="1" w:firstLine="2"/>
        <w:rPr>
          <w:sz w:val="20"/>
          <w:szCs w:val="20"/>
        </w:rPr>
      </w:pPr>
      <w:proofErr w:type="gramStart"/>
      <w:r w:rsidRPr="00412DD0">
        <w:rPr>
          <w:rFonts w:hint="eastAsia"/>
          <w:b/>
          <w:sz w:val="20"/>
          <w:szCs w:val="20"/>
        </w:rPr>
        <w:t>管清友</w:t>
      </w:r>
      <w:proofErr w:type="gramEnd"/>
      <w:r w:rsidRPr="00412DD0">
        <w:rPr>
          <w:rFonts w:hint="eastAsia"/>
          <w:b/>
          <w:sz w:val="20"/>
          <w:szCs w:val="20"/>
        </w:rPr>
        <w:t>，</w:t>
      </w:r>
      <w:r w:rsidRPr="00412DD0">
        <w:rPr>
          <w:rFonts w:hint="eastAsia"/>
          <w:sz w:val="20"/>
          <w:szCs w:val="20"/>
        </w:rPr>
        <w:t>民生证券研究院</w:t>
      </w:r>
      <w:r w:rsidR="00F21904">
        <w:rPr>
          <w:rFonts w:hint="eastAsia"/>
          <w:sz w:val="20"/>
          <w:szCs w:val="20"/>
        </w:rPr>
        <w:t>执行</w:t>
      </w:r>
      <w:r w:rsidRPr="00412DD0">
        <w:rPr>
          <w:rFonts w:hint="eastAsia"/>
          <w:sz w:val="20"/>
          <w:szCs w:val="20"/>
        </w:rPr>
        <w:t>院长。中国社会科学院经济学博士，清华大学博士后。曾任清华大学国情研究中心助理研究员、中海油宏观经济研究处处长、调研处处长。兼任澳门城市大学经济研究所高级研究员、中国经济体制改革研究会特约研究员、长策</w:t>
      </w:r>
      <w:proofErr w:type="gramStart"/>
      <w:r w:rsidRPr="00412DD0">
        <w:rPr>
          <w:rFonts w:hint="eastAsia"/>
          <w:sz w:val="20"/>
          <w:szCs w:val="20"/>
        </w:rPr>
        <w:t>智库全球</w:t>
      </w:r>
      <w:proofErr w:type="gramEnd"/>
      <w:r w:rsidRPr="00412DD0">
        <w:rPr>
          <w:rFonts w:hint="eastAsia"/>
          <w:sz w:val="20"/>
          <w:szCs w:val="20"/>
        </w:rPr>
        <w:t>宏观经济研究员、新华都商学院研究员、海洋安全与合作研究院高级研究员等职务。著有《后天有多远？</w:t>
      </w:r>
      <w:r w:rsidRPr="00412DD0">
        <w:rPr>
          <w:sz w:val="20"/>
          <w:szCs w:val="20"/>
        </w:rPr>
        <w:t>——</w:t>
      </w:r>
      <w:r w:rsidRPr="00412DD0">
        <w:rPr>
          <w:rFonts w:hint="eastAsia"/>
          <w:sz w:val="20"/>
          <w:szCs w:val="20"/>
        </w:rPr>
        <w:t>通货危机、石油泡沫和气候变化》、《刀锋上起舞</w:t>
      </w:r>
      <w:r w:rsidRPr="00412DD0">
        <w:rPr>
          <w:sz w:val="20"/>
          <w:szCs w:val="20"/>
        </w:rPr>
        <w:t>——</w:t>
      </w:r>
      <w:r w:rsidRPr="00412DD0">
        <w:rPr>
          <w:rFonts w:hint="eastAsia"/>
          <w:sz w:val="20"/>
          <w:szCs w:val="20"/>
        </w:rPr>
        <w:t>直面危机的中国经济》等。</w:t>
      </w:r>
    </w:p>
    <w:p w:rsidR="00FB74CC" w:rsidRDefault="00FB74CC" w:rsidP="005143F4">
      <w:pPr>
        <w:autoSpaceDE w:val="0"/>
        <w:autoSpaceDN w:val="0"/>
        <w:spacing w:beforeLines="50" w:afterLines="50" w:line="360" w:lineRule="exact"/>
        <w:ind w:firstLineChars="1" w:firstLine="2"/>
        <w:rPr>
          <w:sz w:val="20"/>
          <w:szCs w:val="20"/>
        </w:rPr>
      </w:pPr>
      <w:r w:rsidRPr="00863C6E">
        <w:rPr>
          <w:rFonts w:hint="eastAsia"/>
          <w:b/>
          <w:sz w:val="20"/>
          <w:szCs w:val="20"/>
        </w:rPr>
        <w:t>朱振鑫</w:t>
      </w:r>
      <w:r w:rsidRPr="00863C6E">
        <w:rPr>
          <w:rFonts w:hint="eastAsia"/>
          <w:sz w:val="20"/>
          <w:szCs w:val="20"/>
        </w:rPr>
        <w:t>，</w:t>
      </w:r>
      <w:r>
        <w:rPr>
          <w:sz w:val="20"/>
          <w:szCs w:val="20"/>
        </w:rPr>
        <w:t>民生证券研究院</w:t>
      </w:r>
      <w:r w:rsidR="0081197E">
        <w:rPr>
          <w:sz w:val="20"/>
          <w:szCs w:val="20"/>
        </w:rPr>
        <w:t>高级</w:t>
      </w:r>
      <w:r>
        <w:rPr>
          <w:sz w:val="20"/>
          <w:szCs w:val="20"/>
        </w:rPr>
        <w:t>宏观</w:t>
      </w:r>
      <w:r>
        <w:rPr>
          <w:rFonts w:hint="eastAsia"/>
          <w:sz w:val="20"/>
          <w:szCs w:val="20"/>
        </w:rPr>
        <w:t>研究员、</w:t>
      </w:r>
      <w:proofErr w:type="gramStart"/>
      <w:r w:rsidRPr="00863C6E">
        <w:rPr>
          <w:rFonts w:hint="eastAsia"/>
          <w:sz w:val="20"/>
          <w:szCs w:val="20"/>
        </w:rPr>
        <w:t>腾讯财经</w:t>
      </w:r>
      <w:proofErr w:type="gramEnd"/>
      <w:r w:rsidRPr="00863C6E">
        <w:rPr>
          <w:rFonts w:hint="eastAsia"/>
          <w:sz w:val="20"/>
          <w:szCs w:val="20"/>
        </w:rPr>
        <w:t>等专栏作家。毕业于社科院世界经济与政治研究所，金融风险管理师（</w:t>
      </w:r>
      <w:r w:rsidRPr="00863C6E">
        <w:rPr>
          <w:sz w:val="20"/>
          <w:szCs w:val="20"/>
        </w:rPr>
        <w:t>FRM</w:t>
      </w:r>
      <w:r w:rsidRPr="00863C6E">
        <w:rPr>
          <w:rFonts w:hint="eastAsia"/>
          <w:sz w:val="20"/>
          <w:szCs w:val="20"/>
        </w:rPr>
        <w:t>），专长于世界经济和国际金融研究，译有《交易快手》、《曾经的辉煌》等财经畅销书。</w:t>
      </w:r>
    </w:p>
    <w:p w:rsidR="008503C1" w:rsidRPr="00FB74CC" w:rsidRDefault="008503C1" w:rsidP="005143F4">
      <w:pPr>
        <w:autoSpaceDE w:val="0"/>
        <w:autoSpaceDN w:val="0"/>
        <w:spacing w:beforeLines="50" w:afterLines="50" w:line="360" w:lineRule="exact"/>
        <w:ind w:firstLineChars="1" w:firstLine="2"/>
        <w:rPr>
          <w:sz w:val="20"/>
          <w:szCs w:val="20"/>
        </w:rPr>
      </w:pPr>
      <w:r>
        <w:rPr>
          <w:rFonts w:hint="eastAsia"/>
          <w:b/>
          <w:sz w:val="20"/>
          <w:szCs w:val="20"/>
        </w:rPr>
        <w:t>张瑜</w:t>
      </w:r>
      <w:r w:rsidRPr="00341B37">
        <w:rPr>
          <w:rFonts w:hint="eastAsia"/>
          <w:sz w:val="20"/>
          <w:szCs w:val="20"/>
        </w:rPr>
        <w:t>，民生证券研究院宏观研究员。</w:t>
      </w:r>
      <w:r>
        <w:rPr>
          <w:rFonts w:hint="eastAsia"/>
          <w:sz w:val="20"/>
          <w:szCs w:val="20"/>
        </w:rPr>
        <w:t>毕业于中国人民大学汉青研究院，数量经济学硕士。曾在国内外金融机构实习。目前主要从事大类资产配置、大宗商品、经济周期方面研究。</w:t>
      </w:r>
    </w:p>
    <w:p w:rsidR="008503C1" w:rsidRPr="008503C1" w:rsidRDefault="008503C1" w:rsidP="005143F4">
      <w:pPr>
        <w:autoSpaceDE w:val="0"/>
        <w:autoSpaceDN w:val="0"/>
        <w:spacing w:beforeLines="50" w:afterLines="50" w:line="360" w:lineRule="exact"/>
        <w:ind w:firstLineChars="1" w:firstLine="2"/>
        <w:rPr>
          <w:sz w:val="20"/>
          <w:szCs w:val="20"/>
        </w:rPr>
      </w:pPr>
    </w:p>
    <w:p w:rsidR="00233103" w:rsidRDefault="00233103" w:rsidP="005143F4">
      <w:pPr>
        <w:autoSpaceDE w:val="0"/>
        <w:autoSpaceDN w:val="0"/>
        <w:spacing w:beforeLines="50" w:line="360" w:lineRule="exact"/>
        <w:rPr>
          <w:b/>
          <w:sz w:val="24"/>
        </w:rPr>
      </w:pPr>
      <w:r>
        <w:rPr>
          <w:rFonts w:hint="eastAsia"/>
          <w:b/>
          <w:sz w:val="24"/>
        </w:rPr>
        <w:t>分析师承诺</w:t>
      </w:r>
    </w:p>
    <w:p w:rsidR="00233103" w:rsidRDefault="00233103" w:rsidP="006B540E">
      <w:pPr>
        <w:autoSpaceDE w:val="0"/>
        <w:autoSpaceDN w:val="0"/>
        <w:spacing w:line="300" w:lineRule="exact"/>
        <w:rPr>
          <w:sz w:val="20"/>
          <w:szCs w:val="20"/>
        </w:rPr>
      </w:pPr>
      <w:r>
        <w:rPr>
          <w:rFonts w:hint="eastAsia"/>
          <w:sz w:val="20"/>
          <w:szCs w:val="20"/>
        </w:rPr>
        <w:t>作者具有中国证券业协会授予的证券投资咨询执业资格和相当的专业胜任能力，保证研究参考所采用的数据均来自合</w:t>
      </w:r>
      <w:proofErr w:type="gramStart"/>
      <w:r>
        <w:rPr>
          <w:rFonts w:hint="eastAsia"/>
          <w:sz w:val="20"/>
          <w:szCs w:val="20"/>
        </w:rPr>
        <w:t>规</w:t>
      </w:r>
      <w:proofErr w:type="gramEnd"/>
      <w:r>
        <w:rPr>
          <w:rFonts w:hint="eastAsia"/>
          <w:sz w:val="20"/>
          <w:szCs w:val="20"/>
        </w:rPr>
        <w:t>渠道，分析逻辑基于作者的职业理解，通过合理判断并得出结论，力求客观、公正，结论不受任何第三方的授意、影响，特此声明。</w:t>
      </w:r>
    </w:p>
    <w:p w:rsidR="00233103" w:rsidRDefault="00233103" w:rsidP="006B540E">
      <w:pPr>
        <w:widowControl/>
        <w:jc w:val="left"/>
        <w:rPr>
          <w:b/>
          <w:sz w:val="24"/>
        </w:rPr>
      </w:pPr>
    </w:p>
    <w:p w:rsidR="00233103" w:rsidRDefault="00233103" w:rsidP="006B540E">
      <w:pPr>
        <w:widowControl/>
        <w:jc w:val="left"/>
        <w:rPr>
          <w:b/>
          <w:sz w:val="24"/>
        </w:rPr>
      </w:pPr>
      <w:r>
        <w:rPr>
          <w:rFonts w:hint="eastAsia"/>
          <w:b/>
          <w:sz w:val="24"/>
        </w:rPr>
        <w:t>免责声明</w:t>
      </w:r>
    </w:p>
    <w:p w:rsidR="00233103" w:rsidRDefault="00233103" w:rsidP="006B540E">
      <w:pPr>
        <w:adjustRightInd w:val="0"/>
        <w:snapToGrid w:val="0"/>
        <w:spacing w:line="300" w:lineRule="exact"/>
        <w:ind w:firstLineChars="200" w:firstLine="400"/>
        <w:rPr>
          <w:rFonts w:ascii="楷体_GB2312"/>
          <w:sz w:val="20"/>
          <w:szCs w:val="20"/>
        </w:rPr>
      </w:pPr>
      <w:r>
        <w:rPr>
          <w:rFonts w:ascii="楷体_GB2312" w:hint="eastAsia"/>
          <w:sz w:val="20"/>
          <w:szCs w:val="20"/>
        </w:rPr>
        <w:t>本研究</w:t>
      </w:r>
      <w:proofErr w:type="gramStart"/>
      <w:r>
        <w:rPr>
          <w:rFonts w:ascii="楷体_GB2312" w:hint="eastAsia"/>
          <w:sz w:val="20"/>
          <w:szCs w:val="20"/>
        </w:rPr>
        <w:t>参考仅</w:t>
      </w:r>
      <w:proofErr w:type="gramEnd"/>
      <w:r>
        <w:rPr>
          <w:rFonts w:ascii="楷体_GB2312" w:hint="eastAsia"/>
          <w:sz w:val="20"/>
          <w:szCs w:val="20"/>
        </w:rPr>
        <w:t>供民生证券股份有限公司（以下简称“本公司”）的客户使用。本公司不会因接收人收到本研究参考而视其为客户。</w:t>
      </w:r>
    </w:p>
    <w:p w:rsidR="00233103" w:rsidRDefault="00233103" w:rsidP="006B540E">
      <w:pPr>
        <w:adjustRightInd w:val="0"/>
        <w:snapToGrid w:val="0"/>
        <w:spacing w:line="300" w:lineRule="exact"/>
        <w:ind w:firstLineChars="200" w:firstLine="400"/>
        <w:rPr>
          <w:rFonts w:ascii="楷体_GB2312"/>
          <w:sz w:val="20"/>
          <w:szCs w:val="20"/>
        </w:rPr>
      </w:pPr>
      <w:r>
        <w:rPr>
          <w:rFonts w:ascii="楷体_GB2312" w:hint="eastAsia"/>
          <w:sz w:val="20"/>
          <w:szCs w:val="20"/>
        </w:rPr>
        <w:t>本研究参考是基于本公司认为可靠的已公开信息，但本公司不保证该等信息的准确性或完整性。本研究参考所载的资料、意见及推测仅反映本公司于发布本研究参考当日的判断，在不同时期，本公司可发出与本研究参考所刊载的意见、推测不一致的研究参考，但本公司没有义务和责任及时更新本研究参考所涉及的内容并通知客户。</w:t>
      </w:r>
    </w:p>
    <w:p w:rsidR="00233103" w:rsidRDefault="00233103" w:rsidP="006B540E">
      <w:pPr>
        <w:adjustRightInd w:val="0"/>
        <w:snapToGrid w:val="0"/>
        <w:spacing w:line="300" w:lineRule="exact"/>
        <w:ind w:firstLineChars="200" w:firstLine="400"/>
        <w:rPr>
          <w:rFonts w:ascii="楷体_GB2312"/>
          <w:sz w:val="20"/>
          <w:szCs w:val="20"/>
        </w:rPr>
      </w:pPr>
      <w:r>
        <w:rPr>
          <w:rFonts w:ascii="楷体_GB2312" w:hint="eastAsia"/>
          <w:sz w:val="20"/>
          <w:szCs w:val="20"/>
        </w:rPr>
        <w:t>本研究参考所载的全部内容只提供给客户做参考之用，并不构成对客户的投资建议，并非作为买卖、认购证券或其它金融工具的邀请或保证。客户不应单纯依靠本研究参考所载的内容而取代个人的独立判断。本公司也不对因客户使用本研究参考而导致的任何可能的损失负任何责任。</w:t>
      </w:r>
    </w:p>
    <w:p w:rsidR="00233103" w:rsidRDefault="00233103" w:rsidP="006B540E">
      <w:pPr>
        <w:adjustRightInd w:val="0"/>
        <w:snapToGrid w:val="0"/>
        <w:spacing w:line="300" w:lineRule="exact"/>
        <w:ind w:firstLineChars="200" w:firstLine="400"/>
        <w:rPr>
          <w:rFonts w:ascii="楷体_GB2312"/>
          <w:sz w:val="20"/>
          <w:szCs w:val="20"/>
        </w:rPr>
      </w:pPr>
      <w:r>
        <w:rPr>
          <w:rFonts w:ascii="楷体_GB2312" w:hint="eastAsia"/>
          <w:sz w:val="20"/>
          <w:szCs w:val="20"/>
        </w:rPr>
        <w:t>本公司</w:t>
      </w:r>
      <w:proofErr w:type="gramStart"/>
      <w:r>
        <w:rPr>
          <w:rFonts w:ascii="楷体_GB2312" w:hint="eastAsia"/>
          <w:sz w:val="20"/>
          <w:szCs w:val="20"/>
        </w:rPr>
        <w:t>未确保</w:t>
      </w:r>
      <w:proofErr w:type="gramEnd"/>
      <w:r>
        <w:rPr>
          <w:rFonts w:ascii="楷体_GB2312" w:hint="eastAsia"/>
          <w:sz w:val="20"/>
          <w:szCs w:val="20"/>
        </w:rPr>
        <w:t>本研究参考充分考虑到个别客户特殊的投资目标、财务状况或需要。本公司建议客户应考虑本研究参考的任何意见或建议是否符合其特定状况，以及（若有必要）咨询独立投资顾问。</w:t>
      </w:r>
    </w:p>
    <w:p w:rsidR="00233103" w:rsidRDefault="00233103" w:rsidP="006B540E">
      <w:pPr>
        <w:adjustRightInd w:val="0"/>
        <w:snapToGrid w:val="0"/>
        <w:spacing w:line="300" w:lineRule="exact"/>
        <w:ind w:firstLineChars="200" w:firstLine="400"/>
        <w:rPr>
          <w:rFonts w:ascii="楷体_GB2312"/>
          <w:sz w:val="20"/>
          <w:szCs w:val="20"/>
        </w:rPr>
      </w:pPr>
      <w:r>
        <w:rPr>
          <w:rFonts w:ascii="楷体_GB2312" w:hint="eastAsia"/>
          <w:sz w:val="20"/>
          <w:szCs w:val="20"/>
        </w:rPr>
        <w:t>本公司在法律允许的情况下可参与、投资或持有本研究参考涉及的证券或参与本研究参考所提及的公司的金融交易，亦可向有关公司提供或获取服务。本公司的一位或多位董事、高级职员或</w:t>
      </w:r>
      <w:r>
        <w:rPr>
          <w:rFonts w:ascii="楷体_GB2312"/>
          <w:sz w:val="20"/>
          <w:szCs w:val="20"/>
        </w:rPr>
        <w:t>/</w:t>
      </w:r>
      <w:r>
        <w:rPr>
          <w:rFonts w:ascii="楷体_GB2312" w:hint="eastAsia"/>
          <w:sz w:val="20"/>
          <w:szCs w:val="20"/>
        </w:rPr>
        <w:t>和员工可能担任本研究参考所提及的公司的董事。</w:t>
      </w:r>
    </w:p>
    <w:p w:rsidR="00233103" w:rsidRDefault="00233103" w:rsidP="006B540E">
      <w:pPr>
        <w:adjustRightInd w:val="0"/>
        <w:snapToGrid w:val="0"/>
        <w:spacing w:line="300" w:lineRule="exact"/>
        <w:ind w:firstLineChars="200" w:firstLine="400"/>
        <w:rPr>
          <w:rFonts w:ascii="楷体_GB2312"/>
          <w:sz w:val="20"/>
          <w:szCs w:val="20"/>
        </w:rPr>
      </w:pPr>
      <w:r>
        <w:rPr>
          <w:rFonts w:ascii="楷体_GB2312" w:hint="eastAsia"/>
          <w:sz w:val="20"/>
          <w:szCs w:val="20"/>
        </w:rPr>
        <w:t>本公司及公司员工在当地法律允许的条件下可以向本研究参考涉及的公司提供或争取提供包括投资银行业务以及顾问、咨询业务在内的服务或业务支持。本公司可能与本研究参考涉及的公司之间存在业务关系，并无需</w:t>
      </w:r>
      <w:proofErr w:type="gramStart"/>
      <w:r>
        <w:rPr>
          <w:rFonts w:ascii="楷体_GB2312" w:hint="eastAsia"/>
          <w:sz w:val="20"/>
          <w:szCs w:val="20"/>
        </w:rPr>
        <w:t>事先或</w:t>
      </w:r>
      <w:proofErr w:type="gramEnd"/>
      <w:r>
        <w:rPr>
          <w:rFonts w:ascii="楷体_GB2312" w:hint="eastAsia"/>
          <w:sz w:val="20"/>
          <w:szCs w:val="20"/>
        </w:rPr>
        <w:t>在获得业务关系后通知客户。</w:t>
      </w:r>
    </w:p>
    <w:p w:rsidR="00233103" w:rsidRDefault="00233103" w:rsidP="006B540E">
      <w:pPr>
        <w:adjustRightInd w:val="0"/>
        <w:snapToGrid w:val="0"/>
        <w:spacing w:line="300" w:lineRule="exact"/>
        <w:ind w:firstLineChars="200" w:firstLine="400"/>
        <w:rPr>
          <w:rFonts w:ascii="楷体_GB2312"/>
          <w:sz w:val="20"/>
          <w:szCs w:val="20"/>
        </w:rPr>
      </w:pPr>
      <w:r>
        <w:rPr>
          <w:rFonts w:ascii="楷体_GB2312" w:hint="eastAsia"/>
          <w:sz w:val="20"/>
          <w:szCs w:val="20"/>
        </w:rPr>
        <w:t>若本公司以外的金融机构发送本研究参考，则由该金融机构独自为此发送行为负责。该机构的客户应联系该机构以交易本研究参考提及的证券或要求获悉更详细的信息。</w:t>
      </w:r>
    </w:p>
    <w:p w:rsidR="00233103" w:rsidRDefault="00233103" w:rsidP="006B540E">
      <w:pPr>
        <w:adjustRightInd w:val="0"/>
        <w:snapToGrid w:val="0"/>
        <w:spacing w:line="300" w:lineRule="exact"/>
        <w:ind w:firstLineChars="200" w:firstLine="400"/>
        <w:rPr>
          <w:rFonts w:ascii="楷体_GB2312"/>
          <w:sz w:val="20"/>
          <w:szCs w:val="20"/>
        </w:rPr>
      </w:pPr>
      <w:r>
        <w:rPr>
          <w:rFonts w:ascii="楷体_GB2312" w:hint="eastAsia"/>
          <w:sz w:val="20"/>
          <w:szCs w:val="20"/>
        </w:rPr>
        <w:t>未经本公司事先书面授权许可，任何机构或个人不得更改或以任何方式发送、传播或复印本研究参考。本公司版权所有并保留一切权利。</w:t>
      </w:r>
    </w:p>
    <w:p w:rsidR="00233103" w:rsidRPr="00FF3850" w:rsidRDefault="00233103" w:rsidP="00FF3850">
      <w:pPr>
        <w:adjustRightInd w:val="0"/>
        <w:snapToGrid w:val="0"/>
        <w:spacing w:line="300" w:lineRule="exact"/>
        <w:ind w:firstLineChars="200" w:firstLine="400"/>
        <w:rPr>
          <w:rFonts w:ascii="楷体_GB2312"/>
          <w:sz w:val="20"/>
          <w:szCs w:val="20"/>
        </w:rPr>
      </w:pPr>
      <w:r>
        <w:rPr>
          <w:rFonts w:ascii="楷体_GB2312" w:hint="eastAsia"/>
          <w:sz w:val="20"/>
          <w:szCs w:val="20"/>
        </w:rPr>
        <w:t>所有在本研究参考中使用的商标、服务标识及标记，除非另有说明，均为本公司的商标、服务标识及标记。</w:t>
      </w:r>
    </w:p>
    <w:sectPr w:rsidR="00233103" w:rsidRPr="00FF3850" w:rsidSect="00CA6961">
      <w:headerReference w:type="default" r:id="rId61"/>
      <w:footerReference w:type="default" r:id="rId62"/>
      <w:headerReference w:type="first" r:id="rId63"/>
      <w:footerReference w:type="first" r:id="rId64"/>
      <w:pgSz w:w="11907" w:h="16839"/>
      <w:pgMar w:top="1565" w:right="851" w:bottom="1134" w:left="851" w:header="612" w:footer="595" w:gutter="0"/>
      <w:cols w:space="720"/>
      <w:docGrid w:type="line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E49" w:rsidRDefault="00E36E49">
      <w:r>
        <w:separator/>
      </w:r>
    </w:p>
  </w:endnote>
  <w:endnote w:type="continuationSeparator" w:id="0">
    <w:p w:rsidR="00E36E49" w:rsidRDefault="00E36E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大黑简体">
    <w:altName w:val="宋体"/>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方正书宋简体">
    <w:altName w:val="Arial Unicode MS"/>
    <w:panose1 w:val="00000000000000000000"/>
    <w:charset w:val="86"/>
    <w:family w:val="script"/>
    <w:notTrueType/>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A9" w:rsidRPr="005E57C5" w:rsidRDefault="003D3FA9" w:rsidP="005143F4">
    <w:pPr>
      <w:tabs>
        <w:tab w:val="right" w:pos="10205"/>
      </w:tabs>
      <w:spacing w:beforeLines="20"/>
      <w:rPr>
        <w:sz w:val="16"/>
        <w:szCs w:val="16"/>
      </w:rPr>
    </w:pPr>
    <w:r w:rsidRPr="003D3FA9">
      <w:rPr>
        <w:noProof/>
      </w:rPr>
      <w:pict>
        <v:rect id="Rectangle 2" o:spid="_x0000_s2052" style="position:absolute;left:0;text-align:left;margin-left:-47.25pt;margin-top:-3.2pt;width:603.75pt;height:24.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" fillcolor="#ccdcea" stroked="f"/>
      </w:pict>
    </w:r>
    <w:r w:rsidR="00617EA9">
      <w:rPr>
        <w:rFonts w:ascii="Arial" w:eastAsia="黑体" w:hAnsi="Arial" w:cs="Arial" w:hint="eastAsia"/>
        <w:sz w:val="16"/>
        <w:szCs w:val="16"/>
      </w:rPr>
      <w:t>本公司具备证券投资咨询业务资格，</w:t>
    </w:r>
    <w:r w:rsidR="00617EA9" w:rsidRPr="00DE0AA3">
      <w:rPr>
        <w:rFonts w:ascii="Arial" w:eastAsia="黑体" w:hAnsi="Arial" w:cs="Arial" w:hint="eastAsia"/>
        <w:sz w:val="16"/>
        <w:szCs w:val="16"/>
      </w:rPr>
      <w:t>请务必阅读最后一页免责声明</w:t>
    </w:r>
    <w:r w:rsidR="00617EA9">
      <w:rPr>
        <w:rFonts w:ascii="Arial" w:eastAsia="黑体" w:hAnsi="Arial" w:cs="Arial"/>
        <w:sz w:val="16"/>
        <w:szCs w:val="16"/>
      </w:rPr>
      <w:t xml:space="preserve">                                                       </w:t>
    </w:r>
    <w:r w:rsidR="00617EA9">
      <w:rPr>
        <w:rFonts w:ascii="Arial" w:eastAsia="黑体" w:hAnsi="Arial" w:cs="Arial" w:hint="eastAsia"/>
        <w:sz w:val="16"/>
        <w:szCs w:val="16"/>
      </w:rPr>
      <w:t>宏观研究参考</w:t>
    </w:r>
    <w:r w:rsidR="00617EA9" w:rsidRPr="0004064B">
      <w:rPr>
        <w:szCs w:val="21"/>
      </w:rPr>
      <w:tab/>
    </w:r>
    <w:r w:rsidRPr="005E57C5">
      <w:rPr>
        <w:rStyle w:val="a3"/>
        <w:rFonts w:ascii="Arial" w:hAnsi="Arial" w:cs="Arial"/>
        <w:sz w:val="16"/>
        <w:szCs w:val="16"/>
      </w:rPr>
      <w:fldChar w:fldCharType="begin"/>
    </w:r>
    <w:r w:rsidR="00617EA9" w:rsidRPr="005E57C5">
      <w:rPr>
        <w:rStyle w:val="a3"/>
        <w:rFonts w:ascii="Arial" w:hAnsi="Arial" w:cs="Arial"/>
        <w:sz w:val="16"/>
        <w:szCs w:val="16"/>
      </w:rPr>
      <w:instrText xml:space="preserve"> PAGE </w:instrText>
    </w:r>
    <w:r w:rsidRPr="005E57C5">
      <w:rPr>
        <w:rStyle w:val="a3"/>
        <w:rFonts w:ascii="Arial" w:hAnsi="Arial" w:cs="Arial"/>
        <w:sz w:val="16"/>
        <w:szCs w:val="16"/>
      </w:rPr>
      <w:fldChar w:fldCharType="separate"/>
    </w:r>
    <w:r w:rsidR="005143F4">
      <w:rPr>
        <w:rStyle w:val="a3"/>
        <w:rFonts w:ascii="Arial" w:hAnsi="Arial" w:cs="Arial"/>
        <w:noProof/>
        <w:sz w:val="16"/>
        <w:szCs w:val="16"/>
      </w:rPr>
      <w:t>3</w:t>
    </w:r>
    <w:r w:rsidRPr="005E57C5">
      <w:rPr>
        <w:rStyle w:val="a3"/>
        <w:rFonts w:ascii="Arial" w:hAnsi="Arial" w:cs="Arial"/>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A9" w:rsidRPr="008A6EA0" w:rsidRDefault="00617EA9" w:rsidP="005143F4">
    <w:pPr>
      <w:pStyle w:val="af1"/>
      <w:pBdr>
        <w:top w:val="none" w:sz="0" w:space="0" w:color="auto"/>
      </w:pBdr>
      <w:tabs>
        <w:tab w:val="right" w:pos="10205"/>
      </w:tabs>
      <w:snapToGrid/>
      <w:spacing w:beforeLines="20"/>
      <w:rPr>
        <w:sz w:val="16"/>
        <w:szCs w:val="16"/>
      </w:rPr>
    </w:pPr>
    <w:r>
      <w:rPr>
        <w:rFonts w:ascii="Arial" w:eastAsia="黑体" w:hAnsi="Arial" w:cs="Arial" w:hint="eastAsia"/>
        <w:sz w:val="16"/>
        <w:szCs w:val="16"/>
      </w:rPr>
      <w:t>本公司具备证券投资咨询业务资格，</w:t>
    </w:r>
    <w:r w:rsidRPr="00DE0AA3">
      <w:rPr>
        <w:rFonts w:ascii="Arial" w:eastAsia="黑体" w:hAnsi="Arial" w:cs="Arial" w:hint="eastAsia"/>
        <w:sz w:val="16"/>
        <w:szCs w:val="16"/>
      </w:rPr>
      <w:t>请务必阅读最后一页免责声明</w:t>
    </w:r>
    <w:r w:rsidR="003D3FA9" w:rsidRPr="003D3FA9">
      <w:rPr>
        <w:noProof/>
      </w:rPr>
      <w:pict>
        <v:rect id="Rectangle 5" o:spid="_x0000_s2051" style="position:absolute;margin-left:-43.5pt;margin-top:-3.95pt;width:603.75pt;height:24.9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" fillcolor="#ccdcea" stroked="f"/>
      </w:pict>
    </w:r>
    <w:r w:rsidRPr="0004064B">
      <w:rPr>
        <w:sz w:val="21"/>
        <w:szCs w:val="21"/>
      </w:rPr>
      <w:tab/>
    </w:r>
    <w:r w:rsidR="003D3FA9" w:rsidRPr="008A6EA0">
      <w:rPr>
        <w:rStyle w:val="a3"/>
        <w:rFonts w:ascii="Arial" w:hAnsi="Arial" w:cs="Arial"/>
        <w:sz w:val="16"/>
        <w:szCs w:val="16"/>
      </w:rPr>
      <w:fldChar w:fldCharType="begin"/>
    </w:r>
    <w:r w:rsidRPr="008A6EA0">
      <w:rPr>
        <w:rStyle w:val="a3"/>
        <w:rFonts w:ascii="Arial" w:hAnsi="Arial" w:cs="Arial"/>
        <w:sz w:val="16"/>
        <w:szCs w:val="16"/>
      </w:rPr>
      <w:instrText xml:space="preserve"> PAGE </w:instrText>
    </w:r>
    <w:r w:rsidR="003D3FA9" w:rsidRPr="008A6EA0">
      <w:rPr>
        <w:rStyle w:val="a3"/>
        <w:rFonts w:ascii="Arial" w:hAnsi="Arial" w:cs="Arial"/>
        <w:sz w:val="16"/>
        <w:szCs w:val="16"/>
      </w:rPr>
      <w:fldChar w:fldCharType="separate"/>
    </w:r>
    <w:r w:rsidR="005143F4">
      <w:rPr>
        <w:rStyle w:val="a3"/>
        <w:rFonts w:ascii="Arial" w:hAnsi="Arial" w:cs="Arial"/>
        <w:noProof/>
        <w:sz w:val="16"/>
        <w:szCs w:val="16"/>
      </w:rPr>
      <w:t>1</w:t>
    </w:r>
    <w:r w:rsidR="003D3FA9" w:rsidRPr="008A6EA0">
      <w:rPr>
        <w:rStyle w:val="a3"/>
        <w:rFonts w:ascii="Arial" w:hAnsi="Arial" w:cs="Arial"/>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A9" w:rsidRPr="00DE0AA3" w:rsidRDefault="00617EA9" w:rsidP="005143F4">
    <w:pPr>
      <w:tabs>
        <w:tab w:val="right" w:pos="10205"/>
      </w:tabs>
      <w:spacing w:beforeLines="40"/>
      <w:rPr>
        <w:rFonts w:ascii="Arial" w:eastAsia="黑体" w:hAnsi="Arial" w:cs="Arial"/>
        <w:sz w:val="16"/>
        <w:szCs w:val="16"/>
      </w:rPr>
    </w:pPr>
    <w:r>
      <w:rPr>
        <w:rFonts w:ascii="Arial" w:eastAsia="黑体" w:hAnsi="Arial" w:cs="Arial" w:hint="eastAsia"/>
        <w:sz w:val="16"/>
        <w:szCs w:val="16"/>
      </w:rPr>
      <w:t>本公司具备证券投资咨询业务资格，</w:t>
    </w:r>
    <w:r w:rsidRPr="00DE0AA3">
      <w:rPr>
        <w:rFonts w:ascii="Arial" w:eastAsia="黑体" w:hAnsi="Arial" w:cs="Arial" w:hint="eastAsia"/>
        <w:sz w:val="16"/>
        <w:szCs w:val="16"/>
      </w:rPr>
      <w:t>请务必阅读最后一页免责声明</w:t>
    </w:r>
    <w:r w:rsidR="003D3FA9" w:rsidRPr="003D3FA9">
      <w:rPr>
        <w:noProof/>
      </w:rPr>
      <w:pict>
        <v:rect id="Rectangle 7" o:spid="_x0000_s2050" style="position:absolute;left:0;text-align:left;margin-left:-47.25pt;margin-top:-3.2pt;width:603.75pt;height:24.9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" fillcolor="#ccdcea" stroked="f"/>
      </w:pict>
    </w:r>
    <w:r w:rsidRPr="00DE0AA3">
      <w:rPr>
        <w:rFonts w:ascii="Arial" w:eastAsia="黑体" w:hAnsi="Arial" w:cs="Arial"/>
        <w:sz w:val="16"/>
        <w:szCs w:val="16"/>
      </w:rPr>
      <w:tab/>
    </w:r>
    <w:r w:rsidR="003D3FA9" w:rsidRPr="00DE0AA3">
      <w:rPr>
        <w:rStyle w:val="a3"/>
        <w:rFonts w:ascii="Arial" w:eastAsia="黑体" w:hAnsi="Arial" w:cs="Arial"/>
        <w:sz w:val="16"/>
        <w:szCs w:val="16"/>
      </w:rPr>
      <w:fldChar w:fldCharType="begin"/>
    </w:r>
    <w:r w:rsidRPr="00DE0AA3">
      <w:rPr>
        <w:rStyle w:val="a3"/>
        <w:rFonts w:ascii="Arial" w:eastAsia="黑体" w:hAnsi="Arial" w:cs="Arial"/>
        <w:sz w:val="16"/>
        <w:szCs w:val="16"/>
      </w:rPr>
      <w:instrText xml:space="preserve"> PAGE </w:instrText>
    </w:r>
    <w:r w:rsidR="003D3FA9" w:rsidRPr="00DE0AA3">
      <w:rPr>
        <w:rStyle w:val="a3"/>
        <w:rFonts w:ascii="Arial" w:eastAsia="黑体" w:hAnsi="Arial" w:cs="Arial"/>
        <w:sz w:val="16"/>
        <w:szCs w:val="16"/>
      </w:rPr>
      <w:fldChar w:fldCharType="separate"/>
    </w:r>
    <w:r w:rsidR="005143F4">
      <w:rPr>
        <w:rStyle w:val="a3"/>
        <w:rFonts w:ascii="Arial" w:eastAsia="黑体" w:hAnsi="Arial" w:cs="Arial"/>
        <w:noProof/>
        <w:sz w:val="16"/>
        <w:szCs w:val="16"/>
      </w:rPr>
      <w:t>39</w:t>
    </w:r>
    <w:r w:rsidR="003D3FA9" w:rsidRPr="00DE0AA3">
      <w:rPr>
        <w:rStyle w:val="a3"/>
        <w:rFonts w:ascii="Arial" w:eastAsia="黑体" w:hAnsi="Arial" w:cs="Arial"/>
        <w:sz w:val="16"/>
        <w:szCs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A9" w:rsidRPr="0004064B" w:rsidRDefault="003D3FA9" w:rsidP="005143F4">
    <w:pPr>
      <w:pStyle w:val="af1"/>
      <w:pBdr>
        <w:top w:val="none" w:sz="0" w:space="0" w:color="auto"/>
      </w:pBdr>
      <w:tabs>
        <w:tab w:val="right" w:pos="10205"/>
      </w:tabs>
      <w:snapToGrid/>
      <w:spacing w:beforeLines="20"/>
      <w:rPr>
        <w:sz w:val="21"/>
        <w:szCs w:val="21"/>
      </w:rPr>
    </w:pPr>
    <w:r w:rsidRPr="003D3FA9">
      <w:rPr>
        <w:noProof/>
      </w:rPr>
      <w:pict>
        <v:rect id="Rectangle 10" o:spid="_x0000_s2049" style="position:absolute;margin-left:-43.5pt;margin-top:-3.95pt;width:603.75pt;height:24.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" fillcolor="#ccdcea" stroked="f"/>
      </w:pict>
    </w:r>
    <w:r w:rsidR="00617EA9" w:rsidRPr="0004064B">
      <w:rPr>
        <w:rFonts w:hint="eastAsia"/>
        <w:sz w:val="21"/>
        <w:szCs w:val="21"/>
      </w:rPr>
      <w:t>请务必阅读最后一页免责声明</w:t>
    </w:r>
    <w:r w:rsidR="00617EA9" w:rsidRPr="0004064B">
      <w:rPr>
        <w:sz w:val="21"/>
        <w:szCs w:val="21"/>
      </w:rPr>
      <w:tab/>
    </w:r>
    <w:r w:rsidRPr="00034831">
      <w:rPr>
        <w:rStyle w:val="a3"/>
        <w:rFonts w:ascii="Arial" w:hAnsi="Arial" w:cs="Arial"/>
        <w:sz w:val="21"/>
        <w:szCs w:val="21"/>
      </w:rPr>
      <w:fldChar w:fldCharType="begin"/>
    </w:r>
    <w:r w:rsidR="00617EA9" w:rsidRPr="00034831">
      <w:rPr>
        <w:rStyle w:val="a3"/>
        <w:rFonts w:ascii="Arial" w:hAnsi="Arial" w:cs="Arial"/>
        <w:sz w:val="21"/>
        <w:szCs w:val="21"/>
      </w:rPr>
      <w:instrText xml:space="preserve"> PAGE </w:instrText>
    </w:r>
    <w:r w:rsidRPr="00034831">
      <w:rPr>
        <w:rStyle w:val="a3"/>
        <w:rFonts w:ascii="Arial" w:hAnsi="Arial" w:cs="Arial"/>
        <w:sz w:val="21"/>
        <w:szCs w:val="21"/>
      </w:rPr>
      <w:fldChar w:fldCharType="separate"/>
    </w:r>
    <w:r w:rsidR="00617EA9">
      <w:rPr>
        <w:rStyle w:val="a3"/>
        <w:rFonts w:ascii="Arial" w:hAnsi="Arial" w:cs="Arial"/>
        <w:noProof/>
        <w:sz w:val="21"/>
        <w:szCs w:val="21"/>
      </w:rPr>
      <w:t>29</w:t>
    </w:r>
    <w:r w:rsidRPr="00034831">
      <w:rPr>
        <w:rStyle w:val="a3"/>
        <w:rFonts w:ascii="Arial" w:hAnsi="Arial" w:cs="Arial"/>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E49" w:rsidRDefault="00E36E49">
      <w:r>
        <w:separator/>
      </w:r>
    </w:p>
  </w:footnote>
  <w:footnote w:type="continuationSeparator" w:id="0">
    <w:p w:rsidR="00E36E49" w:rsidRDefault="00E36E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A9" w:rsidRDefault="00617EA9">
    <w:pPr>
      <w:pStyle w:val="afe"/>
      <w:jc w:val="both"/>
      <w:rPr>
        <w:rFonts w:ascii="黑体" w:eastAsia="黑体"/>
        <w:b w:val="0"/>
        <w:sz w:val="21"/>
        <w:szCs w:val="21"/>
      </w:rPr>
    </w:pPr>
    <w:r>
      <w:rPr>
        <w:noProof/>
        <w:sz w:val="30"/>
      </w:rPr>
      <w:drawing>
        <wp:anchor distT="0" distB="0" distL="114300" distR="114300" simplePos="0" relativeHeight="251655168" behindDoc="0" locked="0" layoutInCell="1" allowOverlap="1">
          <wp:simplePos x="0" y="0"/>
          <wp:positionH relativeFrom="page">
            <wp:posOffset>534035</wp:posOffset>
          </wp:positionH>
          <wp:positionV relativeFrom="page">
            <wp:posOffset>398145</wp:posOffset>
          </wp:positionV>
          <wp:extent cx="1346200" cy="370840"/>
          <wp:effectExtent l="0" t="0" r="6350" b="0"/>
          <wp:wrapNone/>
          <wp:docPr id="3" name="图片 2" descr="民生组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民生组合0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0" cy="370840"/>
                  </a:xfrm>
                  <a:prstGeom prst="rect">
                    <a:avLst/>
                  </a:prstGeom>
                  <a:noFill/>
                </pic:spPr>
              </pic:pic>
            </a:graphicData>
          </a:graphic>
        </wp:anchor>
      </w:drawing>
    </w:r>
  </w:p>
  <w:p w:rsidR="00617EA9" w:rsidRPr="003241A5" w:rsidRDefault="00617EA9" w:rsidP="003241A5">
    <w:pPr>
      <w:pStyle w:val="afe"/>
      <w:pBdr>
        <w:bottom w:val="single" w:sz="12" w:space="1" w:color="005096"/>
      </w:pBdr>
      <w:tabs>
        <w:tab w:val="clear" w:pos="4153"/>
      </w:tabs>
      <w:rPr>
        <w:sz w:val="24"/>
        <w:szCs w:val="24"/>
      </w:rPr>
    </w:pPr>
    <w:r>
      <w:rPr>
        <w:rFonts w:hint="eastAsia"/>
        <w:sz w:val="24"/>
        <w:szCs w:val="24"/>
      </w:rPr>
      <w:t>宏观研究参考</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A9" w:rsidRDefault="00617EA9">
    <w:pPr>
      <w:pStyle w:val="afe"/>
      <w:tabs>
        <w:tab w:val="left" w:pos="6096"/>
      </w:tabs>
    </w:pPr>
    <w:r>
      <w:rPr>
        <w:noProof/>
      </w:rPr>
      <w:drawing>
        <wp:anchor distT="0" distB="0" distL="114300" distR="114300" simplePos="0" relativeHeight="251658240" behindDoc="1" locked="0" layoutInCell="1" allowOverlap="1">
          <wp:simplePos x="0" y="0"/>
          <wp:positionH relativeFrom="column">
            <wp:posOffset>-552450</wp:posOffset>
          </wp:positionH>
          <wp:positionV relativeFrom="paragraph">
            <wp:posOffset>756920</wp:posOffset>
          </wp:positionV>
          <wp:extent cx="7867650" cy="1394460"/>
          <wp:effectExtent l="0" t="0" r="0" b="0"/>
          <wp:wrapNone/>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0" cy="1394460"/>
                  </a:xfrm>
                  <a:prstGeom prst="rect">
                    <a:avLst/>
                  </a:prstGeom>
                  <a:noFill/>
                </pic:spPr>
              </pic:pic>
            </a:graphicData>
          </a:graphic>
        </wp:anchor>
      </w:drawing>
    </w:r>
    <w:r>
      <w:rPr>
        <w:noProof/>
      </w:rPr>
      <w:drawing>
        <wp:anchor distT="0" distB="0" distL="114300" distR="114300" simplePos="0" relativeHeight="251656192" behindDoc="0" locked="0" layoutInCell="1" allowOverlap="1">
          <wp:simplePos x="0" y="0"/>
          <wp:positionH relativeFrom="page">
            <wp:posOffset>4874260</wp:posOffset>
          </wp:positionH>
          <wp:positionV relativeFrom="page">
            <wp:posOffset>493395</wp:posOffset>
          </wp:positionV>
          <wp:extent cx="2120900" cy="584200"/>
          <wp:effectExtent l="0" t="0" r="0" b="6350"/>
          <wp:wrapNone/>
          <wp:docPr id="16" name="图片 19" descr="民生组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民生组合0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58420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A9" w:rsidRDefault="00617EA9">
    <w:pPr>
      <w:pStyle w:val="afe"/>
      <w:jc w:val="both"/>
      <w:rPr>
        <w:rFonts w:ascii="黑体" w:eastAsia="黑体"/>
        <w:b w:val="0"/>
        <w:sz w:val="21"/>
        <w:szCs w:val="21"/>
      </w:rPr>
    </w:pPr>
    <w:r>
      <w:rPr>
        <w:noProof/>
        <w:sz w:val="30"/>
      </w:rPr>
      <w:drawing>
        <wp:anchor distT="0" distB="0" distL="114300" distR="114300" simplePos="0" relativeHeight="251653120" behindDoc="0" locked="0" layoutInCell="1" allowOverlap="1">
          <wp:simplePos x="0" y="0"/>
          <wp:positionH relativeFrom="page">
            <wp:posOffset>534035</wp:posOffset>
          </wp:positionH>
          <wp:positionV relativeFrom="page">
            <wp:posOffset>350520</wp:posOffset>
          </wp:positionV>
          <wp:extent cx="1346200" cy="370840"/>
          <wp:effectExtent l="0" t="0" r="6350" b="0"/>
          <wp:wrapNone/>
          <wp:docPr id="6" name="图片 6" descr="民生组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民生组合0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0" cy="370840"/>
                  </a:xfrm>
                  <a:prstGeom prst="rect">
                    <a:avLst/>
                  </a:prstGeom>
                  <a:noFill/>
                </pic:spPr>
              </pic:pic>
            </a:graphicData>
          </a:graphic>
        </wp:anchor>
      </w:drawing>
    </w:r>
  </w:p>
  <w:p w:rsidR="00617EA9" w:rsidRPr="006C61F2" w:rsidRDefault="00617EA9" w:rsidP="00CA6961">
    <w:pPr>
      <w:pStyle w:val="afe"/>
      <w:pBdr>
        <w:bottom w:val="single" w:sz="12" w:space="0" w:color="005096"/>
      </w:pBdr>
      <w:tabs>
        <w:tab w:val="clear" w:pos="4153"/>
      </w:tabs>
      <w:rPr>
        <w:sz w:val="24"/>
        <w:szCs w:val="24"/>
      </w:rPr>
    </w:pPr>
    <w:r>
      <w:rPr>
        <w:rFonts w:ascii="楷体_GB2312" w:hAnsi="Arial" w:cs="Arial" w:hint="eastAsia"/>
        <w:sz w:val="20"/>
        <w:szCs w:val="20"/>
      </w:rPr>
      <w:t>宏观研究参考</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A9" w:rsidRDefault="00617EA9">
    <w:pPr>
      <w:pStyle w:val="afe"/>
      <w:tabs>
        <w:tab w:val="left" w:pos="6096"/>
      </w:tabs>
    </w:pPr>
    <w:r>
      <w:rPr>
        <w:noProof/>
      </w:rPr>
      <w:drawing>
        <wp:anchor distT="0" distB="0" distL="114300" distR="114300" simplePos="0" relativeHeight="251657216" behindDoc="1" locked="0" layoutInCell="1" allowOverlap="1">
          <wp:simplePos x="0" y="0"/>
          <wp:positionH relativeFrom="column">
            <wp:posOffset>-552450</wp:posOffset>
          </wp:positionH>
          <wp:positionV relativeFrom="paragraph">
            <wp:posOffset>756920</wp:posOffset>
          </wp:positionV>
          <wp:extent cx="7867650" cy="139446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0" cy="1394460"/>
                  </a:xfrm>
                  <a:prstGeom prst="rect">
                    <a:avLst/>
                  </a:prstGeom>
                  <a:noFill/>
                </pic:spPr>
              </pic:pic>
            </a:graphicData>
          </a:graphic>
        </wp:anchor>
      </w:drawing>
    </w:r>
    <w:r>
      <w:rPr>
        <w:noProof/>
      </w:rPr>
      <w:drawing>
        <wp:anchor distT="0" distB="0" distL="114300" distR="114300" simplePos="0" relativeHeight="251654144" behindDoc="0" locked="0" layoutInCell="1" allowOverlap="1">
          <wp:simplePos x="0" y="0"/>
          <wp:positionH relativeFrom="page">
            <wp:posOffset>4874260</wp:posOffset>
          </wp:positionH>
          <wp:positionV relativeFrom="page">
            <wp:posOffset>493395</wp:posOffset>
          </wp:positionV>
          <wp:extent cx="2120900" cy="584200"/>
          <wp:effectExtent l="0" t="0" r="0" b="6350"/>
          <wp:wrapNone/>
          <wp:docPr id="9" name="图片 9" descr="民生组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民生组合0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5842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9.4pt;height:17.3pt;visibility:visible;mso-wrap-style:square" o:bullet="t">
        <v:imagedata r:id="rId1" o:title=""/>
      </v:shape>
    </w:pict>
  </w:numPicBullet>
  <w:abstractNum w:abstractNumId="0">
    <w:nsid w:val="0000000A"/>
    <w:multiLevelType w:val="multilevel"/>
    <w:tmpl w:val="0000000A"/>
    <w:lvl w:ilvl="0">
      <w:start w:val="1"/>
      <w:numFmt w:val="upperRoman"/>
      <w:lvlText w:val="第 %1 条"/>
      <w:lvlJc w:val="left"/>
      <w:pPr>
        <w:tabs>
          <w:tab w:val="num" w:pos="1440"/>
        </w:tabs>
      </w:pPr>
      <w:rPr>
        <w:rFonts w:cs="Times New Roman"/>
      </w:rPr>
    </w:lvl>
    <w:lvl w:ilvl="1">
      <w:start w:val="1"/>
      <w:numFmt w:val="decimalZero"/>
      <w:isLgl/>
      <w:lvlText w:val="节 %1.%2"/>
      <w:lvlJc w:val="left"/>
      <w:pPr>
        <w:tabs>
          <w:tab w:val="num" w:pos="72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
    <w:nsid w:val="01030D18"/>
    <w:multiLevelType w:val="hybridMultilevel"/>
    <w:tmpl w:val="13085612"/>
    <w:lvl w:ilvl="0" w:tplc="625A9A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935A5F"/>
    <w:multiLevelType w:val="hybridMultilevel"/>
    <w:tmpl w:val="458EE920"/>
    <w:lvl w:ilvl="0" w:tplc="E78EB62C">
      <w:start w:val="1"/>
      <w:numFmt w:val="decimal"/>
      <w:lvlText w:val="%1、"/>
      <w:lvlJc w:val="left"/>
      <w:pPr>
        <w:ind w:left="360" w:hanging="360"/>
      </w:pPr>
      <w:rPr>
        <w:rFonts w:ascii="Arial" w:hAnsi="Arial"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075D22E2"/>
    <w:multiLevelType w:val="hybridMultilevel"/>
    <w:tmpl w:val="4E14D6A6"/>
    <w:lvl w:ilvl="0" w:tplc="77E88FD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8E57881"/>
    <w:multiLevelType w:val="hybridMultilevel"/>
    <w:tmpl w:val="93D4C470"/>
    <w:lvl w:ilvl="0" w:tplc="A7B0B07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004142"/>
    <w:multiLevelType w:val="hybridMultilevel"/>
    <w:tmpl w:val="85243456"/>
    <w:lvl w:ilvl="0" w:tplc="625A9A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48E46D3"/>
    <w:multiLevelType w:val="hybridMultilevel"/>
    <w:tmpl w:val="E536033C"/>
    <w:lvl w:ilvl="0" w:tplc="DE02A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786AB1"/>
    <w:multiLevelType w:val="hybridMultilevel"/>
    <w:tmpl w:val="035C332E"/>
    <w:lvl w:ilvl="0" w:tplc="817AAF5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9B9065D"/>
    <w:multiLevelType w:val="hybridMultilevel"/>
    <w:tmpl w:val="A31AB334"/>
    <w:lvl w:ilvl="0" w:tplc="9DC07680">
      <w:start w:val="1"/>
      <w:numFmt w:val="japaneseCounting"/>
      <w:lvlText w:val="（%1）"/>
      <w:lvlJc w:val="left"/>
      <w:pPr>
        <w:ind w:left="720" w:hanging="720"/>
      </w:pPr>
      <w:rPr>
        <w:rFonts w:hint="default"/>
      </w:rPr>
    </w:lvl>
    <w:lvl w:ilvl="1" w:tplc="80ACC9F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D661B4B"/>
    <w:multiLevelType w:val="hybridMultilevel"/>
    <w:tmpl w:val="69C6312E"/>
    <w:lvl w:ilvl="0" w:tplc="12D27F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1D77CCF"/>
    <w:multiLevelType w:val="hybridMultilevel"/>
    <w:tmpl w:val="5686E762"/>
    <w:lvl w:ilvl="0" w:tplc="4D96C1A4">
      <w:start w:val="1"/>
      <w:numFmt w:val="decimal"/>
      <w:lvlText w:val="%1、"/>
      <w:lvlJc w:val="left"/>
      <w:pPr>
        <w:ind w:left="1157" w:hanging="735"/>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1">
    <w:nsid w:val="2AAC3442"/>
    <w:multiLevelType w:val="hybridMultilevel"/>
    <w:tmpl w:val="28F0DBF0"/>
    <w:lvl w:ilvl="0" w:tplc="B582AD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D9F658F"/>
    <w:multiLevelType w:val="hybridMultilevel"/>
    <w:tmpl w:val="C8AAC424"/>
    <w:lvl w:ilvl="0" w:tplc="85B61B8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FA46991"/>
    <w:multiLevelType w:val="hybridMultilevel"/>
    <w:tmpl w:val="67BE80FA"/>
    <w:lvl w:ilvl="0" w:tplc="04090003">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4">
    <w:nsid w:val="39E83102"/>
    <w:multiLevelType w:val="hybridMultilevel"/>
    <w:tmpl w:val="3884AAEC"/>
    <w:lvl w:ilvl="0" w:tplc="32400B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C567EA6"/>
    <w:multiLevelType w:val="hybridMultilevel"/>
    <w:tmpl w:val="74A68C34"/>
    <w:lvl w:ilvl="0" w:tplc="625A9A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D8856C9"/>
    <w:multiLevelType w:val="hybridMultilevel"/>
    <w:tmpl w:val="39D0501C"/>
    <w:lvl w:ilvl="0" w:tplc="2D6AAC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FFD0AFD"/>
    <w:multiLevelType w:val="hybridMultilevel"/>
    <w:tmpl w:val="DEAE322E"/>
    <w:lvl w:ilvl="0" w:tplc="5FE2E95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1022F6D"/>
    <w:multiLevelType w:val="hybridMultilevel"/>
    <w:tmpl w:val="4CA6F4DE"/>
    <w:lvl w:ilvl="0" w:tplc="EEDE7FA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5230815"/>
    <w:multiLevelType w:val="hybridMultilevel"/>
    <w:tmpl w:val="11AC5242"/>
    <w:lvl w:ilvl="0" w:tplc="2E1E8844">
      <w:start w:val="1"/>
      <w:numFmt w:val="decimal"/>
      <w:lvlText w:val="%1、"/>
      <w:lvlJc w:val="left"/>
      <w:pPr>
        <w:ind w:left="1142" w:hanging="72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0">
    <w:nsid w:val="47485BA1"/>
    <w:multiLevelType w:val="hybridMultilevel"/>
    <w:tmpl w:val="84B0C77E"/>
    <w:lvl w:ilvl="0" w:tplc="0C9CFE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5B7168B"/>
    <w:multiLevelType w:val="hybridMultilevel"/>
    <w:tmpl w:val="B394B8F2"/>
    <w:lvl w:ilvl="0" w:tplc="7270BA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B6B6E51"/>
    <w:multiLevelType w:val="hybridMultilevel"/>
    <w:tmpl w:val="EBCA584A"/>
    <w:lvl w:ilvl="0" w:tplc="7252269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C7B3637"/>
    <w:multiLevelType w:val="hybridMultilevel"/>
    <w:tmpl w:val="A1165052"/>
    <w:lvl w:ilvl="0" w:tplc="A7B0B07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0F3150B"/>
    <w:multiLevelType w:val="hybridMultilevel"/>
    <w:tmpl w:val="077C916C"/>
    <w:lvl w:ilvl="0" w:tplc="735C2C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2FC26C3"/>
    <w:multiLevelType w:val="hybridMultilevel"/>
    <w:tmpl w:val="7180ADA2"/>
    <w:lvl w:ilvl="0" w:tplc="684220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3F50C03"/>
    <w:multiLevelType w:val="multilevel"/>
    <w:tmpl w:val="E9A2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CC1617"/>
    <w:multiLevelType w:val="hybridMultilevel"/>
    <w:tmpl w:val="EC3C741E"/>
    <w:lvl w:ilvl="0" w:tplc="ACB66E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80B4B8B"/>
    <w:multiLevelType w:val="hybridMultilevel"/>
    <w:tmpl w:val="5D8AE9E2"/>
    <w:lvl w:ilvl="0" w:tplc="D5580D6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83A3E8F"/>
    <w:multiLevelType w:val="hybridMultilevel"/>
    <w:tmpl w:val="9CE468EA"/>
    <w:lvl w:ilvl="0" w:tplc="EC2CD4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4AF2937"/>
    <w:multiLevelType w:val="hybridMultilevel"/>
    <w:tmpl w:val="FC108BB4"/>
    <w:lvl w:ilvl="0" w:tplc="735067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BE0076F"/>
    <w:multiLevelType w:val="hybridMultilevel"/>
    <w:tmpl w:val="93721650"/>
    <w:lvl w:ilvl="0" w:tplc="3C5E5A52">
      <w:start w:val="1"/>
      <w:numFmt w:val="japaneseCounting"/>
      <w:lvlText w:val="%1、"/>
      <w:lvlJc w:val="left"/>
      <w:pPr>
        <w:ind w:left="480" w:hanging="4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2">
    <w:nsid w:val="7E293A2E"/>
    <w:multiLevelType w:val="hybridMultilevel"/>
    <w:tmpl w:val="603EA222"/>
    <w:lvl w:ilvl="0" w:tplc="C72C74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F385C3D"/>
    <w:multiLevelType w:val="hybridMultilevel"/>
    <w:tmpl w:val="195C64E6"/>
    <w:lvl w:ilvl="0" w:tplc="625A9A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F3F7778"/>
    <w:multiLevelType w:val="hybridMultilevel"/>
    <w:tmpl w:val="9E5A71DC"/>
    <w:lvl w:ilvl="0" w:tplc="6310DC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1"/>
  </w:num>
  <w:num w:numId="3">
    <w:abstractNumId w:val="26"/>
  </w:num>
  <w:num w:numId="4">
    <w:abstractNumId w:val="2"/>
  </w:num>
  <w:num w:numId="5">
    <w:abstractNumId w:val="19"/>
  </w:num>
  <w:num w:numId="6">
    <w:abstractNumId w:val="10"/>
  </w:num>
  <w:num w:numId="7">
    <w:abstractNumId w:val="13"/>
  </w:num>
  <w:num w:numId="8">
    <w:abstractNumId w:val="18"/>
  </w:num>
  <w:num w:numId="9">
    <w:abstractNumId w:val="24"/>
  </w:num>
  <w:num w:numId="10">
    <w:abstractNumId w:val="16"/>
  </w:num>
  <w:num w:numId="11">
    <w:abstractNumId w:val="6"/>
  </w:num>
  <w:num w:numId="12">
    <w:abstractNumId w:val="17"/>
  </w:num>
  <w:num w:numId="13">
    <w:abstractNumId w:val="3"/>
  </w:num>
  <w:num w:numId="14">
    <w:abstractNumId w:val="8"/>
  </w:num>
  <w:num w:numId="15">
    <w:abstractNumId w:val="20"/>
  </w:num>
  <w:num w:numId="16">
    <w:abstractNumId w:val="21"/>
  </w:num>
  <w:num w:numId="17">
    <w:abstractNumId w:val="34"/>
  </w:num>
  <w:num w:numId="18">
    <w:abstractNumId w:val="27"/>
  </w:num>
  <w:num w:numId="19">
    <w:abstractNumId w:val="11"/>
  </w:num>
  <w:num w:numId="20">
    <w:abstractNumId w:val="25"/>
  </w:num>
  <w:num w:numId="21">
    <w:abstractNumId w:val="12"/>
  </w:num>
  <w:num w:numId="22">
    <w:abstractNumId w:val="29"/>
  </w:num>
  <w:num w:numId="23">
    <w:abstractNumId w:val="14"/>
  </w:num>
  <w:num w:numId="24">
    <w:abstractNumId w:val="7"/>
  </w:num>
  <w:num w:numId="25">
    <w:abstractNumId w:val="30"/>
  </w:num>
  <w:num w:numId="26">
    <w:abstractNumId w:val="9"/>
  </w:num>
  <w:num w:numId="27">
    <w:abstractNumId w:val="22"/>
  </w:num>
  <w:num w:numId="28">
    <w:abstractNumId w:val="32"/>
  </w:num>
  <w:num w:numId="29">
    <w:abstractNumId w:val="28"/>
  </w:num>
  <w:num w:numId="30">
    <w:abstractNumId w:val="1"/>
  </w:num>
  <w:num w:numId="31">
    <w:abstractNumId w:val="23"/>
  </w:num>
  <w:num w:numId="32">
    <w:abstractNumId w:val="33"/>
  </w:num>
  <w:num w:numId="33">
    <w:abstractNumId w:val="15"/>
  </w:num>
  <w:num w:numId="34">
    <w:abstractNumId w:val="5"/>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proofState w:grammar="clean"/>
  <w:stylePaneFormatFilter w:val="1802"/>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717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072"/>
    <w:rsid w:val="0000054A"/>
    <w:rsid w:val="00000B1D"/>
    <w:rsid w:val="000026BE"/>
    <w:rsid w:val="00002B5B"/>
    <w:rsid w:val="00003533"/>
    <w:rsid w:val="000042BE"/>
    <w:rsid w:val="00004479"/>
    <w:rsid w:val="000048BB"/>
    <w:rsid w:val="000054D6"/>
    <w:rsid w:val="00005D3E"/>
    <w:rsid w:val="0000604A"/>
    <w:rsid w:val="000061E9"/>
    <w:rsid w:val="000072C3"/>
    <w:rsid w:val="00007E80"/>
    <w:rsid w:val="0001007E"/>
    <w:rsid w:val="00011842"/>
    <w:rsid w:val="00011B76"/>
    <w:rsid w:val="00011F06"/>
    <w:rsid w:val="00012068"/>
    <w:rsid w:val="00012299"/>
    <w:rsid w:val="000132E1"/>
    <w:rsid w:val="000133FF"/>
    <w:rsid w:val="0001453C"/>
    <w:rsid w:val="000168C3"/>
    <w:rsid w:val="000174DE"/>
    <w:rsid w:val="00020389"/>
    <w:rsid w:val="00020883"/>
    <w:rsid w:val="00020E99"/>
    <w:rsid w:val="0002187D"/>
    <w:rsid w:val="0002198F"/>
    <w:rsid w:val="00021B98"/>
    <w:rsid w:val="000222AF"/>
    <w:rsid w:val="00022C2B"/>
    <w:rsid w:val="000233A2"/>
    <w:rsid w:val="00024538"/>
    <w:rsid w:val="00024B32"/>
    <w:rsid w:val="00025827"/>
    <w:rsid w:val="000262CC"/>
    <w:rsid w:val="00027A1C"/>
    <w:rsid w:val="00030056"/>
    <w:rsid w:val="00031057"/>
    <w:rsid w:val="000316F1"/>
    <w:rsid w:val="00031832"/>
    <w:rsid w:val="00033F16"/>
    <w:rsid w:val="00034554"/>
    <w:rsid w:val="000345B0"/>
    <w:rsid w:val="00034831"/>
    <w:rsid w:val="000349A3"/>
    <w:rsid w:val="000372B1"/>
    <w:rsid w:val="00037700"/>
    <w:rsid w:val="0004064B"/>
    <w:rsid w:val="00040B43"/>
    <w:rsid w:val="000417C1"/>
    <w:rsid w:val="00042B0C"/>
    <w:rsid w:val="00042CA5"/>
    <w:rsid w:val="000434BB"/>
    <w:rsid w:val="00043F26"/>
    <w:rsid w:val="000442B3"/>
    <w:rsid w:val="00045347"/>
    <w:rsid w:val="00046FE3"/>
    <w:rsid w:val="00047962"/>
    <w:rsid w:val="0005003B"/>
    <w:rsid w:val="00050B51"/>
    <w:rsid w:val="00050F2D"/>
    <w:rsid w:val="00050FEB"/>
    <w:rsid w:val="00051279"/>
    <w:rsid w:val="00051A09"/>
    <w:rsid w:val="00051DED"/>
    <w:rsid w:val="0005234C"/>
    <w:rsid w:val="0005250D"/>
    <w:rsid w:val="00053CC5"/>
    <w:rsid w:val="0005413D"/>
    <w:rsid w:val="00054DB1"/>
    <w:rsid w:val="00055436"/>
    <w:rsid w:val="000562CF"/>
    <w:rsid w:val="000569A3"/>
    <w:rsid w:val="00057234"/>
    <w:rsid w:val="000616D9"/>
    <w:rsid w:val="00061F1A"/>
    <w:rsid w:val="000620C9"/>
    <w:rsid w:val="000624BC"/>
    <w:rsid w:val="0006467D"/>
    <w:rsid w:val="00066431"/>
    <w:rsid w:val="00066AB1"/>
    <w:rsid w:val="0007031D"/>
    <w:rsid w:val="00070427"/>
    <w:rsid w:val="00071372"/>
    <w:rsid w:val="00071578"/>
    <w:rsid w:val="00071F7D"/>
    <w:rsid w:val="00074C31"/>
    <w:rsid w:val="0007508E"/>
    <w:rsid w:val="00075ECF"/>
    <w:rsid w:val="000763B3"/>
    <w:rsid w:val="0007651D"/>
    <w:rsid w:val="00077230"/>
    <w:rsid w:val="0007794F"/>
    <w:rsid w:val="00077E3D"/>
    <w:rsid w:val="000817FA"/>
    <w:rsid w:val="00081EE2"/>
    <w:rsid w:val="00082A6A"/>
    <w:rsid w:val="000837F3"/>
    <w:rsid w:val="00084063"/>
    <w:rsid w:val="000840B9"/>
    <w:rsid w:val="00085ADC"/>
    <w:rsid w:val="00086000"/>
    <w:rsid w:val="00086013"/>
    <w:rsid w:val="00086667"/>
    <w:rsid w:val="00087394"/>
    <w:rsid w:val="00087E63"/>
    <w:rsid w:val="00090450"/>
    <w:rsid w:val="00092053"/>
    <w:rsid w:val="0009273B"/>
    <w:rsid w:val="00093211"/>
    <w:rsid w:val="00094911"/>
    <w:rsid w:val="0009591F"/>
    <w:rsid w:val="000966E6"/>
    <w:rsid w:val="000A081F"/>
    <w:rsid w:val="000A0939"/>
    <w:rsid w:val="000A0A38"/>
    <w:rsid w:val="000A0C22"/>
    <w:rsid w:val="000A1042"/>
    <w:rsid w:val="000A1B8C"/>
    <w:rsid w:val="000A39CE"/>
    <w:rsid w:val="000A3F6A"/>
    <w:rsid w:val="000A595E"/>
    <w:rsid w:val="000A5F16"/>
    <w:rsid w:val="000A62AC"/>
    <w:rsid w:val="000A66E6"/>
    <w:rsid w:val="000A6A5F"/>
    <w:rsid w:val="000A6D9D"/>
    <w:rsid w:val="000A79ED"/>
    <w:rsid w:val="000B04C6"/>
    <w:rsid w:val="000B0DF6"/>
    <w:rsid w:val="000B3F8B"/>
    <w:rsid w:val="000B49CD"/>
    <w:rsid w:val="000B5400"/>
    <w:rsid w:val="000B6268"/>
    <w:rsid w:val="000C0891"/>
    <w:rsid w:val="000C0C5A"/>
    <w:rsid w:val="000C1A5C"/>
    <w:rsid w:val="000C228E"/>
    <w:rsid w:val="000C265C"/>
    <w:rsid w:val="000C2F80"/>
    <w:rsid w:val="000C325E"/>
    <w:rsid w:val="000C3A19"/>
    <w:rsid w:val="000C3F17"/>
    <w:rsid w:val="000C4DF3"/>
    <w:rsid w:val="000C5E8F"/>
    <w:rsid w:val="000C5ED1"/>
    <w:rsid w:val="000C77E6"/>
    <w:rsid w:val="000C7872"/>
    <w:rsid w:val="000C7E54"/>
    <w:rsid w:val="000D073B"/>
    <w:rsid w:val="000D0BCE"/>
    <w:rsid w:val="000D21ED"/>
    <w:rsid w:val="000D242F"/>
    <w:rsid w:val="000D3EB3"/>
    <w:rsid w:val="000D43D1"/>
    <w:rsid w:val="000D4516"/>
    <w:rsid w:val="000D52E0"/>
    <w:rsid w:val="000D644A"/>
    <w:rsid w:val="000D68C0"/>
    <w:rsid w:val="000D7B11"/>
    <w:rsid w:val="000D7B4B"/>
    <w:rsid w:val="000D7E35"/>
    <w:rsid w:val="000E0BCB"/>
    <w:rsid w:val="000E1186"/>
    <w:rsid w:val="000E11D4"/>
    <w:rsid w:val="000E2820"/>
    <w:rsid w:val="000E32F2"/>
    <w:rsid w:val="000E566D"/>
    <w:rsid w:val="000E57FE"/>
    <w:rsid w:val="000E6266"/>
    <w:rsid w:val="000E650E"/>
    <w:rsid w:val="000E73DA"/>
    <w:rsid w:val="000F018E"/>
    <w:rsid w:val="000F0435"/>
    <w:rsid w:val="000F08F0"/>
    <w:rsid w:val="000F0DAC"/>
    <w:rsid w:val="000F2A92"/>
    <w:rsid w:val="000F3CC8"/>
    <w:rsid w:val="000F444D"/>
    <w:rsid w:val="000F467C"/>
    <w:rsid w:val="000F494B"/>
    <w:rsid w:val="000F580D"/>
    <w:rsid w:val="000F71EB"/>
    <w:rsid w:val="000F77BA"/>
    <w:rsid w:val="000F7F82"/>
    <w:rsid w:val="0010081C"/>
    <w:rsid w:val="001046FA"/>
    <w:rsid w:val="001066E8"/>
    <w:rsid w:val="001068ED"/>
    <w:rsid w:val="001079DE"/>
    <w:rsid w:val="00107FD0"/>
    <w:rsid w:val="001101C8"/>
    <w:rsid w:val="00111415"/>
    <w:rsid w:val="00112700"/>
    <w:rsid w:val="00112CE7"/>
    <w:rsid w:val="00112DD7"/>
    <w:rsid w:val="001137C2"/>
    <w:rsid w:val="001143D1"/>
    <w:rsid w:val="00114516"/>
    <w:rsid w:val="00114F60"/>
    <w:rsid w:val="00115875"/>
    <w:rsid w:val="001158CD"/>
    <w:rsid w:val="00116704"/>
    <w:rsid w:val="00116909"/>
    <w:rsid w:val="00117F87"/>
    <w:rsid w:val="001204F5"/>
    <w:rsid w:val="001239FA"/>
    <w:rsid w:val="00123E30"/>
    <w:rsid w:val="00123F9E"/>
    <w:rsid w:val="00124001"/>
    <w:rsid w:val="00125DA5"/>
    <w:rsid w:val="00126221"/>
    <w:rsid w:val="0012696D"/>
    <w:rsid w:val="00126E44"/>
    <w:rsid w:val="00127204"/>
    <w:rsid w:val="001304B1"/>
    <w:rsid w:val="00130AAF"/>
    <w:rsid w:val="00130D17"/>
    <w:rsid w:val="00132D2A"/>
    <w:rsid w:val="001333BE"/>
    <w:rsid w:val="00134DA1"/>
    <w:rsid w:val="001365A0"/>
    <w:rsid w:val="00136633"/>
    <w:rsid w:val="00137EF6"/>
    <w:rsid w:val="001403DF"/>
    <w:rsid w:val="00140659"/>
    <w:rsid w:val="00140889"/>
    <w:rsid w:val="00140AA0"/>
    <w:rsid w:val="001426AE"/>
    <w:rsid w:val="00142A37"/>
    <w:rsid w:val="00142A5E"/>
    <w:rsid w:val="00142CDF"/>
    <w:rsid w:val="00143921"/>
    <w:rsid w:val="00144FCE"/>
    <w:rsid w:val="001453BB"/>
    <w:rsid w:val="0014636E"/>
    <w:rsid w:val="00146665"/>
    <w:rsid w:val="00146BF2"/>
    <w:rsid w:val="001503F3"/>
    <w:rsid w:val="0015059F"/>
    <w:rsid w:val="00151D10"/>
    <w:rsid w:val="00152477"/>
    <w:rsid w:val="001528B7"/>
    <w:rsid w:val="00152B31"/>
    <w:rsid w:val="0015352D"/>
    <w:rsid w:val="001539C9"/>
    <w:rsid w:val="00153C5C"/>
    <w:rsid w:val="001542B7"/>
    <w:rsid w:val="001545E4"/>
    <w:rsid w:val="0015473E"/>
    <w:rsid w:val="0015501D"/>
    <w:rsid w:val="001551D1"/>
    <w:rsid w:val="0015553A"/>
    <w:rsid w:val="0015637F"/>
    <w:rsid w:val="00156501"/>
    <w:rsid w:val="001613F6"/>
    <w:rsid w:val="001617B9"/>
    <w:rsid w:val="00161EBB"/>
    <w:rsid w:val="00162CDC"/>
    <w:rsid w:val="00162D20"/>
    <w:rsid w:val="00162DE1"/>
    <w:rsid w:val="00162EF4"/>
    <w:rsid w:val="00162F97"/>
    <w:rsid w:val="001631DF"/>
    <w:rsid w:val="00163382"/>
    <w:rsid w:val="001640FE"/>
    <w:rsid w:val="0016465B"/>
    <w:rsid w:val="00165013"/>
    <w:rsid w:val="00165922"/>
    <w:rsid w:val="00165A73"/>
    <w:rsid w:val="00165B31"/>
    <w:rsid w:val="00166034"/>
    <w:rsid w:val="0016664D"/>
    <w:rsid w:val="00166F34"/>
    <w:rsid w:val="00166FCB"/>
    <w:rsid w:val="001670E6"/>
    <w:rsid w:val="00167FDD"/>
    <w:rsid w:val="00170BF2"/>
    <w:rsid w:val="00170EAC"/>
    <w:rsid w:val="00171548"/>
    <w:rsid w:val="00172A27"/>
    <w:rsid w:val="00172AB7"/>
    <w:rsid w:val="00173381"/>
    <w:rsid w:val="00173731"/>
    <w:rsid w:val="0017383E"/>
    <w:rsid w:val="00173961"/>
    <w:rsid w:val="001745B9"/>
    <w:rsid w:val="00174851"/>
    <w:rsid w:val="00174D56"/>
    <w:rsid w:val="00174E18"/>
    <w:rsid w:val="00174FF7"/>
    <w:rsid w:val="00175AD7"/>
    <w:rsid w:val="00175CB6"/>
    <w:rsid w:val="00176AEC"/>
    <w:rsid w:val="00180304"/>
    <w:rsid w:val="0018065B"/>
    <w:rsid w:val="00180687"/>
    <w:rsid w:val="00180E58"/>
    <w:rsid w:val="0018378A"/>
    <w:rsid w:val="00184305"/>
    <w:rsid w:val="00184714"/>
    <w:rsid w:val="00184AD4"/>
    <w:rsid w:val="00186283"/>
    <w:rsid w:val="00186FD9"/>
    <w:rsid w:val="001871C7"/>
    <w:rsid w:val="00187496"/>
    <w:rsid w:val="00187DCE"/>
    <w:rsid w:val="0019018A"/>
    <w:rsid w:val="00191B2E"/>
    <w:rsid w:val="00192A57"/>
    <w:rsid w:val="00192D6C"/>
    <w:rsid w:val="0019348E"/>
    <w:rsid w:val="0019524B"/>
    <w:rsid w:val="0019548C"/>
    <w:rsid w:val="001957EA"/>
    <w:rsid w:val="00195A07"/>
    <w:rsid w:val="0019713B"/>
    <w:rsid w:val="001976A5"/>
    <w:rsid w:val="001979EA"/>
    <w:rsid w:val="001A0FCA"/>
    <w:rsid w:val="001A0FF8"/>
    <w:rsid w:val="001A197D"/>
    <w:rsid w:val="001A1CE5"/>
    <w:rsid w:val="001A29B9"/>
    <w:rsid w:val="001A4070"/>
    <w:rsid w:val="001A48FE"/>
    <w:rsid w:val="001A4BC5"/>
    <w:rsid w:val="001A4D36"/>
    <w:rsid w:val="001A5765"/>
    <w:rsid w:val="001A6068"/>
    <w:rsid w:val="001A6DCF"/>
    <w:rsid w:val="001A6EA4"/>
    <w:rsid w:val="001A759B"/>
    <w:rsid w:val="001A7D20"/>
    <w:rsid w:val="001B0405"/>
    <w:rsid w:val="001B08E1"/>
    <w:rsid w:val="001B0EDB"/>
    <w:rsid w:val="001B1CB8"/>
    <w:rsid w:val="001B2570"/>
    <w:rsid w:val="001B2C66"/>
    <w:rsid w:val="001B2F32"/>
    <w:rsid w:val="001B4031"/>
    <w:rsid w:val="001B42AE"/>
    <w:rsid w:val="001B5568"/>
    <w:rsid w:val="001B7C3E"/>
    <w:rsid w:val="001C0E51"/>
    <w:rsid w:val="001C15CE"/>
    <w:rsid w:val="001C28D9"/>
    <w:rsid w:val="001C2A8F"/>
    <w:rsid w:val="001C2B7C"/>
    <w:rsid w:val="001C2D6E"/>
    <w:rsid w:val="001C3A37"/>
    <w:rsid w:val="001C4738"/>
    <w:rsid w:val="001C4F3C"/>
    <w:rsid w:val="001C601E"/>
    <w:rsid w:val="001C6030"/>
    <w:rsid w:val="001C62BA"/>
    <w:rsid w:val="001C754F"/>
    <w:rsid w:val="001C7703"/>
    <w:rsid w:val="001C7FDD"/>
    <w:rsid w:val="001D077F"/>
    <w:rsid w:val="001D0A79"/>
    <w:rsid w:val="001D15D1"/>
    <w:rsid w:val="001D16C9"/>
    <w:rsid w:val="001D1CD2"/>
    <w:rsid w:val="001D1F9A"/>
    <w:rsid w:val="001D3847"/>
    <w:rsid w:val="001D3C02"/>
    <w:rsid w:val="001D4E1E"/>
    <w:rsid w:val="001D5350"/>
    <w:rsid w:val="001D6C77"/>
    <w:rsid w:val="001D6D0E"/>
    <w:rsid w:val="001E003B"/>
    <w:rsid w:val="001E0084"/>
    <w:rsid w:val="001E0388"/>
    <w:rsid w:val="001E07DA"/>
    <w:rsid w:val="001E19F9"/>
    <w:rsid w:val="001E1C82"/>
    <w:rsid w:val="001E2D26"/>
    <w:rsid w:val="001E2EE6"/>
    <w:rsid w:val="001E3595"/>
    <w:rsid w:val="001E422D"/>
    <w:rsid w:val="001E464A"/>
    <w:rsid w:val="001E4867"/>
    <w:rsid w:val="001E4F24"/>
    <w:rsid w:val="001E50DB"/>
    <w:rsid w:val="001E65EC"/>
    <w:rsid w:val="001E6A54"/>
    <w:rsid w:val="001E6D93"/>
    <w:rsid w:val="001E7D04"/>
    <w:rsid w:val="001F072E"/>
    <w:rsid w:val="001F1238"/>
    <w:rsid w:val="001F198F"/>
    <w:rsid w:val="001F212A"/>
    <w:rsid w:val="001F4D50"/>
    <w:rsid w:val="001F4F2B"/>
    <w:rsid w:val="001F526C"/>
    <w:rsid w:val="001F68F5"/>
    <w:rsid w:val="001F6913"/>
    <w:rsid w:val="001F6A4A"/>
    <w:rsid w:val="001F6ED5"/>
    <w:rsid w:val="001F727B"/>
    <w:rsid w:val="002008F9"/>
    <w:rsid w:val="002015E8"/>
    <w:rsid w:val="0020198F"/>
    <w:rsid w:val="0020203E"/>
    <w:rsid w:val="002020FB"/>
    <w:rsid w:val="00202597"/>
    <w:rsid w:val="00202D4C"/>
    <w:rsid w:val="00205991"/>
    <w:rsid w:val="0020648C"/>
    <w:rsid w:val="00207EDE"/>
    <w:rsid w:val="00210FBC"/>
    <w:rsid w:val="00211495"/>
    <w:rsid w:val="002126C3"/>
    <w:rsid w:val="00212835"/>
    <w:rsid w:val="0021369C"/>
    <w:rsid w:val="00213A69"/>
    <w:rsid w:val="00213F94"/>
    <w:rsid w:val="00215354"/>
    <w:rsid w:val="002153A3"/>
    <w:rsid w:val="002157A0"/>
    <w:rsid w:val="00215C04"/>
    <w:rsid w:val="00215E00"/>
    <w:rsid w:val="00215FEC"/>
    <w:rsid w:val="002168A6"/>
    <w:rsid w:val="002169E3"/>
    <w:rsid w:val="00217BBD"/>
    <w:rsid w:val="0022197D"/>
    <w:rsid w:val="0022225E"/>
    <w:rsid w:val="002228DB"/>
    <w:rsid w:val="00222B2A"/>
    <w:rsid w:val="00223179"/>
    <w:rsid w:val="00224153"/>
    <w:rsid w:val="002242C8"/>
    <w:rsid w:val="00224C0B"/>
    <w:rsid w:val="00225337"/>
    <w:rsid w:val="002266F1"/>
    <w:rsid w:val="00226F84"/>
    <w:rsid w:val="0023079A"/>
    <w:rsid w:val="00230E63"/>
    <w:rsid w:val="00230F7A"/>
    <w:rsid w:val="00230FB3"/>
    <w:rsid w:val="00231CEB"/>
    <w:rsid w:val="00232AA7"/>
    <w:rsid w:val="00233103"/>
    <w:rsid w:val="00233BF4"/>
    <w:rsid w:val="00234D65"/>
    <w:rsid w:val="002361EE"/>
    <w:rsid w:val="00236A1D"/>
    <w:rsid w:val="00236E60"/>
    <w:rsid w:val="00237F34"/>
    <w:rsid w:val="0024011F"/>
    <w:rsid w:val="00240598"/>
    <w:rsid w:val="00240E67"/>
    <w:rsid w:val="002410B5"/>
    <w:rsid w:val="00241290"/>
    <w:rsid w:val="00241310"/>
    <w:rsid w:val="002426A5"/>
    <w:rsid w:val="00243183"/>
    <w:rsid w:val="002447CA"/>
    <w:rsid w:val="002449ED"/>
    <w:rsid w:val="00245144"/>
    <w:rsid w:val="00246652"/>
    <w:rsid w:val="00246D8C"/>
    <w:rsid w:val="00247019"/>
    <w:rsid w:val="0024766E"/>
    <w:rsid w:val="0024785E"/>
    <w:rsid w:val="00247E19"/>
    <w:rsid w:val="0025022F"/>
    <w:rsid w:val="0025151B"/>
    <w:rsid w:val="0025289C"/>
    <w:rsid w:val="00252BB1"/>
    <w:rsid w:val="00253542"/>
    <w:rsid w:val="00254465"/>
    <w:rsid w:val="00254969"/>
    <w:rsid w:val="00254BEE"/>
    <w:rsid w:val="00254D1C"/>
    <w:rsid w:val="00255463"/>
    <w:rsid w:val="002559C4"/>
    <w:rsid w:val="00256266"/>
    <w:rsid w:val="00256965"/>
    <w:rsid w:val="002570A2"/>
    <w:rsid w:val="00257902"/>
    <w:rsid w:val="00257BB9"/>
    <w:rsid w:val="00260282"/>
    <w:rsid w:val="00262428"/>
    <w:rsid w:val="002629B9"/>
    <w:rsid w:val="00262E01"/>
    <w:rsid w:val="002633A3"/>
    <w:rsid w:val="0026388B"/>
    <w:rsid w:val="002655C8"/>
    <w:rsid w:val="00265DED"/>
    <w:rsid w:val="002667D1"/>
    <w:rsid w:val="00266B5B"/>
    <w:rsid w:val="0027013F"/>
    <w:rsid w:val="00270CFF"/>
    <w:rsid w:val="00270D81"/>
    <w:rsid w:val="002714A9"/>
    <w:rsid w:val="002715EE"/>
    <w:rsid w:val="00271BC7"/>
    <w:rsid w:val="0027233A"/>
    <w:rsid w:val="00272DD1"/>
    <w:rsid w:val="002737B8"/>
    <w:rsid w:val="00274856"/>
    <w:rsid w:val="00274AFA"/>
    <w:rsid w:val="00274DF4"/>
    <w:rsid w:val="00276C3E"/>
    <w:rsid w:val="00276F04"/>
    <w:rsid w:val="00276F97"/>
    <w:rsid w:val="0027772D"/>
    <w:rsid w:val="00281D75"/>
    <w:rsid w:val="00282BD1"/>
    <w:rsid w:val="00284D29"/>
    <w:rsid w:val="002852A0"/>
    <w:rsid w:val="00285E6E"/>
    <w:rsid w:val="00287AC8"/>
    <w:rsid w:val="00287B28"/>
    <w:rsid w:val="00287EFC"/>
    <w:rsid w:val="00290B3A"/>
    <w:rsid w:val="002930CD"/>
    <w:rsid w:val="002934F1"/>
    <w:rsid w:val="00293C15"/>
    <w:rsid w:val="002940C8"/>
    <w:rsid w:val="00294763"/>
    <w:rsid w:val="00294AE0"/>
    <w:rsid w:val="00295599"/>
    <w:rsid w:val="00295C55"/>
    <w:rsid w:val="00296D83"/>
    <w:rsid w:val="00297171"/>
    <w:rsid w:val="002972F6"/>
    <w:rsid w:val="0029780E"/>
    <w:rsid w:val="00297A88"/>
    <w:rsid w:val="002A0074"/>
    <w:rsid w:val="002A090A"/>
    <w:rsid w:val="002A0AD0"/>
    <w:rsid w:val="002A0D35"/>
    <w:rsid w:val="002A204F"/>
    <w:rsid w:val="002A225A"/>
    <w:rsid w:val="002A2437"/>
    <w:rsid w:val="002A28E7"/>
    <w:rsid w:val="002A33DF"/>
    <w:rsid w:val="002A42CD"/>
    <w:rsid w:val="002A52E0"/>
    <w:rsid w:val="002A737B"/>
    <w:rsid w:val="002A76D0"/>
    <w:rsid w:val="002A7BB6"/>
    <w:rsid w:val="002B1D02"/>
    <w:rsid w:val="002B1E05"/>
    <w:rsid w:val="002B2646"/>
    <w:rsid w:val="002B28C7"/>
    <w:rsid w:val="002B2F07"/>
    <w:rsid w:val="002B36DF"/>
    <w:rsid w:val="002B4630"/>
    <w:rsid w:val="002B5F18"/>
    <w:rsid w:val="002B6458"/>
    <w:rsid w:val="002B6903"/>
    <w:rsid w:val="002B694F"/>
    <w:rsid w:val="002B7D58"/>
    <w:rsid w:val="002C0B65"/>
    <w:rsid w:val="002C1182"/>
    <w:rsid w:val="002C14B6"/>
    <w:rsid w:val="002C2305"/>
    <w:rsid w:val="002C32F1"/>
    <w:rsid w:val="002C3848"/>
    <w:rsid w:val="002C3BE3"/>
    <w:rsid w:val="002C3FA3"/>
    <w:rsid w:val="002C4CC3"/>
    <w:rsid w:val="002C550D"/>
    <w:rsid w:val="002C559D"/>
    <w:rsid w:val="002C55D7"/>
    <w:rsid w:val="002C6135"/>
    <w:rsid w:val="002C6280"/>
    <w:rsid w:val="002D0043"/>
    <w:rsid w:val="002D0436"/>
    <w:rsid w:val="002D13B2"/>
    <w:rsid w:val="002D1BCF"/>
    <w:rsid w:val="002D1BF1"/>
    <w:rsid w:val="002D1D14"/>
    <w:rsid w:val="002D2776"/>
    <w:rsid w:val="002D2C3C"/>
    <w:rsid w:val="002D2D5A"/>
    <w:rsid w:val="002D3304"/>
    <w:rsid w:val="002D3A53"/>
    <w:rsid w:val="002D4AC7"/>
    <w:rsid w:val="002D501C"/>
    <w:rsid w:val="002D5F52"/>
    <w:rsid w:val="002D6290"/>
    <w:rsid w:val="002D66B5"/>
    <w:rsid w:val="002D6C1B"/>
    <w:rsid w:val="002D71DB"/>
    <w:rsid w:val="002D7EF7"/>
    <w:rsid w:val="002E0834"/>
    <w:rsid w:val="002E0A56"/>
    <w:rsid w:val="002E181C"/>
    <w:rsid w:val="002E20D0"/>
    <w:rsid w:val="002E29E7"/>
    <w:rsid w:val="002E2D99"/>
    <w:rsid w:val="002E336B"/>
    <w:rsid w:val="002E4324"/>
    <w:rsid w:val="002E5879"/>
    <w:rsid w:val="002E6B6C"/>
    <w:rsid w:val="002E6C18"/>
    <w:rsid w:val="002E6F62"/>
    <w:rsid w:val="002E70CD"/>
    <w:rsid w:val="002E7483"/>
    <w:rsid w:val="002E7734"/>
    <w:rsid w:val="002F1496"/>
    <w:rsid w:val="002F1D43"/>
    <w:rsid w:val="002F1FDB"/>
    <w:rsid w:val="002F2FB8"/>
    <w:rsid w:val="002F3BEE"/>
    <w:rsid w:val="002F3C4E"/>
    <w:rsid w:val="002F42FE"/>
    <w:rsid w:val="002F6C13"/>
    <w:rsid w:val="002F7A62"/>
    <w:rsid w:val="002F7CED"/>
    <w:rsid w:val="003006FB"/>
    <w:rsid w:val="00300F27"/>
    <w:rsid w:val="003013B6"/>
    <w:rsid w:val="00301414"/>
    <w:rsid w:val="00301CC6"/>
    <w:rsid w:val="00301CD6"/>
    <w:rsid w:val="003021DD"/>
    <w:rsid w:val="003024FA"/>
    <w:rsid w:val="00302754"/>
    <w:rsid w:val="003032D1"/>
    <w:rsid w:val="00304C3D"/>
    <w:rsid w:val="00304D0B"/>
    <w:rsid w:val="00307DD7"/>
    <w:rsid w:val="00307F25"/>
    <w:rsid w:val="003104EC"/>
    <w:rsid w:val="00310500"/>
    <w:rsid w:val="00310F1A"/>
    <w:rsid w:val="0031129E"/>
    <w:rsid w:val="00311867"/>
    <w:rsid w:val="00311AC9"/>
    <w:rsid w:val="00311D3B"/>
    <w:rsid w:val="00311F14"/>
    <w:rsid w:val="00312790"/>
    <w:rsid w:val="00312823"/>
    <w:rsid w:val="003137DA"/>
    <w:rsid w:val="003146CB"/>
    <w:rsid w:val="003153D2"/>
    <w:rsid w:val="00315AA7"/>
    <w:rsid w:val="00316541"/>
    <w:rsid w:val="003203A5"/>
    <w:rsid w:val="00320E1D"/>
    <w:rsid w:val="00322275"/>
    <w:rsid w:val="0032258F"/>
    <w:rsid w:val="00322837"/>
    <w:rsid w:val="00322B1C"/>
    <w:rsid w:val="00323B10"/>
    <w:rsid w:val="003241A5"/>
    <w:rsid w:val="00324F4A"/>
    <w:rsid w:val="00325AE4"/>
    <w:rsid w:val="003260B0"/>
    <w:rsid w:val="0032612C"/>
    <w:rsid w:val="00326852"/>
    <w:rsid w:val="00327099"/>
    <w:rsid w:val="00330FE5"/>
    <w:rsid w:val="003313D2"/>
    <w:rsid w:val="00331462"/>
    <w:rsid w:val="00331AD3"/>
    <w:rsid w:val="00331C0F"/>
    <w:rsid w:val="00332D15"/>
    <w:rsid w:val="00333433"/>
    <w:rsid w:val="003342E2"/>
    <w:rsid w:val="0033439B"/>
    <w:rsid w:val="003348F4"/>
    <w:rsid w:val="00334ADA"/>
    <w:rsid w:val="0033529D"/>
    <w:rsid w:val="00336134"/>
    <w:rsid w:val="003368B6"/>
    <w:rsid w:val="00340010"/>
    <w:rsid w:val="003403BB"/>
    <w:rsid w:val="00343267"/>
    <w:rsid w:val="0034333A"/>
    <w:rsid w:val="003434AC"/>
    <w:rsid w:val="00344020"/>
    <w:rsid w:val="003443A6"/>
    <w:rsid w:val="00344CB2"/>
    <w:rsid w:val="00344EB2"/>
    <w:rsid w:val="0034547E"/>
    <w:rsid w:val="003455D9"/>
    <w:rsid w:val="00345620"/>
    <w:rsid w:val="00346266"/>
    <w:rsid w:val="00347225"/>
    <w:rsid w:val="003501AD"/>
    <w:rsid w:val="00350426"/>
    <w:rsid w:val="00351688"/>
    <w:rsid w:val="00351D31"/>
    <w:rsid w:val="0035376C"/>
    <w:rsid w:val="0035429A"/>
    <w:rsid w:val="0035470A"/>
    <w:rsid w:val="003549AC"/>
    <w:rsid w:val="003557B2"/>
    <w:rsid w:val="00356072"/>
    <w:rsid w:val="003562AD"/>
    <w:rsid w:val="00356B3F"/>
    <w:rsid w:val="00356D36"/>
    <w:rsid w:val="00357BF7"/>
    <w:rsid w:val="00357E63"/>
    <w:rsid w:val="0036001F"/>
    <w:rsid w:val="00360723"/>
    <w:rsid w:val="003612AC"/>
    <w:rsid w:val="00362623"/>
    <w:rsid w:val="00362C60"/>
    <w:rsid w:val="00363399"/>
    <w:rsid w:val="00363DF3"/>
    <w:rsid w:val="00364097"/>
    <w:rsid w:val="00365CBA"/>
    <w:rsid w:val="00366242"/>
    <w:rsid w:val="00370D23"/>
    <w:rsid w:val="003718DF"/>
    <w:rsid w:val="00371CD4"/>
    <w:rsid w:val="00371E2F"/>
    <w:rsid w:val="0037245D"/>
    <w:rsid w:val="003724D9"/>
    <w:rsid w:val="003725DD"/>
    <w:rsid w:val="00372658"/>
    <w:rsid w:val="003727BD"/>
    <w:rsid w:val="00372863"/>
    <w:rsid w:val="0037296C"/>
    <w:rsid w:val="00373814"/>
    <w:rsid w:val="00374D59"/>
    <w:rsid w:val="00376E47"/>
    <w:rsid w:val="0037783B"/>
    <w:rsid w:val="00377A9E"/>
    <w:rsid w:val="003806BD"/>
    <w:rsid w:val="003808D0"/>
    <w:rsid w:val="00380C83"/>
    <w:rsid w:val="00380DE1"/>
    <w:rsid w:val="00381566"/>
    <w:rsid w:val="00382010"/>
    <w:rsid w:val="003822FE"/>
    <w:rsid w:val="00382C8D"/>
    <w:rsid w:val="00382CDD"/>
    <w:rsid w:val="00383325"/>
    <w:rsid w:val="00383CBA"/>
    <w:rsid w:val="00384689"/>
    <w:rsid w:val="00384C91"/>
    <w:rsid w:val="00384CCC"/>
    <w:rsid w:val="0038609F"/>
    <w:rsid w:val="00386B51"/>
    <w:rsid w:val="00387700"/>
    <w:rsid w:val="003878DC"/>
    <w:rsid w:val="00387AB5"/>
    <w:rsid w:val="00387FEB"/>
    <w:rsid w:val="00390216"/>
    <w:rsid w:val="00390F67"/>
    <w:rsid w:val="003910CF"/>
    <w:rsid w:val="003916F7"/>
    <w:rsid w:val="003919BC"/>
    <w:rsid w:val="00391F55"/>
    <w:rsid w:val="00393301"/>
    <w:rsid w:val="003939D2"/>
    <w:rsid w:val="00393AA9"/>
    <w:rsid w:val="00393EA3"/>
    <w:rsid w:val="00393EF8"/>
    <w:rsid w:val="0039429C"/>
    <w:rsid w:val="00394920"/>
    <w:rsid w:val="00394E76"/>
    <w:rsid w:val="00395077"/>
    <w:rsid w:val="00395E7C"/>
    <w:rsid w:val="00396BE6"/>
    <w:rsid w:val="00396D1F"/>
    <w:rsid w:val="00396FFC"/>
    <w:rsid w:val="00397E7D"/>
    <w:rsid w:val="003A0D74"/>
    <w:rsid w:val="003A1214"/>
    <w:rsid w:val="003A1922"/>
    <w:rsid w:val="003A1DE2"/>
    <w:rsid w:val="003A258C"/>
    <w:rsid w:val="003A2AB3"/>
    <w:rsid w:val="003A2C39"/>
    <w:rsid w:val="003A30D1"/>
    <w:rsid w:val="003A3A5F"/>
    <w:rsid w:val="003A3BE4"/>
    <w:rsid w:val="003A3C85"/>
    <w:rsid w:val="003A3DAA"/>
    <w:rsid w:val="003A4F3F"/>
    <w:rsid w:val="003A5BC5"/>
    <w:rsid w:val="003A5E37"/>
    <w:rsid w:val="003A621F"/>
    <w:rsid w:val="003A69AC"/>
    <w:rsid w:val="003A6EA8"/>
    <w:rsid w:val="003B006B"/>
    <w:rsid w:val="003B1E58"/>
    <w:rsid w:val="003B2541"/>
    <w:rsid w:val="003B2804"/>
    <w:rsid w:val="003B4360"/>
    <w:rsid w:val="003B4E6F"/>
    <w:rsid w:val="003B5258"/>
    <w:rsid w:val="003B55F5"/>
    <w:rsid w:val="003B6551"/>
    <w:rsid w:val="003B6BEE"/>
    <w:rsid w:val="003B72AB"/>
    <w:rsid w:val="003B73C8"/>
    <w:rsid w:val="003C04EE"/>
    <w:rsid w:val="003C0879"/>
    <w:rsid w:val="003C14E5"/>
    <w:rsid w:val="003C1D46"/>
    <w:rsid w:val="003C2725"/>
    <w:rsid w:val="003C2D73"/>
    <w:rsid w:val="003C37A0"/>
    <w:rsid w:val="003C58B0"/>
    <w:rsid w:val="003C5B03"/>
    <w:rsid w:val="003C5CD5"/>
    <w:rsid w:val="003C7051"/>
    <w:rsid w:val="003C71A5"/>
    <w:rsid w:val="003C75B7"/>
    <w:rsid w:val="003C7699"/>
    <w:rsid w:val="003C7D8D"/>
    <w:rsid w:val="003D03B5"/>
    <w:rsid w:val="003D0CAF"/>
    <w:rsid w:val="003D1B45"/>
    <w:rsid w:val="003D258B"/>
    <w:rsid w:val="003D3FA9"/>
    <w:rsid w:val="003D4DF1"/>
    <w:rsid w:val="003D5C58"/>
    <w:rsid w:val="003D66E9"/>
    <w:rsid w:val="003D76ED"/>
    <w:rsid w:val="003D7A1E"/>
    <w:rsid w:val="003D7DC5"/>
    <w:rsid w:val="003E033B"/>
    <w:rsid w:val="003E1DD9"/>
    <w:rsid w:val="003E2BA1"/>
    <w:rsid w:val="003E2C15"/>
    <w:rsid w:val="003E3433"/>
    <w:rsid w:val="003E419E"/>
    <w:rsid w:val="003E4374"/>
    <w:rsid w:val="003E461F"/>
    <w:rsid w:val="003E4A31"/>
    <w:rsid w:val="003E632D"/>
    <w:rsid w:val="003E6839"/>
    <w:rsid w:val="003E7AFA"/>
    <w:rsid w:val="003E7B33"/>
    <w:rsid w:val="003E7B9E"/>
    <w:rsid w:val="003E7C9E"/>
    <w:rsid w:val="003F06F9"/>
    <w:rsid w:val="003F0F4F"/>
    <w:rsid w:val="003F16E8"/>
    <w:rsid w:val="003F403B"/>
    <w:rsid w:val="003F452B"/>
    <w:rsid w:val="003F4A8C"/>
    <w:rsid w:val="003F4D80"/>
    <w:rsid w:val="003F4F71"/>
    <w:rsid w:val="003F6BBA"/>
    <w:rsid w:val="00400C21"/>
    <w:rsid w:val="00401096"/>
    <w:rsid w:val="004011F8"/>
    <w:rsid w:val="0040133C"/>
    <w:rsid w:val="00401AD9"/>
    <w:rsid w:val="00401C37"/>
    <w:rsid w:val="004022BB"/>
    <w:rsid w:val="00403092"/>
    <w:rsid w:val="004036FA"/>
    <w:rsid w:val="00403976"/>
    <w:rsid w:val="00403BDE"/>
    <w:rsid w:val="00403C53"/>
    <w:rsid w:val="004041A3"/>
    <w:rsid w:val="00404ED1"/>
    <w:rsid w:val="0040589B"/>
    <w:rsid w:val="00405AC3"/>
    <w:rsid w:val="0040638F"/>
    <w:rsid w:val="00406C95"/>
    <w:rsid w:val="00407846"/>
    <w:rsid w:val="00407AEF"/>
    <w:rsid w:val="00410659"/>
    <w:rsid w:val="00411578"/>
    <w:rsid w:val="004120F7"/>
    <w:rsid w:val="00412AA7"/>
    <w:rsid w:val="00412DD0"/>
    <w:rsid w:val="00413229"/>
    <w:rsid w:val="00413846"/>
    <w:rsid w:val="004146DA"/>
    <w:rsid w:val="004146F2"/>
    <w:rsid w:val="00414B81"/>
    <w:rsid w:val="004159E0"/>
    <w:rsid w:val="00416380"/>
    <w:rsid w:val="004168AE"/>
    <w:rsid w:val="00416A62"/>
    <w:rsid w:val="00416BAD"/>
    <w:rsid w:val="004204A3"/>
    <w:rsid w:val="0042093E"/>
    <w:rsid w:val="004209AB"/>
    <w:rsid w:val="00421277"/>
    <w:rsid w:val="0042165D"/>
    <w:rsid w:val="004217DF"/>
    <w:rsid w:val="00421B50"/>
    <w:rsid w:val="00422A9C"/>
    <w:rsid w:val="00422CA4"/>
    <w:rsid w:val="004232A3"/>
    <w:rsid w:val="004238A2"/>
    <w:rsid w:val="0042420B"/>
    <w:rsid w:val="00424ABC"/>
    <w:rsid w:val="00425CA7"/>
    <w:rsid w:val="00426697"/>
    <w:rsid w:val="00426EC2"/>
    <w:rsid w:val="00427362"/>
    <w:rsid w:val="004274CB"/>
    <w:rsid w:val="0042753C"/>
    <w:rsid w:val="004307D7"/>
    <w:rsid w:val="00431456"/>
    <w:rsid w:val="004314E7"/>
    <w:rsid w:val="00431FCD"/>
    <w:rsid w:val="004324F3"/>
    <w:rsid w:val="00432A5D"/>
    <w:rsid w:val="00433180"/>
    <w:rsid w:val="00433DAF"/>
    <w:rsid w:val="00433FFA"/>
    <w:rsid w:val="00434D05"/>
    <w:rsid w:val="00434E8B"/>
    <w:rsid w:val="00436206"/>
    <w:rsid w:val="00436263"/>
    <w:rsid w:val="004378BF"/>
    <w:rsid w:val="00440A2A"/>
    <w:rsid w:val="004418D2"/>
    <w:rsid w:val="0044380D"/>
    <w:rsid w:val="004443C9"/>
    <w:rsid w:val="004444C1"/>
    <w:rsid w:val="00444DE4"/>
    <w:rsid w:val="00444FB3"/>
    <w:rsid w:val="0044561E"/>
    <w:rsid w:val="00445EB5"/>
    <w:rsid w:val="00446017"/>
    <w:rsid w:val="0044634B"/>
    <w:rsid w:val="0044640B"/>
    <w:rsid w:val="0045111A"/>
    <w:rsid w:val="0045126A"/>
    <w:rsid w:val="004516BE"/>
    <w:rsid w:val="00451ED2"/>
    <w:rsid w:val="00452290"/>
    <w:rsid w:val="00452815"/>
    <w:rsid w:val="00452BFC"/>
    <w:rsid w:val="00452ED6"/>
    <w:rsid w:val="00453688"/>
    <w:rsid w:val="00453830"/>
    <w:rsid w:val="00453B6E"/>
    <w:rsid w:val="004540BC"/>
    <w:rsid w:val="00456357"/>
    <w:rsid w:val="004572C5"/>
    <w:rsid w:val="00457F35"/>
    <w:rsid w:val="00460594"/>
    <w:rsid w:val="004608F5"/>
    <w:rsid w:val="00460B42"/>
    <w:rsid w:val="00460FB9"/>
    <w:rsid w:val="00461283"/>
    <w:rsid w:val="00461587"/>
    <w:rsid w:val="0046413E"/>
    <w:rsid w:val="00464910"/>
    <w:rsid w:val="0046678D"/>
    <w:rsid w:val="00466916"/>
    <w:rsid w:val="0046771E"/>
    <w:rsid w:val="004700A3"/>
    <w:rsid w:val="004702CB"/>
    <w:rsid w:val="00470B4B"/>
    <w:rsid w:val="00471DEE"/>
    <w:rsid w:val="004720B4"/>
    <w:rsid w:val="0047318F"/>
    <w:rsid w:val="00473391"/>
    <w:rsid w:val="00473B73"/>
    <w:rsid w:val="00474AC9"/>
    <w:rsid w:val="004753FD"/>
    <w:rsid w:val="0047570C"/>
    <w:rsid w:val="00476137"/>
    <w:rsid w:val="00476505"/>
    <w:rsid w:val="00477037"/>
    <w:rsid w:val="00477346"/>
    <w:rsid w:val="00477612"/>
    <w:rsid w:val="0048137B"/>
    <w:rsid w:val="00481702"/>
    <w:rsid w:val="00481BC2"/>
    <w:rsid w:val="0048223A"/>
    <w:rsid w:val="00482ABA"/>
    <w:rsid w:val="0048413F"/>
    <w:rsid w:val="004842BF"/>
    <w:rsid w:val="00484578"/>
    <w:rsid w:val="00484C90"/>
    <w:rsid w:val="0048547E"/>
    <w:rsid w:val="0048586C"/>
    <w:rsid w:val="00485D72"/>
    <w:rsid w:val="004864EE"/>
    <w:rsid w:val="004908A8"/>
    <w:rsid w:val="004919CA"/>
    <w:rsid w:val="00492332"/>
    <w:rsid w:val="00492D63"/>
    <w:rsid w:val="00493000"/>
    <w:rsid w:val="00493FD5"/>
    <w:rsid w:val="00494164"/>
    <w:rsid w:val="00494722"/>
    <w:rsid w:val="00494918"/>
    <w:rsid w:val="00495025"/>
    <w:rsid w:val="004957E3"/>
    <w:rsid w:val="00496A73"/>
    <w:rsid w:val="00496B0D"/>
    <w:rsid w:val="00497517"/>
    <w:rsid w:val="00497AB7"/>
    <w:rsid w:val="00497D16"/>
    <w:rsid w:val="004A065D"/>
    <w:rsid w:val="004A104B"/>
    <w:rsid w:val="004A11F4"/>
    <w:rsid w:val="004A15AD"/>
    <w:rsid w:val="004A25D0"/>
    <w:rsid w:val="004A30EA"/>
    <w:rsid w:val="004A3268"/>
    <w:rsid w:val="004A3357"/>
    <w:rsid w:val="004A3F30"/>
    <w:rsid w:val="004A5259"/>
    <w:rsid w:val="004A5CE4"/>
    <w:rsid w:val="004A6AA3"/>
    <w:rsid w:val="004A73DF"/>
    <w:rsid w:val="004A7891"/>
    <w:rsid w:val="004A7B2D"/>
    <w:rsid w:val="004B08AD"/>
    <w:rsid w:val="004B09A0"/>
    <w:rsid w:val="004B1155"/>
    <w:rsid w:val="004B16D9"/>
    <w:rsid w:val="004B17EB"/>
    <w:rsid w:val="004B1A6A"/>
    <w:rsid w:val="004B2283"/>
    <w:rsid w:val="004B3468"/>
    <w:rsid w:val="004B411E"/>
    <w:rsid w:val="004B5432"/>
    <w:rsid w:val="004B5BE7"/>
    <w:rsid w:val="004B5C3B"/>
    <w:rsid w:val="004B6574"/>
    <w:rsid w:val="004B6BF6"/>
    <w:rsid w:val="004B6E6A"/>
    <w:rsid w:val="004B7DB6"/>
    <w:rsid w:val="004C071B"/>
    <w:rsid w:val="004C28EF"/>
    <w:rsid w:val="004C3797"/>
    <w:rsid w:val="004C4676"/>
    <w:rsid w:val="004C48C4"/>
    <w:rsid w:val="004C4FE9"/>
    <w:rsid w:val="004C6296"/>
    <w:rsid w:val="004C74F5"/>
    <w:rsid w:val="004C7ABB"/>
    <w:rsid w:val="004D0357"/>
    <w:rsid w:val="004D1BF7"/>
    <w:rsid w:val="004D331F"/>
    <w:rsid w:val="004D35D7"/>
    <w:rsid w:val="004D3883"/>
    <w:rsid w:val="004D4597"/>
    <w:rsid w:val="004D5127"/>
    <w:rsid w:val="004D513E"/>
    <w:rsid w:val="004D562B"/>
    <w:rsid w:val="004D5B6C"/>
    <w:rsid w:val="004D5F25"/>
    <w:rsid w:val="004D686E"/>
    <w:rsid w:val="004D6BEA"/>
    <w:rsid w:val="004D75CF"/>
    <w:rsid w:val="004E120E"/>
    <w:rsid w:val="004E122F"/>
    <w:rsid w:val="004E162E"/>
    <w:rsid w:val="004E2CBA"/>
    <w:rsid w:val="004E2FA5"/>
    <w:rsid w:val="004E304E"/>
    <w:rsid w:val="004E40AC"/>
    <w:rsid w:val="004E4186"/>
    <w:rsid w:val="004E5F2B"/>
    <w:rsid w:val="004E6961"/>
    <w:rsid w:val="004E78B0"/>
    <w:rsid w:val="004F04BF"/>
    <w:rsid w:val="004F117E"/>
    <w:rsid w:val="004F13D3"/>
    <w:rsid w:val="004F13F0"/>
    <w:rsid w:val="004F17B3"/>
    <w:rsid w:val="004F1AB1"/>
    <w:rsid w:val="004F27C6"/>
    <w:rsid w:val="004F46D2"/>
    <w:rsid w:val="004F6C56"/>
    <w:rsid w:val="004F6C69"/>
    <w:rsid w:val="004F6E2C"/>
    <w:rsid w:val="004F7168"/>
    <w:rsid w:val="004F7882"/>
    <w:rsid w:val="00500192"/>
    <w:rsid w:val="0050063E"/>
    <w:rsid w:val="00500FA8"/>
    <w:rsid w:val="00501861"/>
    <w:rsid w:val="00501F0D"/>
    <w:rsid w:val="00502D47"/>
    <w:rsid w:val="005033DC"/>
    <w:rsid w:val="005038E7"/>
    <w:rsid w:val="00505B28"/>
    <w:rsid w:val="005063E0"/>
    <w:rsid w:val="00506EB0"/>
    <w:rsid w:val="005070DF"/>
    <w:rsid w:val="00507531"/>
    <w:rsid w:val="005075B2"/>
    <w:rsid w:val="00507683"/>
    <w:rsid w:val="00507983"/>
    <w:rsid w:val="005103C4"/>
    <w:rsid w:val="005105FA"/>
    <w:rsid w:val="005106D8"/>
    <w:rsid w:val="00511359"/>
    <w:rsid w:val="005116AB"/>
    <w:rsid w:val="005116E8"/>
    <w:rsid w:val="00511E59"/>
    <w:rsid w:val="0051373C"/>
    <w:rsid w:val="0051433C"/>
    <w:rsid w:val="005143F4"/>
    <w:rsid w:val="00514476"/>
    <w:rsid w:val="00514523"/>
    <w:rsid w:val="0051559D"/>
    <w:rsid w:val="00515667"/>
    <w:rsid w:val="0051580C"/>
    <w:rsid w:val="00516515"/>
    <w:rsid w:val="00516999"/>
    <w:rsid w:val="00517DF2"/>
    <w:rsid w:val="00517FDB"/>
    <w:rsid w:val="00520191"/>
    <w:rsid w:val="00520FC1"/>
    <w:rsid w:val="005213B6"/>
    <w:rsid w:val="005213FD"/>
    <w:rsid w:val="0052182B"/>
    <w:rsid w:val="00521867"/>
    <w:rsid w:val="005222C1"/>
    <w:rsid w:val="00523438"/>
    <w:rsid w:val="00523574"/>
    <w:rsid w:val="00523A85"/>
    <w:rsid w:val="005253F3"/>
    <w:rsid w:val="00525C25"/>
    <w:rsid w:val="005260CA"/>
    <w:rsid w:val="00526DDF"/>
    <w:rsid w:val="00526F0E"/>
    <w:rsid w:val="005271DE"/>
    <w:rsid w:val="0052756E"/>
    <w:rsid w:val="005301D3"/>
    <w:rsid w:val="005301ED"/>
    <w:rsid w:val="005315C1"/>
    <w:rsid w:val="005317F9"/>
    <w:rsid w:val="00532398"/>
    <w:rsid w:val="005323D0"/>
    <w:rsid w:val="005324A8"/>
    <w:rsid w:val="00532FA6"/>
    <w:rsid w:val="0053334F"/>
    <w:rsid w:val="00533EE3"/>
    <w:rsid w:val="005343B6"/>
    <w:rsid w:val="00535218"/>
    <w:rsid w:val="005353B1"/>
    <w:rsid w:val="005356B9"/>
    <w:rsid w:val="0053575F"/>
    <w:rsid w:val="005363A5"/>
    <w:rsid w:val="00536711"/>
    <w:rsid w:val="00536CA9"/>
    <w:rsid w:val="00536FCE"/>
    <w:rsid w:val="00536FDC"/>
    <w:rsid w:val="0053715B"/>
    <w:rsid w:val="0053745C"/>
    <w:rsid w:val="005401CB"/>
    <w:rsid w:val="0054184E"/>
    <w:rsid w:val="00541953"/>
    <w:rsid w:val="00543C6E"/>
    <w:rsid w:val="005451C8"/>
    <w:rsid w:val="005452C3"/>
    <w:rsid w:val="005453FE"/>
    <w:rsid w:val="00545B9E"/>
    <w:rsid w:val="00545DBE"/>
    <w:rsid w:val="00545EC1"/>
    <w:rsid w:val="005463E7"/>
    <w:rsid w:val="00547CB6"/>
    <w:rsid w:val="00550576"/>
    <w:rsid w:val="00550E8D"/>
    <w:rsid w:val="005514C7"/>
    <w:rsid w:val="005515C8"/>
    <w:rsid w:val="00552416"/>
    <w:rsid w:val="00553187"/>
    <w:rsid w:val="00553770"/>
    <w:rsid w:val="00553CE9"/>
    <w:rsid w:val="005547D5"/>
    <w:rsid w:val="00555098"/>
    <w:rsid w:val="00555B8F"/>
    <w:rsid w:val="00557206"/>
    <w:rsid w:val="0055720A"/>
    <w:rsid w:val="005612FC"/>
    <w:rsid w:val="00561D6F"/>
    <w:rsid w:val="00562778"/>
    <w:rsid w:val="005629BE"/>
    <w:rsid w:val="00562CCB"/>
    <w:rsid w:val="00562D1A"/>
    <w:rsid w:val="00562DB9"/>
    <w:rsid w:val="00563604"/>
    <w:rsid w:val="00563BEC"/>
    <w:rsid w:val="00563C52"/>
    <w:rsid w:val="00563C65"/>
    <w:rsid w:val="005641A8"/>
    <w:rsid w:val="00564863"/>
    <w:rsid w:val="00564BEE"/>
    <w:rsid w:val="00564C51"/>
    <w:rsid w:val="00564EF8"/>
    <w:rsid w:val="0056524F"/>
    <w:rsid w:val="00565C1C"/>
    <w:rsid w:val="00567014"/>
    <w:rsid w:val="005671E9"/>
    <w:rsid w:val="0057106E"/>
    <w:rsid w:val="00571ABD"/>
    <w:rsid w:val="0057261F"/>
    <w:rsid w:val="005728BF"/>
    <w:rsid w:val="005737E7"/>
    <w:rsid w:val="0057519E"/>
    <w:rsid w:val="005753A8"/>
    <w:rsid w:val="00575669"/>
    <w:rsid w:val="00575A36"/>
    <w:rsid w:val="00575ADA"/>
    <w:rsid w:val="00577260"/>
    <w:rsid w:val="00577C9C"/>
    <w:rsid w:val="0058025F"/>
    <w:rsid w:val="00580799"/>
    <w:rsid w:val="00580A31"/>
    <w:rsid w:val="00581696"/>
    <w:rsid w:val="00581B69"/>
    <w:rsid w:val="005821D4"/>
    <w:rsid w:val="0058231D"/>
    <w:rsid w:val="005846B7"/>
    <w:rsid w:val="00584880"/>
    <w:rsid w:val="00584BA4"/>
    <w:rsid w:val="00585347"/>
    <w:rsid w:val="005854D0"/>
    <w:rsid w:val="00585E86"/>
    <w:rsid w:val="00586A87"/>
    <w:rsid w:val="00587AF4"/>
    <w:rsid w:val="00587C0A"/>
    <w:rsid w:val="00587C84"/>
    <w:rsid w:val="0059457D"/>
    <w:rsid w:val="00594D8C"/>
    <w:rsid w:val="0059530D"/>
    <w:rsid w:val="005958E3"/>
    <w:rsid w:val="00595C4E"/>
    <w:rsid w:val="00595C78"/>
    <w:rsid w:val="00596316"/>
    <w:rsid w:val="00596390"/>
    <w:rsid w:val="0059664C"/>
    <w:rsid w:val="005976E6"/>
    <w:rsid w:val="005977F6"/>
    <w:rsid w:val="00597B3E"/>
    <w:rsid w:val="005A0557"/>
    <w:rsid w:val="005A271A"/>
    <w:rsid w:val="005A2EFC"/>
    <w:rsid w:val="005A31E9"/>
    <w:rsid w:val="005A349A"/>
    <w:rsid w:val="005A4032"/>
    <w:rsid w:val="005A5D7F"/>
    <w:rsid w:val="005A5F33"/>
    <w:rsid w:val="005A63E5"/>
    <w:rsid w:val="005B0095"/>
    <w:rsid w:val="005B0633"/>
    <w:rsid w:val="005B0BE0"/>
    <w:rsid w:val="005B18B5"/>
    <w:rsid w:val="005B1FEF"/>
    <w:rsid w:val="005B20C4"/>
    <w:rsid w:val="005B2F8D"/>
    <w:rsid w:val="005B3D31"/>
    <w:rsid w:val="005B4F92"/>
    <w:rsid w:val="005B5079"/>
    <w:rsid w:val="005B5DE3"/>
    <w:rsid w:val="005B65AB"/>
    <w:rsid w:val="005B71EE"/>
    <w:rsid w:val="005C057E"/>
    <w:rsid w:val="005C1BE0"/>
    <w:rsid w:val="005C1F85"/>
    <w:rsid w:val="005C2DF2"/>
    <w:rsid w:val="005C3E3F"/>
    <w:rsid w:val="005C451C"/>
    <w:rsid w:val="005C5878"/>
    <w:rsid w:val="005C74C7"/>
    <w:rsid w:val="005D0AC3"/>
    <w:rsid w:val="005D0B08"/>
    <w:rsid w:val="005D0DB5"/>
    <w:rsid w:val="005D163A"/>
    <w:rsid w:val="005D1C40"/>
    <w:rsid w:val="005D2521"/>
    <w:rsid w:val="005D272A"/>
    <w:rsid w:val="005D44A9"/>
    <w:rsid w:val="005D474B"/>
    <w:rsid w:val="005D4934"/>
    <w:rsid w:val="005D5D68"/>
    <w:rsid w:val="005D6251"/>
    <w:rsid w:val="005D6947"/>
    <w:rsid w:val="005D784C"/>
    <w:rsid w:val="005D78EC"/>
    <w:rsid w:val="005D7D5C"/>
    <w:rsid w:val="005D7E82"/>
    <w:rsid w:val="005E0BEE"/>
    <w:rsid w:val="005E16C9"/>
    <w:rsid w:val="005E1A35"/>
    <w:rsid w:val="005E1E24"/>
    <w:rsid w:val="005E3C9F"/>
    <w:rsid w:val="005E45D0"/>
    <w:rsid w:val="005E46FE"/>
    <w:rsid w:val="005E57C5"/>
    <w:rsid w:val="005E5C59"/>
    <w:rsid w:val="005E61AC"/>
    <w:rsid w:val="005E6F25"/>
    <w:rsid w:val="005E718F"/>
    <w:rsid w:val="005F1293"/>
    <w:rsid w:val="005F21EB"/>
    <w:rsid w:val="005F3B1E"/>
    <w:rsid w:val="005F4516"/>
    <w:rsid w:val="005F45F2"/>
    <w:rsid w:val="005F5045"/>
    <w:rsid w:val="005F5B66"/>
    <w:rsid w:val="005F67E6"/>
    <w:rsid w:val="005F6E2F"/>
    <w:rsid w:val="005F6EF0"/>
    <w:rsid w:val="005F7F62"/>
    <w:rsid w:val="00600376"/>
    <w:rsid w:val="0060046E"/>
    <w:rsid w:val="00600669"/>
    <w:rsid w:val="006006CD"/>
    <w:rsid w:val="00600D42"/>
    <w:rsid w:val="00603E16"/>
    <w:rsid w:val="00604B3B"/>
    <w:rsid w:val="00606299"/>
    <w:rsid w:val="0060714A"/>
    <w:rsid w:val="006079F2"/>
    <w:rsid w:val="00607BFF"/>
    <w:rsid w:val="00607FF2"/>
    <w:rsid w:val="00610959"/>
    <w:rsid w:val="0061096B"/>
    <w:rsid w:val="0061154F"/>
    <w:rsid w:val="0061165C"/>
    <w:rsid w:val="00611856"/>
    <w:rsid w:val="00611979"/>
    <w:rsid w:val="00612199"/>
    <w:rsid w:val="0061263E"/>
    <w:rsid w:val="0061264C"/>
    <w:rsid w:val="00614F3F"/>
    <w:rsid w:val="006155E1"/>
    <w:rsid w:val="00617536"/>
    <w:rsid w:val="00617E88"/>
    <w:rsid w:val="00617EA9"/>
    <w:rsid w:val="00620525"/>
    <w:rsid w:val="00620A2C"/>
    <w:rsid w:val="00620A72"/>
    <w:rsid w:val="00620F8D"/>
    <w:rsid w:val="00621AF0"/>
    <w:rsid w:val="00621EA3"/>
    <w:rsid w:val="00622C5A"/>
    <w:rsid w:val="006238C2"/>
    <w:rsid w:val="00625626"/>
    <w:rsid w:val="00625734"/>
    <w:rsid w:val="00625926"/>
    <w:rsid w:val="00625971"/>
    <w:rsid w:val="00625C82"/>
    <w:rsid w:val="0062671F"/>
    <w:rsid w:val="0062790C"/>
    <w:rsid w:val="006301C6"/>
    <w:rsid w:val="00630900"/>
    <w:rsid w:val="0063211E"/>
    <w:rsid w:val="006334B5"/>
    <w:rsid w:val="00633E3B"/>
    <w:rsid w:val="00633F12"/>
    <w:rsid w:val="0063635C"/>
    <w:rsid w:val="00640118"/>
    <w:rsid w:val="00640CF9"/>
    <w:rsid w:val="00641B5A"/>
    <w:rsid w:val="00641F67"/>
    <w:rsid w:val="006420D1"/>
    <w:rsid w:val="006440A3"/>
    <w:rsid w:val="00644425"/>
    <w:rsid w:val="0064631C"/>
    <w:rsid w:val="0064688F"/>
    <w:rsid w:val="00647BFD"/>
    <w:rsid w:val="00650AB3"/>
    <w:rsid w:val="00650E35"/>
    <w:rsid w:val="0065243C"/>
    <w:rsid w:val="0065244F"/>
    <w:rsid w:val="0065350C"/>
    <w:rsid w:val="006537A3"/>
    <w:rsid w:val="006547C1"/>
    <w:rsid w:val="00655343"/>
    <w:rsid w:val="00656725"/>
    <w:rsid w:val="00656786"/>
    <w:rsid w:val="00657C90"/>
    <w:rsid w:val="00657C93"/>
    <w:rsid w:val="006603CC"/>
    <w:rsid w:val="0066050E"/>
    <w:rsid w:val="0066081D"/>
    <w:rsid w:val="00660CC3"/>
    <w:rsid w:val="00660FFC"/>
    <w:rsid w:val="00661767"/>
    <w:rsid w:val="00662976"/>
    <w:rsid w:val="006649C7"/>
    <w:rsid w:val="006663C2"/>
    <w:rsid w:val="00666A29"/>
    <w:rsid w:val="00666BBE"/>
    <w:rsid w:val="006675E2"/>
    <w:rsid w:val="00667B36"/>
    <w:rsid w:val="00667BA4"/>
    <w:rsid w:val="00670A25"/>
    <w:rsid w:val="00671FC6"/>
    <w:rsid w:val="006725EF"/>
    <w:rsid w:val="00672A0D"/>
    <w:rsid w:val="00672C40"/>
    <w:rsid w:val="00672F95"/>
    <w:rsid w:val="00673359"/>
    <w:rsid w:val="0067371A"/>
    <w:rsid w:val="00674531"/>
    <w:rsid w:val="006745C2"/>
    <w:rsid w:val="00674A41"/>
    <w:rsid w:val="00675402"/>
    <w:rsid w:val="00676547"/>
    <w:rsid w:val="006765AF"/>
    <w:rsid w:val="006767D2"/>
    <w:rsid w:val="00676CDB"/>
    <w:rsid w:val="00677025"/>
    <w:rsid w:val="0067745E"/>
    <w:rsid w:val="0067784E"/>
    <w:rsid w:val="00677FCE"/>
    <w:rsid w:val="006808B8"/>
    <w:rsid w:val="00681AA4"/>
    <w:rsid w:val="0068201B"/>
    <w:rsid w:val="00682205"/>
    <w:rsid w:val="00682CA5"/>
    <w:rsid w:val="00683B34"/>
    <w:rsid w:val="00683CA2"/>
    <w:rsid w:val="006841DA"/>
    <w:rsid w:val="00684D1A"/>
    <w:rsid w:val="00685770"/>
    <w:rsid w:val="00685E87"/>
    <w:rsid w:val="00686F11"/>
    <w:rsid w:val="006874EB"/>
    <w:rsid w:val="0068795B"/>
    <w:rsid w:val="00687B7A"/>
    <w:rsid w:val="00690899"/>
    <w:rsid w:val="0069156D"/>
    <w:rsid w:val="00691CED"/>
    <w:rsid w:val="0069235B"/>
    <w:rsid w:val="00692B4C"/>
    <w:rsid w:val="00693349"/>
    <w:rsid w:val="00695C71"/>
    <w:rsid w:val="00697ADB"/>
    <w:rsid w:val="006A0BB5"/>
    <w:rsid w:val="006A17E0"/>
    <w:rsid w:val="006A1BA8"/>
    <w:rsid w:val="006A23F6"/>
    <w:rsid w:val="006A2E3C"/>
    <w:rsid w:val="006A4645"/>
    <w:rsid w:val="006A46CE"/>
    <w:rsid w:val="006A47B7"/>
    <w:rsid w:val="006A4A68"/>
    <w:rsid w:val="006A4E2C"/>
    <w:rsid w:val="006A648E"/>
    <w:rsid w:val="006A6E08"/>
    <w:rsid w:val="006A744C"/>
    <w:rsid w:val="006B2B8F"/>
    <w:rsid w:val="006B2EC0"/>
    <w:rsid w:val="006B333D"/>
    <w:rsid w:val="006B3787"/>
    <w:rsid w:val="006B3DAB"/>
    <w:rsid w:val="006B404D"/>
    <w:rsid w:val="006B47B8"/>
    <w:rsid w:val="006B540E"/>
    <w:rsid w:val="006B61E9"/>
    <w:rsid w:val="006B71CF"/>
    <w:rsid w:val="006B7775"/>
    <w:rsid w:val="006B794F"/>
    <w:rsid w:val="006B7AC1"/>
    <w:rsid w:val="006C0746"/>
    <w:rsid w:val="006C07F3"/>
    <w:rsid w:val="006C08DE"/>
    <w:rsid w:val="006C0DCC"/>
    <w:rsid w:val="006C0FA1"/>
    <w:rsid w:val="006C1567"/>
    <w:rsid w:val="006C1975"/>
    <w:rsid w:val="006C1A74"/>
    <w:rsid w:val="006C1ED2"/>
    <w:rsid w:val="006C1F71"/>
    <w:rsid w:val="006C2BD0"/>
    <w:rsid w:val="006C335E"/>
    <w:rsid w:val="006C35B5"/>
    <w:rsid w:val="006C48CF"/>
    <w:rsid w:val="006C5306"/>
    <w:rsid w:val="006C5608"/>
    <w:rsid w:val="006C5F83"/>
    <w:rsid w:val="006C61F2"/>
    <w:rsid w:val="006D1077"/>
    <w:rsid w:val="006D13F8"/>
    <w:rsid w:val="006D15E9"/>
    <w:rsid w:val="006D248A"/>
    <w:rsid w:val="006D2619"/>
    <w:rsid w:val="006D2872"/>
    <w:rsid w:val="006D3129"/>
    <w:rsid w:val="006D3C62"/>
    <w:rsid w:val="006D4021"/>
    <w:rsid w:val="006D4976"/>
    <w:rsid w:val="006D4E46"/>
    <w:rsid w:val="006D519F"/>
    <w:rsid w:val="006D6F54"/>
    <w:rsid w:val="006D7B2F"/>
    <w:rsid w:val="006D7D97"/>
    <w:rsid w:val="006E08B6"/>
    <w:rsid w:val="006E1978"/>
    <w:rsid w:val="006E2C66"/>
    <w:rsid w:val="006E2E70"/>
    <w:rsid w:val="006E34C8"/>
    <w:rsid w:val="006E4A2B"/>
    <w:rsid w:val="006E682E"/>
    <w:rsid w:val="006E6F5F"/>
    <w:rsid w:val="006F0357"/>
    <w:rsid w:val="006F0EE9"/>
    <w:rsid w:val="006F1148"/>
    <w:rsid w:val="006F1505"/>
    <w:rsid w:val="006F1ADE"/>
    <w:rsid w:val="006F1CD9"/>
    <w:rsid w:val="006F2019"/>
    <w:rsid w:val="006F221F"/>
    <w:rsid w:val="006F24B0"/>
    <w:rsid w:val="006F2ACB"/>
    <w:rsid w:val="006F3B48"/>
    <w:rsid w:val="006F4626"/>
    <w:rsid w:val="006F471C"/>
    <w:rsid w:val="006F47F7"/>
    <w:rsid w:val="006F53CB"/>
    <w:rsid w:val="006F54BA"/>
    <w:rsid w:val="006F60D0"/>
    <w:rsid w:val="006F6888"/>
    <w:rsid w:val="006F6C86"/>
    <w:rsid w:val="006F7047"/>
    <w:rsid w:val="006F743F"/>
    <w:rsid w:val="006F7BFE"/>
    <w:rsid w:val="00700238"/>
    <w:rsid w:val="007003E3"/>
    <w:rsid w:val="00700543"/>
    <w:rsid w:val="0070109E"/>
    <w:rsid w:val="00701530"/>
    <w:rsid w:val="00701B8D"/>
    <w:rsid w:val="00701BFA"/>
    <w:rsid w:val="00701E53"/>
    <w:rsid w:val="00702293"/>
    <w:rsid w:val="00702CA9"/>
    <w:rsid w:val="00703D46"/>
    <w:rsid w:val="00703F10"/>
    <w:rsid w:val="00704A2C"/>
    <w:rsid w:val="00704B5F"/>
    <w:rsid w:val="0070565E"/>
    <w:rsid w:val="00705EED"/>
    <w:rsid w:val="00706C15"/>
    <w:rsid w:val="0070723F"/>
    <w:rsid w:val="00707AAF"/>
    <w:rsid w:val="00710134"/>
    <w:rsid w:val="00710B1D"/>
    <w:rsid w:val="00710CF6"/>
    <w:rsid w:val="00710E67"/>
    <w:rsid w:val="007116BD"/>
    <w:rsid w:val="00712B0A"/>
    <w:rsid w:val="00712EDD"/>
    <w:rsid w:val="007144C9"/>
    <w:rsid w:val="00714A65"/>
    <w:rsid w:val="00714DE0"/>
    <w:rsid w:val="007153A8"/>
    <w:rsid w:val="007166E2"/>
    <w:rsid w:val="00716CD3"/>
    <w:rsid w:val="0071782C"/>
    <w:rsid w:val="00720B5C"/>
    <w:rsid w:val="00720F85"/>
    <w:rsid w:val="0072120E"/>
    <w:rsid w:val="00721AF8"/>
    <w:rsid w:val="00723802"/>
    <w:rsid w:val="007239FA"/>
    <w:rsid w:val="007243CD"/>
    <w:rsid w:val="00724B80"/>
    <w:rsid w:val="00727000"/>
    <w:rsid w:val="007302F6"/>
    <w:rsid w:val="00730B00"/>
    <w:rsid w:val="00732538"/>
    <w:rsid w:val="00732B33"/>
    <w:rsid w:val="00733306"/>
    <w:rsid w:val="007339C3"/>
    <w:rsid w:val="00733FA5"/>
    <w:rsid w:val="007354B6"/>
    <w:rsid w:val="00735E45"/>
    <w:rsid w:val="00735F37"/>
    <w:rsid w:val="0073769C"/>
    <w:rsid w:val="007377FF"/>
    <w:rsid w:val="007401C0"/>
    <w:rsid w:val="00742145"/>
    <w:rsid w:val="007432BC"/>
    <w:rsid w:val="0074373B"/>
    <w:rsid w:val="0074482C"/>
    <w:rsid w:val="00744DC4"/>
    <w:rsid w:val="00745251"/>
    <w:rsid w:val="00745533"/>
    <w:rsid w:val="00746054"/>
    <w:rsid w:val="00746290"/>
    <w:rsid w:val="00746A5D"/>
    <w:rsid w:val="00747789"/>
    <w:rsid w:val="007509F2"/>
    <w:rsid w:val="0075131C"/>
    <w:rsid w:val="00752FC8"/>
    <w:rsid w:val="00753058"/>
    <w:rsid w:val="007534D5"/>
    <w:rsid w:val="00753697"/>
    <w:rsid w:val="00755159"/>
    <w:rsid w:val="007565FC"/>
    <w:rsid w:val="00757222"/>
    <w:rsid w:val="007577E7"/>
    <w:rsid w:val="007579F2"/>
    <w:rsid w:val="007605EB"/>
    <w:rsid w:val="007615F1"/>
    <w:rsid w:val="007632D2"/>
    <w:rsid w:val="00763B06"/>
    <w:rsid w:val="00763C2D"/>
    <w:rsid w:val="00763CD1"/>
    <w:rsid w:val="007640EB"/>
    <w:rsid w:val="0076462E"/>
    <w:rsid w:val="0076722E"/>
    <w:rsid w:val="00767277"/>
    <w:rsid w:val="00767434"/>
    <w:rsid w:val="00770750"/>
    <w:rsid w:val="00770803"/>
    <w:rsid w:val="00770C03"/>
    <w:rsid w:val="00770D03"/>
    <w:rsid w:val="007716A8"/>
    <w:rsid w:val="00771A45"/>
    <w:rsid w:val="00771DDE"/>
    <w:rsid w:val="00772AE8"/>
    <w:rsid w:val="00773D1F"/>
    <w:rsid w:val="00774A83"/>
    <w:rsid w:val="00775040"/>
    <w:rsid w:val="00775133"/>
    <w:rsid w:val="00775F0F"/>
    <w:rsid w:val="00776803"/>
    <w:rsid w:val="007768D1"/>
    <w:rsid w:val="00776EA4"/>
    <w:rsid w:val="00777E81"/>
    <w:rsid w:val="00780210"/>
    <w:rsid w:val="0078203E"/>
    <w:rsid w:val="00783C62"/>
    <w:rsid w:val="00783E33"/>
    <w:rsid w:val="00784328"/>
    <w:rsid w:val="007859F4"/>
    <w:rsid w:val="00785E17"/>
    <w:rsid w:val="007863EF"/>
    <w:rsid w:val="00786810"/>
    <w:rsid w:val="007875F9"/>
    <w:rsid w:val="0078772B"/>
    <w:rsid w:val="00787809"/>
    <w:rsid w:val="0079002B"/>
    <w:rsid w:val="007906DE"/>
    <w:rsid w:val="00790731"/>
    <w:rsid w:val="007937AC"/>
    <w:rsid w:val="00794226"/>
    <w:rsid w:val="00794CFE"/>
    <w:rsid w:val="00794D6C"/>
    <w:rsid w:val="00794EB6"/>
    <w:rsid w:val="007952E3"/>
    <w:rsid w:val="00795DCB"/>
    <w:rsid w:val="00797D3F"/>
    <w:rsid w:val="007A0FC6"/>
    <w:rsid w:val="007A1646"/>
    <w:rsid w:val="007A2770"/>
    <w:rsid w:val="007A2A81"/>
    <w:rsid w:val="007A2C8A"/>
    <w:rsid w:val="007A2EB3"/>
    <w:rsid w:val="007A2F52"/>
    <w:rsid w:val="007A307A"/>
    <w:rsid w:val="007A56C3"/>
    <w:rsid w:val="007A5836"/>
    <w:rsid w:val="007A61A8"/>
    <w:rsid w:val="007A640B"/>
    <w:rsid w:val="007A732D"/>
    <w:rsid w:val="007A7381"/>
    <w:rsid w:val="007A764B"/>
    <w:rsid w:val="007A7C95"/>
    <w:rsid w:val="007B05C2"/>
    <w:rsid w:val="007B09BF"/>
    <w:rsid w:val="007B0CBC"/>
    <w:rsid w:val="007B22AA"/>
    <w:rsid w:val="007B5169"/>
    <w:rsid w:val="007B525F"/>
    <w:rsid w:val="007B55B1"/>
    <w:rsid w:val="007B6494"/>
    <w:rsid w:val="007B6A99"/>
    <w:rsid w:val="007B6C79"/>
    <w:rsid w:val="007B7633"/>
    <w:rsid w:val="007C0032"/>
    <w:rsid w:val="007C0262"/>
    <w:rsid w:val="007C046B"/>
    <w:rsid w:val="007C13B8"/>
    <w:rsid w:val="007C2B07"/>
    <w:rsid w:val="007C2BEE"/>
    <w:rsid w:val="007C2CD0"/>
    <w:rsid w:val="007C4856"/>
    <w:rsid w:val="007C5CB4"/>
    <w:rsid w:val="007C6133"/>
    <w:rsid w:val="007C719E"/>
    <w:rsid w:val="007C7C91"/>
    <w:rsid w:val="007C7E94"/>
    <w:rsid w:val="007D0007"/>
    <w:rsid w:val="007D00A3"/>
    <w:rsid w:val="007D09C3"/>
    <w:rsid w:val="007D0C7A"/>
    <w:rsid w:val="007D25D6"/>
    <w:rsid w:val="007D2829"/>
    <w:rsid w:val="007D2B0E"/>
    <w:rsid w:val="007D2EE9"/>
    <w:rsid w:val="007D337F"/>
    <w:rsid w:val="007D38C7"/>
    <w:rsid w:val="007D42E7"/>
    <w:rsid w:val="007D59F0"/>
    <w:rsid w:val="007D5F62"/>
    <w:rsid w:val="007D649F"/>
    <w:rsid w:val="007D73A5"/>
    <w:rsid w:val="007D7961"/>
    <w:rsid w:val="007E0DF6"/>
    <w:rsid w:val="007E0EB9"/>
    <w:rsid w:val="007E0F89"/>
    <w:rsid w:val="007E1BE4"/>
    <w:rsid w:val="007E1C5C"/>
    <w:rsid w:val="007E1E9E"/>
    <w:rsid w:val="007E2169"/>
    <w:rsid w:val="007E2B3E"/>
    <w:rsid w:val="007E2D56"/>
    <w:rsid w:val="007E44EA"/>
    <w:rsid w:val="007E4971"/>
    <w:rsid w:val="007E4BCD"/>
    <w:rsid w:val="007E4DD8"/>
    <w:rsid w:val="007F012C"/>
    <w:rsid w:val="007F0DCB"/>
    <w:rsid w:val="007F1100"/>
    <w:rsid w:val="007F158C"/>
    <w:rsid w:val="007F2305"/>
    <w:rsid w:val="007F2662"/>
    <w:rsid w:val="007F2685"/>
    <w:rsid w:val="007F3AAD"/>
    <w:rsid w:val="007F4541"/>
    <w:rsid w:val="007F483D"/>
    <w:rsid w:val="007F57F8"/>
    <w:rsid w:val="007F59D2"/>
    <w:rsid w:val="007F5D3A"/>
    <w:rsid w:val="007F621B"/>
    <w:rsid w:val="007F6700"/>
    <w:rsid w:val="007F69E2"/>
    <w:rsid w:val="007F6A01"/>
    <w:rsid w:val="007F6C2A"/>
    <w:rsid w:val="007F7644"/>
    <w:rsid w:val="007F791D"/>
    <w:rsid w:val="007F797F"/>
    <w:rsid w:val="00800290"/>
    <w:rsid w:val="00800555"/>
    <w:rsid w:val="00800D1D"/>
    <w:rsid w:val="00801842"/>
    <w:rsid w:val="008027B0"/>
    <w:rsid w:val="00802A18"/>
    <w:rsid w:val="0080330F"/>
    <w:rsid w:val="00803BB5"/>
    <w:rsid w:val="00803C51"/>
    <w:rsid w:val="00804D3F"/>
    <w:rsid w:val="00806FF2"/>
    <w:rsid w:val="00807CD8"/>
    <w:rsid w:val="00810872"/>
    <w:rsid w:val="00811537"/>
    <w:rsid w:val="0081197E"/>
    <w:rsid w:val="00813A90"/>
    <w:rsid w:val="00814B6F"/>
    <w:rsid w:val="00814F24"/>
    <w:rsid w:val="008156B5"/>
    <w:rsid w:val="008159F4"/>
    <w:rsid w:val="00815EDD"/>
    <w:rsid w:val="00816078"/>
    <w:rsid w:val="008171D9"/>
    <w:rsid w:val="00820992"/>
    <w:rsid w:val="00820D62"/>
    <w:rsid w:val="00820E94"/>
    <w:rsid w:val="00822731"/>
    <w:rsid w:val="00823288"/>
    <w:rsid w:val="008232F2"/>
    <w:rsid w:val="0082347E"/>
    <w:rsid w:val="00824705"/>
    <w:rsid w:val="00824BF3"/>
    <w:rsid w:val="00827261"/>
    <w:rsid w:val="008301F0"/>
    <w:rsid w:val="008304ED"/>
    <w:rsid w:val="00831D34"/>
    <w:rsid w:val="008325C0"/>
    <w:rsid w:val="00832BAE"/>
    <w:rsid w:val="00832BCF"/>
    <w:rsid w:val="00833329"/>
    <w:rsid w:val="0083369A"/>
    <w:rsid w:val="00833A4C"/>
    <w:rsid w:val="0083421C"/>
    <w:rsid w:val="008346AE"/>
    <w:rsid w:val="00834C49"/>
    <w:rsid w:val="00834FBC"/>
    <w:rsid w:val="00835E3E"/>
    <w:rsid w:val="00836528"/>
    <w:rsid w:val="00836BE0"/>
    <w:rsid w:val="008376A6"/>
    <w:rsid w:val="0084022F"/>
    <w:rsid w:val="00840902"/>
    <w:rsid w:val="008409A7"/>
    <w:rsid w:val="00841619"/>
    <w:rsid w:val="00841D5E"/>
    <w:rsid w:val="0084212B"/>
    <w:rsid w:val="00842D88"/>
    <w:rsid w:val="00843468"/>
    <w:rsid w:val="00843B8B"/>
    <w:rsid w:val="0084447A"/>
    <w:rsid w:val="0084518B"/>
    <w:rsid w:val="008455E9"/>
    <w:rsid w:val="008459CB"/>
    <w:rsid w:val="008460BE"/>
    <w:rsid w:val="008466B4"/>
    <w:rsid w:val="00846C6D"/>
    <w:rsid w:val="00847C1F"/>
    <w:rsid w:val="00850003"/>
    <w:rsid w:val="008503C1"/>
    <w:rsid w:val="0085047F"/>
    <w:rsid w:val="00850855"/>
    <w:rsid w:val="00850EE6"/>
    <w:rsid w:val="00853A59"/>
    <w:rsid w:val="00854881"/>
    <w:rsid w:val="00854F1C"/>
    <w:rsid w:val="0085505A"/>
    <w:rsid w:val="00855167"/>
    <w:rsid w:val="00855E7D"/>
    <w:rsid w:val="008607A6"/>
    <w:rsid w:val="008636A9"/>
    <w:rsid w:val="008638FE"/>
    <w:rsid w:val="00863B05"/>
    <w:rsid w:val="0086423D"/>
    <w:rsid w:val="00864A0C"/>
    <w:rsid w:val="00864DDB"/>
    <w:rsid w:val="008652EA"/>
    <w:rsid w:val="00865A3C"/>
    <w:rsid w:val="00865CDE"/>
    <w:rsid w:val="008669D7"/>
    <w:rsid w:val="008670E7"/>
    <w:rsid w:val="00867682"/>
    <w:rsid w:val="008700F8"/>
    <w:rsid w:val="0087084B"/>
    <w:rsid w:val="00870FA3"/>
    <w:rsid w:val="008721FB"/>
    <w:rsid w:val="0087309D"/>
    <w:rsid w:val="00873AB2"/>
    <w:rsid w:val="00873B80"/>
    <w:rsid w:val="008742DF"/>
    <w:rsid w:val="008750DA"/>
    <w:rsid w:val="00875580"/>
    <w:rsid w:val="008755F3"/>
    <w:rsid w:val="0087698F"/>
    <w:rsid w:val="00877856"/>
    <w:rsid w:val="00877AD1"/>
    <w:rsid w:val="00877CD6"/>
    <w:rsid w:val="0088004A"/>
    <w:rsid w:val="008801D2"/>
    <w:rsid w:val="00880CD5"/>
    <w:rsid w:val="00880FEA"/>
    <w:rsid w:val="0088100D"/>
    <w:rsid w:val="008813D9"/>
    <w:rsid w:val="00881791"/>
    <w:rsid w:val="0088294A"/>
    <w:rsid w:val="00884026"/>
    <w:rsid w:val="00884430"/>
    <w:rsid w:val="008846FF"/>
    <w:rsid w:val="0088491A"/>
    <w:rsid w:val="008849A9"/>
    <w:rsid w:val="00884AB6"/>
    <w:rsid w:val="00884D2E"/>
    <w:rsid w:val="0088607D"/>
    <w:rsid w:val="00886C7D"/>
    <w:rsid w:val="008870E1"/>
    <w:rsid w:val="0088725F"/>
    <w:rsid w:val="008879E5"/>
    <w:rsid w:val="00890BD3"/>
    <w:rsid w:val="008913DD"/>
    <w:rsid w:val="00891A5B"/>
    <w:rsid w:val="00891BB2"/>
    <w:rsid w:val="008928A2"/>
    <w:rsid w:val="0089309C"/>
    <w:rsid w:val="00893687"/>
    <w:rsid w:val="008946A9"/>
    <w:rsid w:val="0089504B"/>
    <w:rsid w:val="0089515C"/>
    <w:rsid w:val="008952D3"/>
    <w:rsid w:val="008966B5"/>
    <w:rsid w:val="00897597"/>
    <w:rsid w:val="008A03C8"/>
    <w:rsid w:val="008A1081"/>
    <w:rsid w:val="008A18EB"/>
    <w:rsid w:val="008A1C08"/>
    <w:rsid w:val="008A2584"/>
    <w:rsid w:val="008A4197"/>
    <w:rsid w:val="008A58B6"/>
    <w:rsid w:val="008A5AF4"/>
    <w:rsid w:val="008A6543"/>
    <w:rsid w:val="008A67F5"/>
    <w:rsid w:val="008A6EA0"/>
    <w:rsid w:val="008A7464"/>
    <w:rsid w:val="008A7DE1"/>
    <w:rsid w:val="008B0BF8"/>
    <w:rsid w:val="008B1709"/>
    <w:rsid w:val="008B19BC"/>
    <w:rsid w:val="008B1EB6"/>
    <w:rsid w:val="008B2E47"/>
    <w:rsid w:val="008B36A9"/>
    <w:rsid w:val="008B43EC"/>
    <w:rsid w:val="008B520B"/>
    <w:rsid w:val="008B5E0C"/>
    <w:rsid w:val="008B64A0"/>
    <w:rsid w:val="008B6808"/>
    <w:rsid w:val="008B7478"/>
    <w:rsid w:val="008C4BCA"/>
    <w:rsid w:val="008C5616"/>
    <w:rsid w:val="008C594C"/>
    <w:rsid w:val="008C65B9"/>
    <w:rsid w:val="008C6EE3"/>
    <w:rsid w:val="008C71C2"/>
    <w:rsid w:val="008C7D88"/>
    <w:rsid w:val="008D02BE"/>
    <w:rsid w:val="008D0438"/>
    <w:rsid w:val="008D0CBD"/>
    <w:rsid w:val="008D1D99"/>
    <w:rsid w:val="008D2274"/>
    <w:rsid w:val="008D2A0D"/>
    <w:rsid w:val="008D2BC5"/>
    <w:rsid w:val="008D2F50"/>
    <w:rsid w:val="008D327E"/>
    <w:rsid w:val="008D3712"/>
    <w:rsid w:val="008D3A4C"/>
    <w:rsid w:val="008D42D5"/>
    <w:rsid w:val="008D4303"/>
    <w:rsid w:val="008D46CA"/>
    <w:rsid w:val="008D4831"/>
    <w:rsid w:val="008D6A92"/>
    <w:rsid w:val="008E1598"/>
    <w:rsid w:val="008E2469"/>
    <w:rsid w:val="008E2C6D"/>
    <w:rsid w:val="008E2E90"/>
    <w:rsid w:val="008E3337"/>
    <w:rsid w:val="008E37B4"/>
    <w:rsid w:val="008E3CE3"/>
    <w:rsid w:val="008E41CF"/>
    <w:rsid w:val="008E51EF"/>
    <w:rsid w:val="008E54EA"/>
    <w:rsid w:val="008E55FE"/>
    <w:rsid w:val="008E5E49"/>
    <w:rsid w:val="008E6027"/>
    <w:rsid w:val="008E6867"/>
    <w:rsid w:val="008E7ACB"/>
    <w:rsid w:val="008E7C8E"/>
    <w:rsid w:val="008F014C"/>
    <w:rsid w:val="008F13AD"/>
    <w:rsid w:val="008F1659"/>
    <w:rsid w:val="008F178C"/>
    <w:rsid w:val="008F2658"/>
    <w:rsid w:val="008F31C7"/>
    <w:rsid w:val="008F61E0"/>
    <w:rsid w:val="008F6D4D"/>
    <w:rsid w:val="008F7073"/>
    <w:rsid w:val="008F72C2"/>
    <w:rsid w:val="008F739E"/>
    <w:rsid w:val="008F773B"/>
    <w:rsid w:val="009000E7"/>
    <w:rsid w:val="00900DAB"/>
    <w:rsid w:val="00900E6F"/>
    <w:rsid w:val="0090116E"/>
    <w:rsid w:val="00901494"/>
    <w:rsid w:val="0090218E"/>
    <w:rsid w:val="00902FFD"/>
    <w:rsid w:val="00903987"/>
    <w:rsid w:val="00903B85"/>
    <w:rsid w:val="009043F8"/>
    <w:rsid w:val="009048F5"/>
    <w:rsid w:val="00904A12"/>
    <w:rsid w:val="0090619C"/>
    <w:rsid w:val="00907D4A"/>
    <w:rsid w:val="00910A57"/>
    <w:rsid w:val="00911BDE"/>
    <w:rsid w:val="009129DB"/>
    <w:rsid w:val="00913EA1"/>
    <w:rsid w:val="00915DA0"/>
    <w:rsid w:val="00915DD3"/>
    <w:rsid w:val="009162DB"/>
    <w:rsid w:val="00916846"/>
    <w:rsid w:val="00917589"/>
    <w:rsid w:val="009179D8"/>
    <w:rsid w:val="00917ACA"/>
    <w:rsid w:val="00920077"/>
    <w:rsid w:val="00921191"/>
    <w:rsid w:val="00921C3D"/>
    <w:rsid w:val="009234BC"/>
    <w:rsid w:val="009236A9"/>
    <w:rsid w:val="00923CF1"/>
    <w:rsid w:val="00924019"/>
    <w:rsid w:val="00924863"/>
    <w:rsid w:val="00924B78"/>
    <w:rsid w:val="00924D62"/>
    <w:rsid w:val="00924F2D"/>
    <w:rsid w:val="00925567"/>
    <w:rsid w:val="00925927"/>
    <w:rsid w:val="00925A99"/>
    <w:rsid w:val="00925E7D"/>
    <w:rsid w:val="00927C8E"/>
    <w:rsid w:val="00927F69"/>
    <w:rsid w:val="00930098"/>
    <w:rsid w:val="00931F8B"/>
    <w:rsid w:val="0093296A"/>
    <w:rsid w:val="0093362C"/>
    <w:rsid w:val="00933B03"/>
    <w:rsid w:val="00933C11"/>
    <w:rsid w:val="00935512"/>
    <w:rsid w:val="00935785"/>
    <w:rsid w:val="00935ECD"/>
    <w:rsid w:val="009367A7"/>
    <w:rsid w:val="00937A00"/>
    <w:rsid w:val="0094009C"/>
    <w:rsid w:val="009418CB"/>
    <w:rsid w:val="00944285"/>
    <w:rsid w:val="00944348"/>
    <w:rsid w:val="00944D8D"/>
    <w:rsid w:val="00945CF2"/>
    <w:rsid w:val="009474AF"/>
    <w:rsid w:val="00947FDA"/>
    <w:rsid w:val="0095076B"/>
    <w:rsid w:val="00950A52"/>
    <w:rsid w:val="00951504"/>
    <w:rsid w:val="009523B7"/>
    <w:rsid w:val="00952A39"/>
    <w:rsid w:val="009537DD"/>
    <w:rsid w:val="0095395E"/>
    <w:rsid w:val="00953AAC"/>
    <w:rsid w:val="00953E12"/>
    <w:rsid w:val="00954F04"/>
    <w:rsid w:val="00955767"/>
    <w:rsid w:val="009557B5"/>
    <w:rsid w:val="009578B2"/>
    <w:rsid w:val="00960B3D"/>
    <w:rsid w:val="00960BCF"/>
    <w:rsid w:val="009614C2"/>
    <w:rsid w:val="0096157D"/>
    <w:rsid w:val="0096214C"/>
    <w:rsid w:val="00964B01"/>
    <w:rsid w:val="00964DC2"/>
    <w:rsid w:val="00965834"/>
    <w:rsid w:val="00966900"/>
    <w:rsid w:val="009670B5"/>
    <w:rsid w:val="009670C6"/>
    <w:rsid w:val="00967838"/>
    <w:rsid w:val="00967C73"/>
    <w:rsid w:val="00970818"/>
    <w:rsid w:val="00970D9B"/>
    <w:rsid w:val="009713B6"/>
    <w:rsid w:val="00971C1B"/>
    <w:rsid w:val="009722D5"/>
    <w:rsid w:val="00972540"/>
    <w:rsid w:val="009732C8"/>
    <w:rsid w:val="00973BA4"/>
    <w:rsid w:val="00973F39"/>
    <w:rsid w:val="00974769"/>
    <w:rsid w:val="0097513A"/>
    <w:rsid w:val="00975BD0"/>
    <w:rsid w:val="00976477"/>
    <w:rsid w:val="009764E9"/>
    <w:rsid w:val="00976B59"/>
    <w:rsid w:val="00976D13"/>
    <w:rsid w:val="009771D3"/>
    <w:rsid w:val="009776B3"/>
    <w:rsid w:val="00977E02"/>
    <w:rsid w:val="00980E0B"/>
    <w:rsid w:val="0098404B"/>
    <w:rsid w:val="009846D3"/>
    <w:rsid w:val="009852F5"/>
    <w:rsid w:val="009855AD"/>
    <w:rsid w:val="009859DC"/>
    <w:rsid w:val="00986103"/>
    <w:rsid w:val="009879C7"/>
    <w:rsid w:val="00991BC7"/>
    <w:rsid w:val="00992105"/>
    <w:rsid w:val="00992DA1"/>
    <w:rsid w:val="00992DFB"/>
    <w:rsid w:val="00993EB3"/>
    <w:rsid w:val="009955BD"/>
    <w:rsid w:val="00995C0E"/>
    <w:rsid w:val="0099715E"/>
    <w:rsid w:val="00997CA3"/>
    <w:rsid w:val="009A0147"/>
    <w:rsid w:val="009A0482"/>
    <w:rsid w:val="009A0926"/>
    <w:rsid w:val="009A0B6A"/>
    <w:rsid w:val="009A170B"/>
    <w:rsid w:val="009A2913"/>
    <w:rsid w:val="009A2B3F"/>
    <w:rsid w:val="009A30B6"/>
    <w:rsid w:val="009A3504"/>
    <w:rsid w:val="009A3744"/>
    <w:rsid w:val="009A46A3"/>
    <w:rsid w:val="009A56B3"/>
    <w:rsid w:val="009A582A"/>
    <w:rsid w:val="009A5B08"/>
    <w:rsid w:val="009A66B4"/>
    <w:rsid w:val="009A6F30"/>
    <w:rsid w:val="009A79B1"/>
    <w:rsid w:val="009B01C7"/>
    <w:rsid w:val="009B0583"/>
    <w:rsid w:val="009B253D"/>
    <w:rsid w:val="009B2884"/>
    <w:rsid w:val="009B3678"/>
    <w:rsid w:val="009B3BE9"/>
    <w:rsid w:val="009B511F"/>
    <w:rsid w:val="009B5620"/>
    <w:rsid w:val="009B6015"/>
    <w:rsid w:val="009B714F"/>
    <w:rsid w:val="009B7BE8"/>
    <w:rsid w:val="009C269B"/>
    <w:rsid w:val="009C30E3"/>
    <w:rsid w:val="009C37A0"/>
    <w:rsid w:val="009C3CBC"/>
    <w:rsid w:val="009C42C7"/>
    <w:rsid w:val="009C43EE"/>
    <w:rsid w:val="009C613F"/>
    <w:rsid w:val="009C614C"/>
    <w:rsid w:val="009C66B0"/>
    <w:rsid w:val="009C6924"/>
    <w:rsid w:val="009C6BB4"/>
    <w:rsid w:val="009C7F7E"/>
    <w:rsid w:val="009D004B"/>
    <w:rsid w:val="009D0793"/>
    <w:rsid w:val="009D08E4"/>
    <w:rsid w:val="009D0A27"/>
    <w:rsid w:val="009D10C1"/>
    <w:rsid w:val="009D110F"/>
    <w:rsid w:val="009D14C1"/>
    <w:rsid w:val="009D2266"/>
    <w:rsid w:val="009D3C96"/>
    <w:rsid w:val="009D468A"/>
    <w:rsid w:val="009D5901"/>
    <w:rsid w:val="009D5CCE"/>
    <w:rsid w:val="009E0267"/>
    <w:rsid w:val="009E0389"/>
    <w:rsid w:val="009E0700"/>
    <w:rsid w:val="009E0D03"/>
    <w:rsid w:val="009E2115"/>
    <w:rsid w:val="009E21FF"/>
    <w:rsid w:val="009E417F"/>
    <w:rsid w:val="009E468A"/>
    <w:rsid w:val="009E48BC"/>
    <w:rsid w:val="009E4E2E"/>
    <w:rsid w:val="009E4E4D"/>
    <w:rsid w:val="009E4F43"/>
    <w:rsid w:val="009F1E4C"/>
    <w:rsid w:val="009F2344"/>
    <w:rsid w:val="009F2CB1"/>
    <w:rsid w:val="009F2E96"/>
    <w:rsid w:val="009F3E97"/>
    <w:rsid w:val="009F53CE"/>
    <w:rsid w:val="009F653E"/>
    <w:rsid w:val="009F660F"/>
    <w:rsid w:val="009F7038"/>
    <w:rsid w:val="009F7381"/>
    <w:rsid w:val="009F78C5"/>
    <w:rsid w:val="009F7E1E"/>
    <w:rsid w:val="00A0022B"/>
    <w:rsid w:val="00A0144B"/>
    <w:rsid w:val="00A01A83"/>
    <w:rsid w:val="00A023D9"/>
    <w:rsid w:val="00A0468E"/>
    <w:rsid w:val="00A05218"/>
    <w:rsid w:val="00A05FB2"/>
    <w:rsid w:val="00A06657"/>
    <w:rsid w:val="00A06DDB"/>
    <w:rsid w:val="00A077A8"/>
    <w:rsid w:val="00A07C57"/>
    <w:rsid w:val="00A10122"/>
    <w:rsid w:val="00A10E7A"/>
    <w:rsid w:val="00A11104"/>
    <w:rsid w:val="00A11FF1"/>
    <w:rsid w:val="00A12051"/>
    <w:rsid w:val="00A129AD"/>
    <w:rsid w:val="00A12BFC"/>
    <w:rsid w:val="00A132FC"/>
    <w:rsid w:val="00A144E4"/>
    <w:rsid w:val="00A145C5"/>
    <w:rsid w:val="00A149B8"/>
    <w:rsid w:val="00A14A4C"/>
    <w:rsid w:val="00A15364"/>
    <w:rsid w:val="00A156E4"/>
    <w:rsid w:val="00A15B5E"/>
    <w:rsid w:val="00A15F01"/>
    <w:rsid w:val="00A15F57"/>
    <w:rsid w:val="00A16916"/>
    <w:rsid w:val="00A16DBD"/>
    <w:rsid w:val="00A16F14"/>
    <w:rsid w:val="00A17018"/>
    <w:rsid w:val="00A17081"/>
    <w:rsid w:val="00A173A5"/>
    <w:rsid w:val="00A17500"/>
    <w:rsid w:val="00A176E0"/>
    <w:rsid w:val="00A17740"/>
    <w:rsid w:val="00A204C7"/>
    <w:rsid w:val="00A2085F"/>
    <w:rsid w:val="00A21A48"/>
    <w:rsid w:val="00A22125"/>
    <w:rsid w:val="00A234FD"/>
    <w:rsid w:val="00A2369E"/>
    <w:rsid w:val="00A245E6"/>
    <w:rsid w:val="00A24799"/>
    <w:rsid w:val="00A24A23"/>
    <w:rsid w:val="00A25446"/>
    <w:rsid w:val="00A254AD"/>
    <w:rsid w:val="00A267C9"/>
    <w:rsid w:val="00A27534"/>
    <w:rsid w:val="00A31D4C"/>
    <w:rsid w:val="00A32242"/>
    <w:rsid w:val="00A32E29"/>
    <w:rsid w:val="00A32F35"/>
    <w:rsid w:val="00A3367E"/>
    <w:rsid w:val="00A3379D"/>
    <w:rsid w:val="00A33863"/>
    <w:rsid w:val="00A35213"/>
    <w:rsid w:val="00A35714"/>
    <w:rsid w:val="00A35A4E"/>
    <w:rsid w:val="00A3646C"/>
    <w:rsid w:val="00A368E0"/>
    <w:rsid w:val="00A36B69"/>
    <w:rsid w:val="00A370B9"/>
    <w:rsid w:val="00A372B3"/>
    <w:rsid w:val="00A40320"/>
    <w:rsid w:val="00A408F0"/>
    <w:rsid w:val="00A40F57"/>
    <w:rsid w:val="00A4131C"/>
    <w:rsid w:val="00A41BB6"/>
    <w:rsid w:val="00A41DF7"/>
    <w:rsid w:val="00A42474"/>
    <w:rsid w:val="00A4368A"/>
    <w:rsid w:val="00A4385C"/>
    <w:rsid w:val="00A43CEA"/>
    <w:rsid w:val="00A43DBC"/>
    <w:rsid w:val="00A44163"/>
    <w:rsid w:val="00A44A37"/>
    <w:rsid w:val="00A44DEF"/>
    <w:rsid w:val="00A450E1"/>
    <w:rsid w:val="00A459B4"/>
    <w:rsid w:val="00A47019"/>
    <w:rsid w:val="00A47300"/>
    <w:rsid w:val="00A47540"/>
    <w:rsid w:val="00A47C64"/>
    <w:rsid w:val="00A5191C"/>
    <w:rsid w:val="00A51ECA"/>
    <w:rsid w:val="00A527F3"/>
    <w:rsid w:val="00A52C79"/>
    <w:rsid w:val="00A53529"/>
    <w:rsid w:val="00A541D3"/>
    <w:rsid w:val="00A54B0D"/>
    <w:rsid w:val="00A54FC3"/>
    <w:rsid w:val="00A550F5"/>
    <w:rsid w:val="00A552E9"/>
    <w:rsid w:val="00A55F3A"/>
    <w:rsid w:val="00A56118"/>
    <w:rsid w:val="00A566DE"/>
    <w:rsid w:val="00A5675E"/>
    <w:rsid w:val="00A576B4"/>
    <w:rsid w:val="00A577D3"/>
    <w:rsid w:val="00A57A5B"/>
    <w:rsid w:val="00A600B4"/>
    <w:rsid w:val="00A61560"/>
    <w:rsid w:val="00A61617"/>
    <w:rsid w:val="00A61CE3"/>
    <w:rsid w:val="00A61ECE"/>
    <w:rsid w:val="00A62639"/>
    <w:rsid w:val="00A628D3"/>
    <w:rsid w:val="00A62C94"/>
    <w:rsid w:val="00A63A34"/>
    <w:rsid w:val="00A65F71"/>
    <w:rsid w:val="00A66532"/>
    <w:rsid w:val="00A66E09"/>
    <w:rsid w:val="00A67BE3"/>
    <w:rsid w:val="00A705D4"/>
    <w:rsid w:val="00A706A3"/>
    <w:rsid w:val="00A70B1A"/>
    <w:rsid w:val="00A70DE4"/>
    <w:rsid w:val="00A73532"/>
    <w:rsid w:val="00A7382C"/>
    <w:rsid w:val="00A73D42"/>
    <w:rsid w:val="00A7448E"/>
    <w:rsid w:val="00A749DE"/>
    <w:rsid w:val="00A74F13"/>
    <w:rsid w:val="00A75279"/>
    <w:rsid w:val="00A75B84"/>
    <w:rsid w:val="00A75D26"/>
    <w:rsid w:val="00A76923"/>
    <w:rsid w:val="00A76D89"/>
    <w:rsid w:val="00A76E05"/>
    <w:rsid w:val="00A76F68"/>
    <w:rsid w:val="00A77098"/>
    <w:rsid w:val="00A77210"/>
    <w:rsid w:val="00A775DE"/>
    <w:rsid w:val="00A7766C"/>
    <w:rsid w:val="00A77BAA"/>
    <w:rsid w:val="00A81906"/>
    <w:rsid w:val="00A825C3"/>
    <w:rsid w:val="00A82726"/>
    <w:rsid w:val="00A829B2"/>
    <w:rsid w:val="00A837AD"/>
    <w:rsid w:val="00A844A8"/>
    <w:rsid w:val="00A8529A"/>
    <w:rsid w:val="00A85A06"/>
    <w:rsid w:val="00A85FC0"/>
    <w:rsid w:val="00A864FC"/>
    <w:rsid w:val="00A86F1F"/>
    <w:rsid w:val="00A87876"/>
    <w:rsid w:val="00A87A45"/>
    <w:rsid w:val="00A901C6"/>
    <w:rsid w:val="00A925E7"/>
    <w:rsid w:val="00A92EB8"/>
    <w:rsid w:val="00A9439F"/>
    <w:rsid w:val="00A95171"/>
    <w:rsid w:val="00A95AED"/>
    <w:rsid w:val="00A95B06"/>
    <w:rsid w:val="00A96904"/>
    <w:rsid w:val="00A96F68"/>
    <w:rsid w:val="00A979F0"/>
    <w:rsid w:val="00AA0153"/>
    <w:rsid w:val="00AA11D3"/>
    <w:rsid w:val="00AA15C1"/>
    <w:rsid w:val="00AA1ECE"/>
    <w:rsid w:val="00AA21A4"/>
    <w:rsid w:val="00AA264B"/>
    <w:rsid w:val="00AA3467"/>
    <w:rsid w:val="00AA3470"/>
    <w:rsid w:val="00AA34F5"/>
    <w:rsid w:val="00AA3E6E"/>
    <w:rsid w:val="00AA42A4"/>
    <w:rsid w:val="00AA492B"/>
    <w:rsid w:val="00AA51E9"/>
    <w:rsid w:val="00AA5433"/>
    <w:rsid w:val="00AA5E01"/>
    <w:rsid w:val="00AA6136"/>
    <w:rsid w:val="00AA6F6E"/>
    <w:rsid w:val="00AA7BD9"/>
    <w:rsid w:val="00AB1719"/>
    <w:rsid w:val="00AB2FF0"/>
    <w:rsid w:val="00AB3F16"/>
    <w:rsid w:val="00AB56A7"/>
    <w:rsid w:val="00AB56F8"/>
    <w:rsid w:val="00AB5854"/>
    <w:rsid w:val="00AB60BF"/>
    <w:rsid w:val="00AB6663"/>
    <w:rsid w:val="00AB7152"/>
    <w:rsid w:val="00AC0236"/>
    <w:rsid w:val="00AC0E86"/>
    <w:rsid w:val="00AC0EDC"/>
    <w:rsid w:val="00AC1408"/>
    <w:rsid w:val="00AC20B8"/>
    <w:rsid w:val="00AC2AE0"/>
    <w:rsid w:val="00AC2EFA"/>
    <w:rsid w:val="00AC3F5E"/>
    <w:rsid w:val="00AC453D"/>
    <w:rsid w:val="00AC4BFF"/>
    <w:rsid w:val="00AC50EF"/>
    <w:rsid w:val="00AC53BE"/>
    <w:rsid w:val="00AC5541"/>
    <w:rsid w:val="00AC56B1"/>
    <w:rsid w:val="00AC5948"/>
    <w:rsid w:val="00AC5D3A"/>
    <w:rsid w:val="00AC5E34"/>
    <w:rsid w:val="00AC5F9A"/>
    <w:rsid w:val="00AC62C7"/>
    <w:rsid w:val="00AC66BE"/>
    <w:rsid w:val="00AC7516"/>
    <w:rsid w:val="00AD0665"/>
    <w:rsid w:val="00AD06B4"/>
    <w:rsid w:val="00AD0B8E"/>
    <w:rsid w:val="00AD0E83"/>
    <w:rsid w:val="00AD0EA4"/>
    <w:rsid w:val="00AD10CF"/>
    <w:rsid w:val="00AD2E0E"/>
    <w:rsid w:val="00AD3D0E"/>
    <w:rsid w:val="00AD44E0"/>
    <w:rsid w:val="00AD47DC"/>
    <w:rsid w:val="00AE07C0"/>
    <w:rsid w:val="00AE0A5E"/>
    <w:rsid w:val="00AE0BE2"/>
    <w:rsid w:val="00AE16FD"/>
    <w:rsid w:val="00AE2A27"/>
    <w:rsid w:val="00AE2F2B"/>
    <w:rsid w:val="00AE32AF"/>
    <w:rsid w:val="00AE3356"/>
    <w:rsid w:val="00AE3C96"/>
    <w:rsid w:val="00AE3DEF"/>
    <w:rsid w:val="00AE4A3A"/>
    <w:rsid w:val="00AE4C0D"/>
    <w:rsid w:val="00AE5340"/>
    <w:rsid w:val="00AE53C6"/>
    <w:rsid w:val="00AE54B4"/>
    <w:rsid w:val="00AE6CB1"/>
    <w:rsid w:val="00AE736F"/>
    <w:rsid w:val="00AE7517"/>
    <w:rsid w:val="00AF0D57"/>
    <w:rsid w:val="00AF1405"/>
    <w:rsid w:val="00AF177E"/>
    <w:rsid w:val="00AF1FE7"/>
    <w:rsid w:val="00AF2D66"/>
    <w:rsid w:val="00AF308E"/>
    <w:rsid w:val="00AF31CF"/>
    <w:rsid w:val="00AF349D"/>
    <w:rsid w:val="00AF3A3F"/>
    <w:rsid w:val="00AF3C52"/>
    <w:rsid w:val="00AF3D9F"/>
    <w:rsid w:val="00AF4039"/>
    <w:rsid w:val="00AF4AC8"/>
    <w:rsid w:val="00AF5208"/>
    <w:rsid w:val="00AF5A30"/>
    <w:rsid w:val="00AF5C67"/>
    <w:rsid w:val="00AF61A6"/>
    <w:rsid w:val="00AF7F13"/>
    <w:rsid w:val="00B002B0"/>
    <w:rsid w:val="00B00B65"/>
    <w:rsid w:val="00B01848"/>
    <w:rsid w:val="00B0216D"/>
    <w:rsid w:val="00B026F0"/>
    <w:rsid w:val="00B02F1D"/>
    <w:rsid w:val="00B0310E"/>
    <w:rsid w:val="00B033DE"/>
    <w:rsid w:val="00B03A6D"/>
    <w:rsid w:val="00B04BE5"/>
    <w:rsid w:val="00B05644"/>
    <w:rsid w:val="00B057D4"/>
    <w:rsid w:val="00B07914"/>
    <w:rsid w:val="00B07A95"/>
    <w:rsid w:val="00B07ECA"/>
    <w:rsid w:val="00B1105C"/>
    <w:rsid w:val="00B11B04"/>
    <w:rsid w:val="00B11B5B"/>
    <w:rsid w:val="00B11E38"/>
    <w:rsid w:val="00B12839"/>
    <w:rsid w:val="00B13E17"/>
    <w:rsid w:val="00B14890"/>
    <w:rsid w:val="00B15D84"/>
    <w:rsid w:val="00B160A6"/>
    <w:rsid w:val="00B202BD"/>
    <w:rsid w:val="00B207B0"/>
    <w:rsid w:val="00B213AE"/>
    <w:rsid w:val="00B2275B"/>
    <w:rsid w:val="00B22A68"/>
    <w:rsid w:val="00B22B62"/>
    <w:rsid w:val="00B242BE"/>
    <w:rsid w:val="00B24375"/>
    <w:rsid w:val="00B24D3A"/>
    <w:rsid w:val="00B24D5A"/>
    <w:rsid w:val="00B2537C"/>
    <w:rsid w:val="00B25980"/>
    <w:rsid w:val="00B26BD9"/>
    <w:rsid w:val="00B27680"/>
    <w:rsid w:val="00B27CEF"/>
    <w:rsid w:val="00B27CF6"/>
    <w:rsid w:val="00B30C0C"/>
    <w:rsid w:val="00B3156F"/>
    <w:rsid w:val="00B315E9"/>
    <w:rsid w:val="00B31601"/>
    <w:rsid w:val="00B33002"/>
    <w:rsid w:val="00B33BC1"/>
    <w:rsid w:val="00B34203"/>
    <w:rsid w:val="00B3504E"/>
    <w:rsid w:val="00B35327"/>
    <w:rsid w:val="00B35B24"/>
    <w:rsid w:val="00B35CA1"/>
    <w:rsid w:val="00B3617B"/>
    <w:rsid w:val="00B36CF8"/>
    <w:rsid w:val="00B37180"/>
    <w:rsid w:val="00B37805"/>
    <w:rsid w:val="00B4025E"/>
    <w:rsid w:val="00B4055D"/>
    <w:rsid w:val="00B409F7"/>
    <w:rsid w:val="00B41833"/>
    <w:rsid w:val="00B41BA8"/>
    <w:rsid w:val="00B41F36"/>
    <w:rsid w:val="00B433F9"/>
    <w:rsid w:val="00B43899"/>
    <w:rsid w:val="00B4391C"/>
    <w:rsid w:val="00B43A76"/>
    <w:rsid w:val="00B43CC8"/>
    <w:rsid w:val="00B4445B"/>
    <w:rsid w:val="00B45937"/>
    <w:rsid w:val="00B463D8"/>
    <w:rsid w:val="00B474CB"/>
    <w:rsid w:val="00B47A97"/>
    <w:rsid w:val="00B47F61"/>
    <w:rsid w:val="00B502DD"/>
    <w:rsid w:val="00B50491"/>
    <w:rsid w:val="00B50DBE"/>
    <w:rsid w:val="00B51352"/>
    <w:rsid w:val="00B523A2"/>
    <w:rsid w:val="00B52606"/>
    <w:rsid w:val="00B52629"/>
    <w:rsid w:val="00B537BA"/>
    <w:rsid w:val="00B538AA"/>
    <w:rsid w:val="00B54FA2"/>
    <w:rsid w:val="00B550F1"/>
    <w:rsid w:val="00B567C7"/>
    <w:rsid w:val="00B56ADB"/>
    <w:rsid w:val="00B56B11"/>
    <w:rsid w:val="00B56E5F"/>
    <w:rsid w:val="00B57531"/>
    <w:rsid w:val="00B609CB"/>
    <w:rsid w:val="00B6143A"/>
    <w:rsid w:val="00B61889"/>
    <w:rsid w:val="00B62BA3"/>
    <w:rsid w:val="00B63834"/>
    <w:rsid w:val="00B63A76"/>
    <w:rsid w:val="00B641DC"/>
    <w:rsid w:val="00B6537F"/>
    <w:rsid w:val="00B65A6A"/>
    <w:rsid w:val="00B65CCA"/>
    <w:rsid w:val="00B67118"/>
    <w:rsid w:val="00B67BAB"/>
    <w:rsid w:val="00B67BE7"/>
    <w:rsid w:val="00B713BE"/>
    <w:rsid w:val="00B71781"/>
    <w:rsid w:val="00B71D3B"/>
    <w:rsid w:val="00B73154"/>
    <w:rsid w:val="00B732A2"/>
    <w:rsid w:val="00B732E6"/>
    <w:rsid w:val="00B7351A"/>
    <w:rsid w:val="00B75552"/>
    <w:rsid w:val="00B758FF"/>
    <w:rsid w:val="00B75B93"/>
    <w:rsid w:val="00B761EB"/>
    <w:rsid w:val="00B76482"/>
    <w:rsid w:val="00B7671A"/>
    <w:rsid w:val="00B770B3"/>
    <w:rsid w:val="00B77716"/>
    <w:rsid w:val="00B80134"/>
    <w:rsid w:val="00B80334"/>
    <w:rsid w:val="00B814C6"/>
    <w:rsid w:val="00B815C4"/>
    <w:rsid w:val="00B81891"/>
    <w:rsid w:val="00B82C80"/>
    <w:rsid w:val="00B83D4F"/>
    <w:rsid w:val="00B8425C"/>
    <w:rsid w:val="00B843C7"/>
    <w:rsid w:val="00B847CF"/>
    <w:rsid w:val="00B84994"/>
    <w:rsid w:val="00B8546E"/>
    <w:rsid w:val="00B86067"/>
    <w:rsid w:val="00B86D7A"/>
    <w:rsid w:val="00B87B12"/>
    <w:rsid w:val="00B90064"/>
    <w:rsid w:val="00B91247"/>
    <w:rsid w:val="00B917D4"/>
    <w:rsid w:val="00B91AC3"/>
    <w:rsid w:val="00B92A0A"/>
    <w:rsid w:val="00B92CCC"/>
    <w:rsid w:val="00B93BE7"/>
    <w:rsid w:val="00B9482A"/>
    <w:rsid w:val="00B94DCF"/>
    <w:rsid w:val="00B976BD"/>
    <w:rsid w:val="00B978B5"/>
    <w:rsid w:val="00BA0719"/>
    <w:rsid w:val="00BA08DF"/>
    <w:rsid w:val="00BA0D42"/>
    <w:rsid w:val="00BA10B8"/>
    <w:rsid w:val="00BA1164"/>
    <w:rsid w:val="00BA16D7"/>
    <w:rsid w:val="00BA2514"/>
    <w:rsid w:val="00BA357F"/>
    <w:rsid w:val="00BA3716"/>
    <w:rsid w:val="00BA541F"/>
    <w:rsid w:val="00BA59D4"/>
    <w:rsid w:val="00BA6241"/>
    <w:rsid w:val="00BA6E81"/>
    <w:rsid w:val="00BA74F8"/>
    <w:rsid w:val="00BA7633"/>
    <w:rsid w:val="00BA7F25"/>
    <w:rsid w:val="00BB0701"/>
    <w:rsid w:val="00BB0B33"/>
    <w:rsid w:val="00BB1A10"/>
    <w:rsid w:val="00BB1E6F"/>
    <w:rsid w:val="00BB2339"/>
    <w:rsid w:val="00BB270B"/>
    <w:rsid w:val="00BB28D7"/>
    <w:rsid w:val="00BB2FE5"/>
    <w:rsid w:val="00BB4C87"/>
    <w:rsid w:val="00BB4F10"/>
    <w:rsid w:val="00BB5951"/>
    <w:rsid w:val="00BB63C0"/>
    <w:rsid w:val="00BB6886"/>
    <w:rsid w:val="00BC101D"/>
    <w:rsid w:val="00BC11E7"/>
    <w:rsid w:val="00BC1CDD"/>
    <w:rsid w:val="00BC5527"/>
    <w:rsid w:val="00BC5B3A"/>
    <w:rsid w:val="00BC6396"/>
    <w:rsid w:val="00BC6528"/>
    <w:rsid w:val="00BC666A"/>
    <w:rsid w:val="00BC6E66"/>
    <w:rsid w:val="00BC6F6A"/>
    <w:rsid w:val="00BC709A"/>
    <w:rsid w:val="00BC726A"/>
    <w:rsid w:val="00BC754A"/>
    <w:rsid w:val="00BC7ACC"/>
    <w:rsid w:val="00BC7E26"/>
    <w:rsid w:val="00BD0864"/>
    <w:rsid w:val="00BD1DA5"/>
    <w:rsid w:val="00BD1DB7"/>
    <w:rsid w:val="00BD1F6F"/>
    <w:rsid w:val="00BD2D91"/>
    <w:rsid w:val="00BD2EB8"/>
    <w:rsid w:val="00BD3301"/>
    <w:rsid w:val="00BD36E0"/>
    <w:rsid w:val="00BD7EF7"/>
    <w:rsid w:val="00BE0417"/>
    <w:rsid w:val="00BE0434"/>
    <w:rsid w:val="00BE08D9"/>
    <w:rsid w:val="00BE15C5"/>
    <w:rsid w:val="00BE3B1A"/>
    <w:rsid w:val="00BE3E3F"/>
    <w:rsid w:val="00BE3E7E"/>
    <w:rsid w:val="00BE4CBF"/>
    <w:rsid w:val="00BE51DA"/>
    <w:rsid w:val="00BE5B04"/>
    <w:rsid w:val="00BE6EC6"/>
    <w:rsid w:val="00BE76BB"/>
    <w:rsid w:val="00BF13CA"/>
    <w:rsid w:val="00BF1827"/>
    <w:rsid w:val="00BF1DC0"/>
    <w:rsid w:val="00BF23E4"/>
    <w:rsid w:val="00BF2F90"/>
    <w:rsid w:val="00BF3A95"/>
    <w:rsid w:val="00BF5607"/>
    <w:rsid w:val="00BF6B7A"/>
    <w:rsid w:val="00BF701E"/>
    <w:rsid w:val="00BF7B61"/>
    <w:rsid w:val="00C00113"/>
    <w:rsid w:val="00C00FAC"/>
    <w:rsid w:val="00C01C38"/>
    <w:rsid w:val="00C024A6"/>
    <w:rsid w:val="00C02B94"/>
    <w:rsid w:val="00C04677"/>
    <w:rsid w:val="00C05727"/>
    <w:rsid w:val="00C075F4"/>
    <w:rsid w:val="00C104B0"/>
    <w:rsid w:val="00C1088A"/>
    <w:rsid w:val="00C10BFB"/>
    <w:rsid w:val="00C115BF"/>
    <w:rsid w:val="00C11ADC"/>
    <w:rsid w:val="00C12404"/>
    <w:rsid w:val="00C12860"/>
    <w:rsid w:val="00C12B74"/>
    <w:rsid w:val="00C1306F"/>
    <w:rsid w:val="00C13B4D"/>
    <w:rsid w:val="00C13DB1"/>
    <w:rsid w:val="00C142A5"/>
    <w:rsid w:val="00C14759"/>
    <w:rsid w:val="00C15255"/>
    <w:rsid w:val="00C15402"/>
    <w:rsid w:val="00C15577"/>
    <w:rsid w:val="00C15723"/>
    <w:rsid w:val="00C15E82"/>
    <w:rsid w:val="00C15EAB"/>
    <w:rsid w:val="00C16A97"/>
    <w:rsid w:val="00C178F0"/>
    <w:rsid w:val="00C17D0E"/>
    <w:rsid w:val="00C20E97"/>
    <w:rsid w:val="00C21C9A"/>
    <w:rsid w:val="00C21F68"/>
    <w:rsid w:val="00C2274D"/>
    <w:rsid w:val="00C235EF"/>
    <w:rsid w:val="00C24372"/>
    <w:rsid w:val="00C2470D"/>
    <w:rsid w:val="00C2488A"/>
    <w:rsid w:val="00C24EC9"/>
    <w:rsid w:val="00C262FB"/>
    <w:rsid w:val="00C27042"/>
    <w:rsid w:val="00C273D6"/>
    <w:rsid w:val="00C27FE1"/>
    <w:rsid w:val="00C31179"/>
    <w:rsid w:val="00C316C2"/>
    <w:rsid w:val="00C31DB0"/>
    <w:rsid w:val="00C321AD"/>
    <w:rsid w:val="00C321F9"/>
    <w:rsid w:val="00C32758"/>
    <w:rsid w:val="00C32783"/>
    <w:rsid w:val="00C33857"/>
    <w:rsid w:val="00C33F12"/>
    <w:rsid w:val="00C3441B"/>
    <w:rsid w:val="00C345FA"/>
    <w:rsid w:val="00C34E84"/>
    <w:rsid w:val="00C35306"/>
    <w:rsid w:val="00C3534F"/>
    <w:rsid w:val="00C354AB"/>
    <w:rsid w:val="00C35545"/>
    <w:rsid w:val="00C3595A"/>
    <w:rsid w:val="00C363DB"/>
    <w:rsid w:val="00C367EC"/>
    <w:rsid w:val="00C36CC7"/>
    <w:rsid w:val="00C4092B"/>
    <w:rsid w:val="00C40947"/>
    <w:rsid w:val="00C40B7A"/>
    <w:rsid w:val="00C411AB"/>
    <w:rsid w:val="00C42954"/>
    <w:rsid w:val="00C42AFB"/>
    <w:rsid w:val="00C430BD"/>
    <w:rsid w:val="00C431C5"/>
    <w:rsid w:val="00C43CC2"/>
    <w:rsid w:val="00C4431E"/>
    <w:rsid w:val="00C44325"/>
    <w:rsid w:val="00C4510E"/>
    <w:rsid w:val="00C4595D"/>
    <w:rsid w:val="00C4643D"/>
    <w:rsid w:val="00C46A29"/>
    <w:rsid w:val="00C46A6D"/>
    <w:rsid w:val="00C47CC1"/>
    <w:rsid w:val="00C50178"/>
    <w:rsid w:val="00C50A5E"/>
    <w:rsid w:val="00C51122"/>
    <w:rsid w:val="00C519C7"/>
    <w:rsid w:val="00C51CA8"/>
    <w:rsid w:val="00C52004"/>
    <w:rsid w:val="00C52C31"/>
    <w:rsid w:val="00C53736"/>
    <w:rsid w:val="00C54199"/>
    <w:rsid w:val="00C56BFB"/>
    <w:rsid w:val="00C570EC"/>
    <w:rsid w:val="00C571DA"/>
    <w:rsid w:val="00C60F91"/>
    <w:rsid w:val="00C61203"/>
    <w:rsid w:val="00C61569"/>
    <w:rsid w:val="00C6202E"/>
    <w:rsid w:val="00C62140"/>
    <w:rsid w:val="00C62661"/>
    <w:rsid w:val="00C62D06"/>
    <w:rsid w:val="00C63344"/>
    <w:rsid w:val="00C6460D"/>
    <w:rsid w:val="00C64B33"/>
    <w:rsid w:val="00C65AB2"/>
    <w:rsid w:val="00C65CC2"/>
    <w:rsid w:val="00C66402"/>
    <w:rsid w:val="00C66984"/>
    <w:rsid w:val="00C673D0"/>
    <w:rsid w:val="00C67B1D"/>
    <w:rsid w:val="00C67F3F"/>
    <w:rsid w:val="00C7047F"/>
    <w:rsid w:val="00C704FC"/>
    <w:rsid w:val="00C7068E"/>
    <w:rsid w:val="00C71ED0"/>
    <w:rsid w:val="00C7376E"/>
    <w:rsid w:val="00C73B2E"/>
    <w:rsid w:val="00C75534"/>
    <w:rsid w:val="00C75D59"/>
    <w:rsid w:val="00C76386"/>
    <w:rsid w:val="00C774E2"/>
    <w:rsid w:val="00C7772A"/>
    <w:rsid w:val="00C8092C"/>
    <w:rsid w:val="00C815AF"/>
    <w:rsid w:val="00C81855"/>
    <w:rsid w:val="00C82003"/>
    <w:rsid w:val="00C82469"/>
    <w:rsid w:val="00C828B1"/>
    <w:rsid w:val="00C8295C"/>
    <w:rsid w:val="00C83E6A"/>
    <w:rsid w:val="00C841F7"/>
    <w:rsid w:val="00C84E96"/>
    <w:rsid w:val="00C85530"/>
    <w:rsid w:val="00C8594B"/>
    <w:rsid w:val="00C859A9"/>
    <w:rsid w:val="00C875DA"/>
    <w:rsid w:val="00C901AF"/>
    <w:rsid w:val="00C909AC"/>
    <w:rsid w:val="00C90FD9"/>
    <w:rsid w:val="00C911D3"/>
    <w:rsid w:val="00C912D5"/>
    <w:rsid w:val="00C91B61"/>
    <w:rsid w:val="00C91C1B"/>
    <w:rsid w:val="00C926E8"/>
    <w:rsid w:val="00C93037"/>
    <w:rsid w:val="00C9337F"/>
    <w:rsid w:val="00C9391B"/>
    <w:rsid w:val="00C93924"/>
    <w:rsid w:val="00C93E3C"/>
    <w:rsid w:val="00C95D11"/>
    <w:rsid w:val="00C961A5"/>
    <w:rsid w:val="00C9627A"/>
    <w:rsid w:val="00C96717"/>
    <w:rsid w:val="00C968DA"/>
    <w:rsid w:val="00C96A47"/>
    <w:rsid w:val="00C96D04"/>
    <w:rsid w:val="00C97144"/>
    <w:rsid w:val="00C975B1"/>
    <w:rsid w:val="00C97C06"/>
    <w:rsid w:val="00CA0027"/>
    <w:rsid w:val="00CA0CDA"/>
    <w:rsid w:val="00CA0F57"/>
    <w:rsid w:val="00CA10B5"/>
    <w:rsid w:val="00CA425D"/>
    <w:rsid w:val="00CA4514"/>
    <w:rsid w:val="00CA5CCD"/>
    <w:rsid w:val="00CA630C"/>
    <w:rsid w:val="00CA66E5"/>
    <w:rsid w:val="00CA6961"/>
    <w:rsid w:val="00CB00FE"/>
    <w:rsid w:val="00CB143B"/>
    <w:rsid w:val="00CB291D"/>
    <w:rsid w:val="00CB2C85"/>
    <w:rsid w:val="00CB3543"/>
    <w:rsid w:val="00CB407B"/>
    <w:rsid w:val="00CB423C"/>
    <w:rsid w:val="00CB4D7D"/>
    <w:rsid w:val="00CB5128"/>
    <w:rsid w:val="00CB53B5"/>
    <w:rsid w:val="00CB5908"/>
    <w:rsid w:val="00CB73C3"/>
    <w:rsid w:val="00CB7F44"/>
    <w:rsid w:val="00CC0F58"/>
    <w:rsid w:val="00CC1B14"/>
    <w:rsid w:val="00CC27C5"/>
    <w:rsid w:val="00CC432F"/>
    <w:rsid w:val="00CC44CA"/>
    <w:rsid w:val="00CC45FA"/>
    <w:rsid w:val="00CC5DA4"/>
    <w:rsid w:val="00CC6473"/>
    <w:rsid w:val="00CC66EF"/>
    <w:rsid w:val="00CD0A72"/>
    <w:rsid w:val="00CD10CD"/>
    <w:rsid w:val="00CD11FC"/>
    <w:rsid w:val="00CD2009"/>
    <w:rsid w:val="00CD3109"/>
    <w:rsid w:val="00CD3326"/>
    <w:rsid w:val="00CD3660"/>
    <w:rsid w:val="00CD453A"/>
    <w:rsid w:val="00CD453D"/>
    <w:rsid w:val="00CD4ACF"/>
    <w:rsid w:val="00CD4CC8"/>
    <w:rsid w:val="00CD59DE"/>
    <w:rsid w:val="00CD64EF"/>
    <w:rsid w:val="00CD6D11"/>
    <w:rsid w:val="00CD6E4F"/>
    <w:rsid w:val="00CE0494"/>
    <w:rsid w:val="00CE080B"/>
    <w:rsid w:val="00CE0DF6"/>
    <w:rsid w:val="00CE0E45"/>
    <w:rsid w:val="00CE1030"/>
    <w:rsid w:val="00CE2883"/>
    <w:rsid w:val="00CE3628"/>
    <w:rsid w:val="00CE3D70"/>
    <w:rsid w:val="00CE427F"/>
    <w:rsid w:val="00CE55B3"/>
    <w:rsid w:val="00CE58BC"/>
    <w:rsid w:val="00CE5DF0"/>
    <w:rsid w:val="00CE5FF9"/>
    <w:rsid w:val="00CE6203"/>
    <w:rsid w:val="00CE66C2"/>
    <w:rsid w:val="00CE789E"/>
    <w:rsid w:val="00CF05F4"/>
    <w:rsid w:val="00CF074F"/>
    <w:rsid w:val="00CF0FCF"/>
    <w:rsid w:val="00CF10E2"/>
    <w:rsid w:val="00CF15D9"/>
    <w:rsid w:val="00CF1D60"/>
    <w:rsid w:val="00CF2713"/>
    <w:rsid w:val="00CF3119"/>
    <w:rsid w:val="00CF4468"/>
    <w:rsid w:val="00CF4AAF"/>
    <w:rsid w:val="00CF513E"/>
    <w:rsid w:val="00CF55AB"/>
    <w:rsid w:val="00CF55E2"/>
    <w:rsid w:val="00CF5F26"/>
    <w:rsid w:val="00CF6A34"/>
    <w:rsid w:val="00CF6F75"/>
    <w:rsid w:val="00CF7B06"/>
    <w:rsid w:val="00D0002C"/>
    <w:rsid w:val="00D004DA"/>
    <w:rsid w:val="00D00686"/>
    <w:rsid w:val="00D011F3"/>
    <w:rsid w:val="00D0189F"/>
    <w:rsid w:val="00D01B97"/>
    <w:rsid w:val="00D02364"/>
    <w:rsid w:val="00D054BE"/>
    <w:rsid w:val="00D07043"/>
    <w:rsid w:val="00D07BA5"/>
    <w:rsid w:val="00D10504"/>
    <w:rsid w:val="00D10D10"/>
    <w:rsid w:val="00D1258A"/>
    <w:rsid w:val="00D154CE"/>
    <w:rsid w:val="00D17C87"/>
    <w:rsid w:val="00D20B55"/>
    <w:rsid w:val="00D2143F"/>
    <w:rsid w:val="00D21458"/>
    <w:rsid w:val="00D21982"/>
    <w:rsid w:val="00D22B42"/>
    <w:rsid w:val="00D22E36"/>
    <w:rsid w:val="00D231C8"/>
    <w:rsid w:val="00D248E9"/>
    <w:rsid w:val="00D25697"/>
    <w:rsid w:val="00D257D3"/>
    <w:rsid w:val="00D25E1F"/>
    <w:rsid w:val="00D25E87"/>
    <w:rsid w:val="00D26E34"/>
    <w:rsid w:val="00D2737F"/>
    <w:rsid w:val="00D30176"/>
    <w:rsid w:val="00D30965"/>
    <w:rsid w:val="00D31021"/>
    <w:rsid w:val="00D31162"/>
    <w:rsid w:val="00D31EE6"/>
    <w:rsid w:val="00D31F22"/>
    <w:rsid w:val="00D32489"/>
    <w:rsid w:val="00D32608"/>
    <w:rsid w:val="00D33661"/>
    <w:rsid w:val="00D33C1A"/>
    <w:rsid w:val="00D33ED8"/>
    <w:rsid w:val="00D349EA"/>
    <w:rsid w:val="00D34BAB"/>
    <w:rsid w:val="00D34F96"/>
    <w:rsid w:val="00D351FD"/>
    <w:rsid w:val="00D3561F"/>
    <w:rsid w:val="00D35D9F"/>
    <w:rsid w:val="00D35E0D"/>
    <w:rsid w:val="00D3609A"/>
    <w:rsid w:val="00D36A1A"/>
    <w:rsid w:val="00D36B70"/>
    <w:rsid w:val="00D36F36"/>
    <w:rsid w:val="00D37F4D"/>
    <w:rsid w:val="00D40536"/>
    <w:rsid w:val="00D410B2"/>
    <w:rsid w:val="00D41B82"/>
    <w:rsid w:val="00D43036"/>
    <w:rsid w:val="00D43DEE"/>
    <w:rsid w:val="00D4415A"/>
    <w:rsid w:val="00D441A7"/>
    <w:rsid w:val="00D44AEC"/>
    <w:rsid w:val="00D45B5F"/>
    <w:rsid w:val="00D46210"/>
    <w:rsid w:val="00D477A9"/>
    <w:rsid w:val="00D501B3"/>
    <w:rsid w:val="00D50E73"/>
    <w:rsid w:val="00D51BEC"/>
    <w:rsid w:val="00D51CDE"/>
    <w:rsid w:val="00D52F9F"/>
    <w:rsid w:val="00D542A8"/>
    <w:rsid w:val="00D54428"/>
    <w:rsid w:val="00D559A6"/>
    <w:rsid w:val="00D55A9A"/>
    <w:rsid w:val="00D56778"/>
    <w:rsid w:val="00D56DC0"/>
    <w:rsid w:val="00D56E4A"/>
    <w:rsid w:val="00D57439"/>
    <w:rsid w:val="00D57970"/>
    <w:rsid w:val="00D57BA3"/>
    <w:rsid w:val="00D60038"/>
    <w:rsid w:val="00D6049C"/>
    <w:rsid w:val="00D61F29"/>
    <w:rsid w:val="00D6257F"/>
    <w:rsid w:val="00D630AB"/>
    <w:rsid w:val="00D63434"/>
    <w:rsid w:val="00D64966"/>
    <w:rsid w:val="00D64E08"/>
    <w:rsid w:val="00D655A4"/>
    <w:rsid w:val="00D65BBC"/>
    <w:rsid w:val="00D6686E"/>
    <w:rsid w:val="00D67377"/>
    <w:rsid w:val="00D67A3D"/>
    <w:rsid w:val="00D70B7C"/>
    <w:rsid w:val="00D70F01"/>
    <w:rsid w:val="00D717B5"/>
    <w:rsid w:val="00D71C31"/>
    <w:rsid w:val="00D71D6C"/>
    <w:rsid w:val="00D72208"/>
    <w:rsid w:val="00D7260B"/>
    <w:rsid w:val="00D72B66"/>
    <w:rsid w:val="00D72C19"/>
    <w:rsid w:val="00D72D92"/>
    <w:rsid w:val="00D74208"/>
    <w:rsid w:val="00D74F58"/>
    <w:rsid w:val="00D75ADE"/>
    <w:rsid w:val="00D75CBC"/>
    <w:rsid w:val="00D75F7C"/>
    <w:rsid w:val="00D7641D"/>
    <w:rsid w:val="00D80CC1"/>
    <w:rsid w:val="00D80F34"/>
    <w:rsid w:val="00D81028"/>
    <w:rsid w:val="00D8214B"/>
    <w:rsid w:val="00D83BB8"/>
    <w:rsid w:val="00D84816"/>
    <w:rsid w:val="00D85658"/>
    <w:rsid w:val="00D86404"/>
    <w:rsid w:val="00D86844"/>
    <w:rsid w:val="00D87367"/>
    <w:rsid w:val="00D90FE2"/>
    <w:rsid w:val="00D91BCA"/>
    <w:rsid w:val="00D91CC2"/>
    <w:rsid w:val="00D93ACC"/>
    <w:rsid w:val="00D93E06"/>
    <w:rsid w:val="00D93E5D"/>
    <w:rsid w:val="00D94E9E"/>
    <w:rsid w:val="00D95191"/>
    <w:rsid w:val="00D9525C"/>
    <w:rsid w:val="00D95BD8"/>
    <w:rsid w:val="00D95C1B"/>
    <w:rsid w:val="00D95E13"/>
    <w:rsid w:val="00D95E42"/>
    <w:rsid w:val="00D96851"/>
    <w:rsid w:val="00D97605"/>
    <w:rsid w:val="00D97E6A"/>
    <w:rsid w:val="00DA02BA"/>
    <w:rsid w:val="00DA065B"/>
    <w:rsid w:val="00DA16C8"/>
    <w:rsid w:val="00DA24F3"/>
    <w:rsid w:val="00DA2FDE"/>
    <w:rsid w:val="00DA3B98"/>
    <w:rsid w:val="00DA6CBA"/>
    <w:rsid w:val="00DA6FEC"/>
    <w:rsid w:val="00DA7C12"/>
    <w:rsid w:val="00DB1366"/>
    <w:rsid w:val="00DB1B6E"/>
    <w:rsid w:val="00DB2F56"/>
    <w:rsid w:val="00DB3D60"/>
    <w:rsid w:val="00DB3F25"/>
    <w:rsid w:val="00DB42B8"/>
    <w:rsid w:val="00DB469A"/>
    <w:rsid w:val="00DB4A83"/>
    <w:rsid w:val="00DB5406"/>
    <w:rsid w:val="00DB66C0"/>
    <w:rsid w:val="00DB7A26"/>
    <w:rsid w:val="00DC02B1"/>
    <w:rsid w:val="00DC07C8"/>
    <w:rsid w:val="00DC12C9"/>
    <w:rsid w:val="00DC289F"/>
    <w:rsid w:val="00DC2B59"/>
    <w:rsid w:val="00DC2B92"/>
    <w:rsid w:val="00DC3928"/>
    <w:rsid w:val="00DC3AE5"/>
    <w:rsid w:val="00DC4BEF"/>
    <w:rsid w:val="00DC4E0E"/>
    <w:rsid w:val="00DC528D"/>
    <w:rsid w:val="00DC5B6A"/>
    <w:rsid w:val="00DC61A3"/>
    <w:rsid w:val="00DC7237"/>
    <w:rsid w:val="00DC7599"/>
    <w:rsid w:val="00DC775A"/>
    <w:rsid w:val="00DD1781"/>
    <w:rsid w:val="00DD1C0B"/>
    <w:rsid w:val="00DD1C45"/>
    <w:rsid w:val="00DD2764"/>
    <w:rsid w:val="00DD33A7"/>
    <w:rsid w:val="00DD33CE"/>
    <w:rsid w:val="00DD398F"/>
    <w:rsid w:val="00DD3BA2"/>
    <w:rsid w:val="00DD3E27"/>
    <w:rsid w:val="00DD3F05"/>
    <w:rsid w:val="00DD4E56"/>
    <w:rsid w:val="00DD7141"/>
    <w:rsid w:val="00DD74A7"/>
    <w:rsid w:val="00DD7521"/>
    <w:rsid w:val="00DD75E0"/>
    <w:rsid w:val="00DD7698"/>
    <w:rsid w:val="00DE0AA3"/>
    <w:rsid w:val="00DE0CA6"/>
    <w:rsid w:val="00DE1509"/>
    <w:rsid w:val="00DE2754"/>
    <w:rsid w:val="00DE3AF1"/>
    <w:rsid w:val="00DE4C58"/>
    <w:rsid w:val="00DE620D"/>
    <w:rsid w:val="00DE6C28"/>
    <w:rsid w:val="00DE700A"/>
    <w:rsid w:val="00DF100B"/>
    <w:rsid w:val="00DF10F6"/>
    <w:rsid w:val="00DF1724"/>
    <w:rsid w:val="00DF1AC2"/>
    <w:rsid w:val="00DF259A"/>
    <w:rsid w:val="00DF2D51"/>
    <w:rsid w:val="00DF327D"/>
    <w:rsid w:val="00DF3554"/>
    <w:rsid w:val="00DF361F"/>
    <w:rsid w:val="00DF43ED"/>
    <w:rsid w:val="00DF468A"/>
    <w:rsid w:val="00DF49C3"/>
    <w:rsid w:val="00DF49EF"/>
    <w:rsid w:val="00DF5A08"/>
    <w:rsid w:val="00DF5CC0"/>
    <w:rsid w:val="00DF5DCA"/>
    <w:rsid w:val="00DF6092"/>
    <w:rsid w:val="00E01B8D"/>
    <w:rsid w:val="00E0274D"/>
    <w:rsid w:val="00E02A3D"/>
    <w:rsid w:val="00E03411"/>
    <w:rsid w:val="00E03EAA"/>
    <w:rsid w:val="00E041C8"/>
    <w:rsid w:val="00E053A0"/>
    <w:rsid w:val="00E05AF6"/>
    <w:rsid w:val="00E05EAA"/>
    <w:rsid w:val="00E05F2A"/>
    <w:rsid w:val="00E069DF"/>
    <w:rsid w:val="00E06FA2"/>
    <w:rsid w:val="00E07584"/>
    <w:rsid w:val="00E075E8"/>
    <w:rsid w:val="00E07910"/>
    <w:rsid w:val="00E07E37"/>
    <w:rsid w:val="00E103F6"/>
    <w:rsid w:val="00E10FC2"/>
    <w:rsid w:val="00E111A9"/>
    <w:rsid w:val="00E1287A"/>
    <w:rsid w:val="00E131A3"/>
    <w:rsid w:val="00E135C4"/>
    <w:rsid w:val="00E137FC"/>
    <w:rsid w:val="00E143DF"/>
    <w:rsid w:val="00E1605D"/>
    <w:rsid w:val="00E179A3"/>
    <w:rsid w:val="00E2034F"/>
    <w:rsid w:val="00E211DE"/>
    <w:rsid w:val="00E222F4"/>
    <w:rsid w:val="00E227B6"/>
    <w:rsid w:val="00E22C2E"/>
    <w:rsid w:val="00E247EB"/>
    <w:rsid w:val="00E2676F"/>
    <w:rsid w:val="00E27275"/>
    <w:rsid w:val="00E2733D"/>
    <w:rsid w:val="00E27D1C"/>
    <w:rsid w:val="00E27F14"/>
    <w:rsid w:val="00E30126"/>
    <w:rsid w:val="00E30299"/>
    <w:rsid w:val="00E30EED"/>
    <w:rsid w:val="00E310B0"/>
    <w:rsid w:val="00E31A38"/>
    <w:rsid w:val="00E3269B"/>
    <w:rsid w:val="00E32A04"/>
    <w:rsid w:val="00E3318A"/>
    <w:rsid w:val="00E343D9"/>
    <w:rsid w:val="00E34409"/>
    <w:rsid w:val="00E356D2"/>
    <w:rsid w:val="00E35E04"/>
    <w:rsid w:val="00E36268"/>
    <w:rsid w:val="00E36991"/>
    <w:rsid w:val="00E36E49"/>
    <w:rsid w:val="00E3796F"/>
    <w:rsid w:val="00E37A56"/>
    <w:rsid w:val="00E37D40"/>
    <w:rsid w:val="00E400E7"/>
    <w:rsid w:val="00E4029A"/>
    <w:rsid w:val="00E410A4"/>
    <w:rsid w:val="00E431EA"/>
    <w:rsid w:val="00E4423B"/>
    <w:rsid w:val="00E44418"/>
    <w:rsid w:val="00E452F1"/>
    <w:rsid w:val="00E465EB"/>
    <w:rsid w:val="00E46DB5"/>
    <w:rsid w:val="00E5090E"/>
    <w:rsid w:val="00E51269"/>
    <w:rsid w:val="00E51672"/>
    <w:rsid w:val="00E517A1"/>
    <w:rsid w:val="00E51995"/>
    <w:rsid w:val="00E51BAC"/>
    <w:rsid w:val="00E51F77"/>
    <w:rsid w:val="00E5282E"/>
    <w:rsid w:val="00E53211"/>
    <w:rsid w:val="00E53A6E"/>
    <w:rsid w:val="00E54EFA"/>
    <w:rsid w:val="00E55027"/>
    <w:rsid w:val="00E55756"/>
    <w:rsid w:val="00E574B5"/>
    <w:rsid w:val="00E60930"/>
    <w:rsid w:val="00E611AA"/>
    <w:rsid w:val="00E6153E"/>
    <w:rsid w:val="00E61FA9"/>
    <w:rsid w:val="00E62F9F"/>
    <w:rsid w:val="00E63198"/>
    <w:rsid w:val="00E631C6"/>
    <w:rsid w:val="00E63A58"/>
    <w:rsid w:val="00E63E91"/>
    <w:rsid w:val="00E64413"/>
    <w:rsid w:val="00E64785"/>
    <w:rsid w:val="00E64999"/>
    <w:rsid w:val="00E64D71"/>
    <w:rsid w:val="00E65112"/>
    <w:rsid w:val="00E65342"/>
    <w:rsid w:val="00E657A5"/>
    <w:rsid w:val="00E658E8"/>
    <w:rsid w:val="00E65FD2"/>
    <w:rsid w:val="00E664F5"/>
    <w:rsid w:val="00E6657A"/>
    <w:rsid w:val="00E67E7B"/>
    <w:rsid w:val="00E7075D"/>
    <w:rsid w:val="00E71467"/>
    <w:rsid w:val="00E719B3"/>
    <w:rsid w:val="00E71DED"/>
    <w:rsid w:val="00E749ED"/>
    <w:rsid w:val="00E753BD"/>
    <w:rsid w:val="00E75A52"/>
    <w:rsid w:val="00E76249"/>
    <w:rsid w:val="00E76E8D"/>
    <w:rsid w:val="00E770A6"/>
    <w:rsid w:val="00E77AD6"/>
    <w:rsid w:val="00E81380"/>
    <w:rsid w:val="00E81999"/>
    <w:rsid w:val="00E82231"/>
    <w:rsid w:val="00E84174"/>
    <w:rsid w:val="00E84284"/>
    <w:rsid w:val="00E8490A"/>
    <w:rsid w:val="00E8516C"/>
    <w:rsid w:val="00E851EC"/>
    <w:rsid w:val="00E85584"/>
    <w:rsid w:val="00E875B9"/>
    <w:rsid w:val="00E9004D"/>
    <w:rsid w:val="00E902D4"/>
    <w:rsid w:val="00E90D4F"/>
    <w:rsid w:val="00E91584"/>
    <w:rsid w:val="00E91700"/>
    <w:rsid w:val="00E91FD6"/>
    <w:rsid w:val="00E92467"/>
    <w:rsid w:val="00E92E07"/>
    <w:rsid w:val="00E93CD3"/>
    <w:rsid w:val="00E93F82"/>
    <w:rsid w:val="00E94D32"/>
    <w:rsid w:val="00E959A2"/>
    <w:rsid w:val="00E96D10"/>
    <w:rsid w:val="00E9772E"/>
    <w:rsid w:val="00EA0206"/>
    <w:rsid w:val="00EA03C8"/>
    <w:rsid w:val="00EA0430"/>
    <w:rsid w:val="00EA0482"/>
    <w:rsid w:val="00EA08DA"/>
    <w:rsid w:val="00EA0B99"/>
    <w:rsid w:val="00EA0D72"/>
    <w:rsid w:val="00EA113F"/>
    <w:rsid w:val="00EA1483"/>
    <w:rsid w:val="00EA16E9"/>
    <w:rsid w:val="00EA1D0E"/>
    <w:rsid w:val="00EA20E4"/>
    <w:rsid w:val="00EA2F10"/>
    <w:rsid w:val="00EA3721"/>
    <w:rsid w:val="00EA3814"/>
    <w:rsid w:val="00EA3EF8"/>
    <w:rsid w:val="00EA49EE"/>
    <w:rsid w:val="00EA4FDE"/>
    <w:rsid w:val="00EA5FB4"/>
    <w:rsid w:val="00EA717E"/>
    <w:rsid w:val="00EB011E"/>
    <w:rsid w:val="00EB0A9C"/>
    <w:rsid w:val="00EB14B0"/>
    <w:rsid w:val="00EB1626"/>
    <w:rsid w:val="00EB18CC"/>
    <w:rsid w:val="00EB1BD9"/>
    <w:rsid w:val="00EB21DA"/>
    <w:rsid w:val="00EB2971"/>
    <w:rsid w:val="00EB2D30"/>
    <w:rsid w:val="00EB2D80"/>
    <w:rsid w:val="00EB3FDA"/>
    <w:rsid w:val="00EB4CEC"/>
    <w:rsid w:val="00EB54C5"/>
    <w:rsid w:val="00EB5736"/>
    <w:rsid w:val="00EB599A"/>
    <w:rsid w:val="00EB6676"/>
    <w:rsid w:val="00EB6ED0"/>
    <w:rsid w:val="00EB7000"/>
    <w:rsid w:val="00EB75AE"/>
    <w:rsid w:val="00EB798C"/>
    <w:rsid w:val="00EB7C05"/>
    <w:rsid w:val="00EC06C6"/>
    <w:rsid w:val="00EC0A09"/>
    <w:rsid w:val="00EC0CEF"/>
    <w:rsid w:val="00EC138F"/>
    <w:rsid w:val="00EC2BDC"/>
    <w:rsid w:val="00EC3457"/>
    <w:rsid w:val="00EC4428"/>
    <w:rsid w:val="00EC63B0"/>
    <w:rsid w:val="00EC65DE"/>
    <w:rsid w:val="00EC671D"/>
    <w:rsid w:val="00EC6A46"/>
    <w:rsid w:val="00EC75B5"/>
    <w:rsid w:val="00ED10E8"/>
    <w:rsid w:val="00ED2D91"/>
    <w:rsid w:val="00ED32A0"/>
    <w:rsid w:val="00ED3644"/>
    <w:rsid w:val="00ED39D4"/>
    <w:rsid w:val="00ED44A4"/>
    <w:rsid w:val="00ED4799"/>
    <w:rsid w:val="00ED4C82"/>
    <w:rsid w:val="00ED4E0C"/>
    <w:rsid w:val="00ED4E6C"/>
    <w:rsid w:val="00ED5870"/>
    <w:rsid w:val="00ED726E"/>
    <w:rsid w:val="00EE0518"/>
    <w:rsid w:val="00EE0616"/>
    <w:rsid w:val="00EE0806"/>
    <w:rsid w:val="00EE08C1"/>
    <w:rsid w:val="00EE0D2E"/>
    <w:rsid w:val="00EE14EF"/>
    <w:rsid w:val="00EE1F00"/>
    <w:rsid w:val="00EE2C2F"/>
    <w:rsid w:val="00EE2F25"/>
    <w:rsid w:val="00EE3E63"/>
    <w:rsid w:val="00EE593B"/>
    <w:rsid w:val="00EE6863"/>
    <w:rsid w:val="00EE6C4D"/>
    <w:rsid w:val="00EF04CE"/>
    <w:rsid w:val="00EF0CC6"/>
    <w:rsid w:val="00EF2580"/>
    <w:rsid w:val="00EF5963"/>
    <w:rsid w:val="00EF6113"/>
    <w:rsid w:val="00EF6749"/>
    <w:rsid w:val="00EF6A7E"/>
    <w:rsid w:val="00EF727A"/>
    <w:rsid w:val="00EF7AB0"/>
    <w:rsid w:val="00EF7B7E"/>
    <w:rsid w:val="00EF7F15"/>
    <w:rsid w:val="00F005EE"/>
    <w:rsid w:val="00F008A5"/>
    <w:rsid w:val="00F00D67"/>
    <w:rsid w:val="00F01488"/>
    <w:rsid w:val="00F017C4"/>
    <w:rsid w:val="00F01960"/>
    <w:rsid w:val="00F01CEE"/>
    <w:rsid w:val="00F02818"/>
    <w:rsid w:val="00F02B75"/>
    <w:rsid w:val="00F03853"/>
    <w:rsid w:val="00F04438"/>
    <w:rsid w:val="00F04670"/>
    <w:rsid w:val="00F04759"/>
    <w:rsid w:val="00F04EB1"/>
    <w:rsid w:val="00F0591D"/>
    <w:rsid w:val="00F05A89"/>
    <w:rsid w:val="00F0611E"/>
    <w:rsid w:val="00F06628"/>
    <w:rsid w:val="00F0695E"/>
    <w:rsid w:val="00F06D88"/>
    <w:rsid w:val="00F071A0"/>
    <w:rsid w:val="00F0771A"/>
    <w:rsid w:val="00F10075"/>
    <w:rsid w:val="00F10D7F"/>
    <w:rsid w:val="00F10DE6"/>
    <w:rsid w:val="00F1176D"/>
    <w:rsid w:val="00F11C9E"/>
    <w:rsid w:val="00F12868"/>
    <w:rsid w:val="00F13DDD"/>
    <w:rsid w:val="00F13F4B"/>
    <w:rsid w:val="00F14A04"/>
    <w:rsid w:val="00F15AEC"/>
    <w:rsid w:val="00F16082"/>
    <w:rsid w:val="00F16FEF"/>
    <w:rsid w:val="00F173F2"/>
    <w:rsid w:val="00F17B56"/>
    <w:rsid w:val="00F17DAC"/>
    <w:rsid w:val="00F20342"/>
    <w:rsid w:val="00F2035F"/>
    <w:rsid w:val="00F20E8D"/>
    <w:rsid w:val="00F21904"/>
    <w:rsid w:val="00F23326"/>
    <w:rsid w:val="00F23B3E"/>
    <w:rsid w:val="00F23E89"/>
    <w:rsid w:val="00F24A4B"/>
    <w:rsid w:val="00F24E46"/>
    <w:rsid w:val="00F26331"/>
    <w:rsid w:val="00F269A1"/>
    <w:rsid w:val="00F26F04"/>
    <w:rsid w:val="00F274BC"/>
    <w:rsid w:val="00F278E7"/>
    <w:rsid w:val="00F31E98"/>
    <w:rsid w:val="00F31FE6"/>
    <w:rsid w:val="00F328D2"/>
    <w:rsid w:val="00F33329"/>
    <w:rsid w:val="00F33F14"/>
    <w:rsid w:val="00F3575A"/>
    <w:rsid w:val="00F359A8"/>
    <w:rsid w:val="00F35E19"/>
    <w:rsid w:val="00F3694F"/>
    <w:rsid w:val="00F370B6"/>
    <w:rsid w:val="00F41462"/>
    <w:rsid w:val="00F41BBD"/>
    <w:rsid w:val="00F421CD"/>
    <w:rsid w:val="00F42EE8"/>
    <w:rsid w:val="00F45381"/>
    <w:rsid w:val="00F477C7"/>
    <w:rsid w:val="00F50041"/>
    <w:rsid w:val="00F5057B"/>
    <w:rsid w:val="00F50809"/>
    <w:rsid w:val="00F51E26"/>
    <w:rsid w:val="00F5209F"/>
    <w:rsid w:val="00F5236A"/>
    <w:rsid w:val="00F52811"/>
    <w:rsid w:val="00F52B5F"/>
    <w:rsid w:val="00F53EE5"/>
    <w:rsid w:val="00F55151"/>
    <w:rsid w:val="00F563B2"/>
    <w:rsid w:val="00F576E2"/>
    <w:rsid w:val="00F57A57"/>
    <w:rsid w:val="00F609DA"/>
    <w:rsid w:val="00F60E20"/>
    <w:rsid w:val="00F60F77"/>
    <w:rsid w:val="00F61C77"/>
    <w:rsid w:val="00F62978"/>
    <w:rsid w:val="00F6307E"/>
    <w:rsid w:val="00F63A1B"/>
    <w:rsid w:val="00F653B9"/>
    <w:rsid w:val="00F66066"/>
    <w:rsid w:val="00F6628A"/>
    <w:rsid w:val="00F66F05"/>
    <w:rsid w:val="00F67E43"/>
    <w:rsid w:val="00F70D28"/>
    <w:rsid w:val="00F70D61"/>
    <w:rsid w:val="00F72BCE"/>
    <w:rsid w:val="00F73ABC"/>
    <w:rsid w:val="00F74490"/>
    <w:rsid w:val="00F75485"/>
    <w:rsid w:val="00F75B99"/>
    <w:rsid w:val="00F75E7F"/>
    <w:rsid w:val="00F76629"/>
    <w:rsid w:val="00F76727"/>
    <w:rsid w:val="00F768F2"/>
    <w:rsid w:val="00F77FE6"/>
    <w:rsid w:val="00F80672"/>
    <w:rsid w:val="00F80E46"/>
    <w:rsid w:val="00F82C4A"/>
    <w:rsid w:val="00F82FEB"/>
    <w:rsid w:val="00F838D9"/>
    <w:rsid w:val="00F847F5"/>
    <w:rsid w:val="00F86083"/>
    <w:rsid w:val="00F86F00"/>
    <w:rsid w:val="00F870F9"/>
    <w:rsid w:val="00F87E24"/>
    <w:rsid w:val="00F904EB"/>
    <w:rsid w:val="00F90FA4"/>
    <w:rsid w:val="00F910A1"/>
    <w:rsid w:val="00F916CD"/>
    <w:rsid w:val="00F91C15"/>
    <w:rsid w:val="00F92681"/>
    <w:rsid w:val="00F92900"/>
    <w:rsid w:val="00F93F1A"/>
    <w:rsid w:val="00F94172"/>
    <w:rsid w:val="00F948B4"/>
    <w:rsid w:val="00F94B9A"/>
    <w:rsid w:val="00F97899"/>
    <w:rsid w:val="00FA309D"/>
    <w:rsid w:val="00FA3542"/>
    <w:rsid w:val="00FA3E60"/>
    <w:rsid w:val="00FA3EF8"/>
    <w:rsid w:val="00FA4616"/>
    <w:rsid w:val="00FA4B33"/>
    <w:rsid w:val="00FA4D2E"/>
    <w:rsid w:val="00FA5854"/>
    <w:rsid w:val="00FA7002"/>
    <w:rsid w:val="00FB0541"/>
    <w:rsid w:val="00FB0811"/>
    <w:rsid w:val="00FB0997"/>
    <w:rsid w:val="00FB15FB"/>
    <w:rsid w:val="00FB190B"/>
    <w:rsid w:val="00FB190D"/>
    <w:rsid w:val="00FB1988"/>
    <w:rsid w:val="00FB20B0"/>
    <w:rsid w:val="00FB2468"/>
    <w:rsid w:val="00FB2477"/>
    <w:rsid w:val="00FB27D7"/>
    <w:rsid w:val="00FB3544"/>
    <w:rsid w:val="00FB42A2"/>
    <w:rsid w:val="00FB5395"/>
    <w:rsid w:val="00FB54BB"/>
    <w:rsid w:val="00FB68CC"/>
    <w:rsid w:val="00FB6BCD"/>
    <w:rsid w:val="00FB742F"/>
    <w:rsid w:val="00FB74CC"/>
    <w:rsid w:val="00FB7590"/>
    <w:rsid w:val="00FB7633"/>
    <w:rsid w:val="00FB7B20"/>
    <w:rsid w:val="00FC0213"/>
    <w:rsid w:val="00FC0A02"/>
    <w:rsid w:val="00FC15F4"/>
    <w:rsid w:val="00FC4142"/>
    <w:rsid w:val="00FC45AC"/>
    <w:rsid w:val="00FC4B6B"/>
    <w:rsid w:val="00FC519B"/>
    <w:rsid w:val="00FC54B4"/>
    <w:rsid w:val="00FC5A30"/>
    <w:rsid w:val="00FC5BA4"/>
    <w:rsid w:val="00FC5C1B"/>
    <w:rsid w:val="00FC714A"/>
    <w:rsid w:val="00FC7922"/>
    <w:rsid w:val="00FD021A"/>
    <w:rsid w:val="00FD0764"/>
    <w:rsid w:val="00FD0923"/>
    <w:rsid w:val="00FD0953"/>
    <w:rsid w:val="00FD1E7B"/>
    <w:rsid w:val="00FD2176"/>
    <w:rsid w:val="00FD230D"/>
    <w:rsid w:val="00FD2FC3"/>
    <w:rsid w:val="00FD3078"/>
    <w:rsid w:val="00FD4AB9"/>
    <w:rsid w:val="00FD4CD6"/>
    <w:rsid w:val="00FD515E"/>
    <w:rsid w:val="00FD5F40"/>
    <w:rsid w:val="00FD5F7C"/>
    <w:rsid w:val="00FD6194"/>
    <w:rsid w:val="00FD6509"/>
    <w:rsid w:val="00FE1185"/>
    <w:rsid w:val="00FE1269"/>
    <w:rsid w:val="00FE1A57"/>
    <w:rsid w:val="00FE2634"/>
    <w:rsid w:val="00FE3329"/>
    <w:rsid w:val="00FE333C"/>
    <w:rsid w:val="00FE3B0F"/>
    <w:rsid w:val="00FE3BB4"/>
    <w:rsid w:val="00FE461C"/>
    <w:rsid w:val="00FE4BAF"/>
    <w:rsid w:val="00FE4F48"/>
    <w:rsid w:val="00FE5328"/>
    <w:rsid w:val="00FE65ED"/>
    <w:rsid w:val="00FE65F4"/>
    <w:rsid w:val="00FE74B6"/>
    <w:rsid w:val="00FE74D1"/>
    <w:rsid w:val="00FE7A0E"/>
    <w:rsid w:val="00FF0DDE"/>
    <w:rsid w:val="00FF0DEC"/>
    <w:rsid w:val="00FF2697"/>
    <w:rsid w:val="00FF3155"/>
    <w:rsid w:val="00FF3262"/>
    <w:rsid w:val="00FF3850"/>
    <w:rsid w:val="00FF4116"/>
    <w:rsid w:val="00FF4514"/>
    <w:rsid w:val="00FF46EA"/>
    <w:rsid w:val="00FF4722"/>
    <w:rsid w:val="00FF5232"/>
    <w:rsid w:val="00FF53AF"/>
    <w:rsid w:val="00FF5A23"/>
    <w:rsid w:val="00FF6855"/>
    <w:rsid w:val="00FF69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AC4BFF"/>
    <w:pPr>
      <w:widowControl w:val="0"/>
      <w:jc w:val="both"/>
    </w:pPr>
    <w:rPr>
      <w:rFonts w:eastAsia="楷体_GB2312"/>
      <w:kern w:val="2"/>
      <w:sz w:val="21"/>
      <w:szCs w:val="24"/>
    </w:rPr>
  </w:style>
  <w:style w:type="paragraph" w:styleId="1">
    <w:name w:val="heading 1"/>
    <w:basedOn w:val="a"/>
    <w:next w:val="a"/>
    <w:link w:val="1Char"/>
    <w:uiPriority w:val="99"/>
    <w:qFormat/>
    <w:rsid w:val="00A54B0D"/>
    <w:pPr>
      <w:keepNext/>
      <w:keepLines/>
      <w:spacing w:before="340" w:after="330" w:line="576" w:lineRule="auto"/>
      <w:outlineLvl w:val="0"/>
    </w:pPr>
    <w:rPr>
      <w:b/>
      <w:bCs/>
      <w:kern w:val="44"/>
      <w:sz w:val="44"/>
      <w:szCs w:val="44"/>
    </w:rPr>
  </w:style>
  <w:style w:type="paragraph" w:styleId="2">
    <w:name w:val="heading 2"/>
    <w:basedOn w:val="a"/>
    <w:next w:val="a"/>
    <w:link w:val="2Char"/>
    <w:uiPriority w:val="99"/>
    <w:qFormat/>
    <w:rsid w:val="00A54B0D"/>
    <w:pPr>
      <w:keepNext/>
      <w:keepLines/>
      <w:tabs>
        <w:tab w:val="left" w:pos="720"/>
      </w:tabs>
      <w:spacing w:before="260" w:after="260" w:line="413" w:lineRule="auto"/>
      <w:outlineLvl w:val="1"/>
    </w:pPr>
    <w:rPr>
      <w:rFonts w:ascii="Arial" w:hAnsi="Arial"/>
      <w:b/>
      <w:kern w:val="0"/>
      <w:sz w:val="32"/>
      <w:szCs w:val="20"/>
    </w:rPr>
  </w:style>
  <w:style w:type="paragraph" w:styleId="3">
    <w:name w:val="heading 3"/>
    <w:basedOn w:val="a"/>
    <w:next w:val="a"/>
    <w:link w:val="3Char"/>
    <w:uiPriority w:val="99"/>
    <w:qFormat/>
    <w:rsid w:val="00A54B0D"/>
    <w:pPr>
      <w:keepNext/>
      <w:keepLines/>
      <w:spacing w:beforeLines="100" w:afterLines="50" w:line="360" w:lineRule="auto"/>
      <w:ind w:left="120" w:firstLine="420"/>
      <w:outlineLvl w:val="2"/>
    </w:pPr>
    <w:rPr>
      <w:rFonts w:ascii="宋体" w:hAnsi="宋体"/>
      <w:b/>
      <w:color w:val="000000"/>
      <w:kern w:val="0"/>
      <w:sz w:val="28"/>
      <w:szCs w:val="20"/>
    </w:rPr>
  </w:style>
  <w:style w:type="paragraph" w:styleId="4">
    <w:name w:val="heading 4"/>
    <w:basedOn w:val="a"/>
    <w:next w:val="a"/>
    <w:link w:val="4Char"/>
    <w:uiPriority w:val="99"/>
    <w:qFormat/>
    <w:rsid w:val="00A54B0D"/>
    <w:pPr>
      <w:keepNext/>
      <w:keepLines/>
      <w:spacing w:line="360" w:lineRule="auto"/>
      <w:ind w:firstLine="420"/>
      <w:outlineLvl w:val="3"/>
    </w:pPr>
    <w:rPr>
      <w:rFonts w:ascii="Cambria" w:eastAsia="宋体" w:hAnsi="Cambria"/>
      <w:b/>
      <w:bCs/>
      <w:kern w:val="0"/>
      <w:sz w:val="28"/>
      <w:szCs w:val="28"/>
    </w:rPr>
  </w:style>
  <w:style w:type="paragraph" w:styleId="5">
    <w:name w:val="heading 5"/>
    <w:basedOn w:val="a"/>
    <w:next w:val="a"/>
    <w:link w:val="5Char"/>
    <w:uiPriority w:val="99"/>
    <w:qFormat/>
    <w:rsid w:val="00A54B0D"/>
    <w:pPr>
      <w:keepNext/>
      <w:keepLines/>
      <w:spacing w:line="360" w:lineRule="auto"/>
      <w:ind w:firstLine="420"/>
      <w:outlineLvl w:val="4"/>
    </w:pPr>
    <w:rPr>
      <w:b/>
      <w:bCs/>
      <w:kern w:val="0"/>
      <w:sz w:val="28"/>
      <w:szCs w:val="28"/>
    </w:rPr>
  </w:style>
  <w:style w:type="paragraph" w:styleId="6">
    <w:name w:val="heading 6"/>
    <w:basedOn w:val="a"/>
    <w:next w:val="a"/>
    <w:link w:val="6Char"/>
    <w:uiPriority w:val="99"/>
    <w:qFormat/>
    <w:rsid w:val="00A54B0D"/>
    <w:pPr>
      <w:keepNext/>
      <w:keepLines/>
      <w:tabs>
        <w:tab w:val="left" w:pos="792"/>
      </w:tabs>
      <w:spacing w:before="240" w:after="64" w:line="317" w:lineRule="auto"/>
      <w:ind w:left="792" w:hanging="1152"/>
      <w:outlineLvl w:val="5"/>
    </w:pPr>
    <w:rPr>
      <w:rFonts w:ascii="Cambria" w:eastAsia="宋体" w:hAnsi="Cambria"/>
      <w:b/>
      <w:bCs/>
      <w:kern w:val="0"/>
      <w:sz w:val="24"/>
    </w:rPr>
  </w:style>
  <w:style w:type="paragraph" w:styleId="7">
    <w:name w:val="heading 7"/>
    <w:basedOn w:val="a"/>
    <w:next w:val="a"/>
    <w:link w:val="7Char"/>
    <w:uiPriority w:val="99"/>
    <w:qFormat/>
    <w:rsid w:val="00A54B0D"/>
    <w:pPr>
      <w:keepNext/>
      <w:keepLines/>
      <w:tabs>
        <w:tab w:val="left" w:pos="936"/>
      </w:tabs>
      <w:spacing w:before="240" w:after="64" w:line="317" w:lineRule="auto"/>
      <w:ind w:left="936" w:hanging="1296"/>
      <w:outlineLvl w:val="6"/>
    </w:pPr>
    <w:rPr>
      <w:b/>
      <w:bCs/>
      <w:kern w:val="0"/>
      <w:sz w:val="24"/>
    </w:rPr>
  </w:style>
  <w:style w:type="paragraph" w:styleId="8">
    <w:name w:val="heading 8"/>
    <w:basedOn w:val="a"/>
    <w:next w:val="a"/>
    <w:link w:val="8Char"/>
    <w:uiPriority w:val="99"/>
    <w:qFormat/>
    <w:rsid w:val="00A54B0D"/>
    <w:pPr>
      <w:keepNext/>
      <w:keepLines/>
      <w:tabs>
        <w:tab w:val="left" w:pos="1080"/>
      </w:tabs>
      <w:spacing w:before="240" w:after="64" w:line="317" w:lineRule="auto"/>
      <w:ind w:left="1080" w:hanging="1440"/>
      <w:outlineLvl w:val="7"/>
    </w:pPr>
    <w:rPr>
      <w:rFonts w:ascii="Cambria" w:eastAsia="宋体" w:hAnsi="Cambria"/>
      <w:kern w:val="0"/>
      <w:sz w:val="24"/>
    </w:rPr>
  </w:style>
  <w:style w:type="paragraph" w:styleId="9">
    <w:name w:val="heading 9"/>
    <w:basedOn w:val="a"/>
    <w:next w:val="a"/>
    <w:link w:val="9Char"/>
    <w:uiPriority w:val="99"/>
    <w:qFormat/>
    <w:rsid w:val="00A54B0D"/>
    <w:pPr>
      <w:keepNext/>
      <w:keepLines/>
      <w:tabs>
        <w:tab w:val="left" w:pos="1224"/>
      </w:tabs>
      <w:spacing w:before="240" w:after="64" w:line="317" w:lineRule="auto"/>
      <w:ind w:left="1224" w:hanging="1584"/>
      <w:outlineLvl w:val="8"/>
    </w:pPr>
    <w:rPr>
      <w:rFonts w:ascii="Cambria" w:eastAsia="宋体" w:hAnsi="Cambria"/>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6238C2"/>
    <w:rPr>
      <w:rFonts w:eastAsia="楷体_GB2312" w:cs="Times New Roman"/>
      <w:b/>
      <w:bCs/>
      <w:kern w:val="44"/>
      <w:sz w:val="44"/>
      <w:szCs w:val="44"/>
    </w:rPr>
  </w:style>
  <w:style w:type="character" w:customStyle="1" w:styleId="2Char">
    <w:name w:val="标题 2 Char"/>
    <w:link w:val="2"/>
    <w:uiPriority w:val="99"/>
    <w:locked/>
    <w:rsid w:val="00A54B0D"/>
    <w:rPr>
      <w:rFonts w:ascii="Arial" w:eastAsia="楷体_GB2312" w:hAnsi="Arial" w:cs="Times New Roman"/>
      <w:b/>
      <w:sz w:val="32"/>
    </w:rPr>
  </w:style>
  <w:style w:type="character" w:customStyle="1" w:styleId="3Char">
    <w:name w:val="标题 3 Char"/>
    <w:link w:val="3"/>
    <w:uiPriority w:val="99"/>
    <w:locked/>
    <w:rsid w:val="00A54B0D"/>
    <w:rPr>
      <w:rFonts w:ascii="宋体" w:eastAsia="楷体_GB2312" w:hAnsi="宋体" w:cs="Times New Roman"/>
      <w:b/>
      <w:color w:val="000000"/>
      <w:sz w:val="28"/>
    </w:rPr>
  </w:style>
  <w:style w:type="character" w:customStyle="1" w:styleId="4Char">
    <w:name w:val="标题 4 Char"/>
    <w:link w:val="4"/>
    <w:uiPriority w:val="99"/>
    <w:locked/>
    <w:rsid w:val="006238C2"/>
    <w:rPr>
      <w:rFonts w:ascii="Cambria" w:eastAsia="宋体" w:hAnsi="Cambria" w:cs="Times New Roman"/>
      <w:b/>
      <w:bCs/>
      <w:sz w:val="28"/>
      <w:szCs w:val="28"/>
    </w:rPr>
  </w:style>
  <w:style w:type="character" w:customStyle="1" w:styleId="5Char">
    <w:name w:val="标题 5 Char"/>
    <w:link w:val="5"/>
    <w:uiPriority w:val="99"/>
    <w:locked/>
    <w:rsid w:val="006238C2"/>
    <w:rPr>
      <w:rFonts w:eastAsia="楷体_GB2312" w:cs="Times New Roman"/>
      <w:b/>
      <w:bCs/>
      <w:sz w:val="28"/>
      <w:szCs w:val="28"/>
    </w:rPr>
  </w:style>
  <w:style w:type="character" w:customStyle="1" w:styleId="6Char">
    <w:name w:val="标题 6 Char"/>
    <w:link w:val="6"/>
    <w:uiPriority w:val="99"/>
    <w:locked/>
    <w:rsid w:val="006238C2"/>
    <w:rPr>
      <w:rFonts w:ascii="Cambria" w:eastAsia="宋体" w:hAnsi="Cambria" w:cs="Times New Roman"/>
      <w:b/>
      <w:bCs/>
      <w:sz w:val="24"/>
      <w:szCs w:val="24"/>
    </w:rPr>
  </w:style>
  <w:style w:type="character" w:customStyle="1" w:styleId="7Char">
    <w:name w:val="标题 7 Char"/>
    <w:link w:val="7"/>
    <w:uiPriority w:val="99"/>
    <w:locked/>
    <w:rsid w:val="006238C2"/>
    <w:rPr>
      <w:rFonts w:eastAsia="楷体_GB2312" w:cs="Times New Roman"/>
      <w:b/>
      <w:bCs/>
      <w:sz w:val="24"/>
      <w:szCs w:val="24"/>
    </w:rPr>
  </w:style>
  <w:style w:type="character" w:customStyle="1" w:styleId="8Char">
    <w:name w:val="标题 8 Char"/>
    <w:link w:val="8"/>
    <w:uiPriority w:val="99"/>
    <w:locked/>
    <w:rsid w:val="006238C2"/>
    <w:rPr>
      <w:rFonts w:ascii="Cambria" w:eastAsia="宋体" w:hAnsi="Cambria" w:cs="Times New Roman"/>
      <w:sz w:val="24"/>
      <w:szCs w:val="24"/>
    </w:rPr>
  </w:style>
  <w:style w:type="character" w:customStyle="1" w:styleId="9Char">
    <w:name w:val="标题 9 Char"/>
    <w:link w:val="9"/>
    <w:uiPriority w:val="99"/>
    <w:locked/>
    <w:rsid w:val="006238C2"/>
    <w:rPr>
      <w:rFonts w:ascii="Cambria" w:eastAsia="宋体" w:hAnsi="Cambria" w:cs="Times New Roman"/>
      <w:sz w:val="21"/>
      <w:szCs w:val="21"/>
    </w:rPr>
  </w:style>
  <w:style w:type="character" w:styleId="a3">
    <w:name w:val="page number"/>
    <w:uiPriority w:val="99"/>
    <w:rsid w:val="00A54B0D"/>
    <w:rPr>
      <w:rFonts w:cs="Times New Roman"/>
    </w:rPr>
  </w:style>
  <w:style w:type="character" w:styleId="a4">
    <w:name w:val="footnote reference"/>
    <w:uiPriority w:val="99"/>
    <w:rsid w:val="00A54B0D"/>
    <w:rPr>
      <w:rFonts w:cs="Times New Roman"/>
      <w:vertAlign w:val="superscript"/>
    </w:rPr>
  </w:style>
  <w:style w:type="character" w:styleId="a5">
    <w:name w:val="Hyperlink"/>
    <w:uiPriority w:val="99"/>
    <w:rsid w:val="00A54B0D"/>
    <w:rPr>
      <w:rFonts w:cs="Times New Roman"/>
      <w:color w:val="0000FF"/>
      <w:u w:val="single"/>
    </w:rPr>
  </w:style>
  <w:style w:type="character" w:customStyle="1" w:styleId="10">
    <w:name w:val="民生超大标题1"/>
    <w:uiPriority w:val="99"/>
    <w:semiHidden/>
    <w:rsid w:val="00A54B0D"/>
    <w:rPr>
      <w:rFonts w:ascii="Times New Roman" w:eastAsia="方正大黑简体" w:hAnsi="Times New Roman"/>
      <w:color w:val="015895"/>
      <w:sz w:val="68"/>
    </w:rPr>
  </w:style>
  <w:style w:type="character" w:styleId="a6">
    <w:name w:val="annotation reference"/>
    <w:uiPriority w:val="99"/>
    <w:rsid w:val="00A54B0D"/>
    <w:rPr>
      <w:rFonts w:cs="Times New Roman"/>
      <w:sz w:val="21"/>
    </w:rPr>
  </w:style>
  <w:style w:type="character" w:customStyle="1" w:styleId="Char">
    <w:name w:val="缺省文本_宋体 Char"/>
    <w:link w:val="a7"/>
    <w:uiPriority w:val="99"/>
    <w:locked/>
    <w:rsid w:val="00A54B0D"/>
    <w:rPr>
      <w:spacing w:val="16"/>
      <w:kern w:val="28"/>
      <w:sz w:val="24"/>
    </w:rPr>
  </w:style>
  <w:style w:type="character" w:customStyle="1" w:styleId="FootnoteTextChar">
    <w:name w:val="Footnote Text Char"/>
    <w:uiPriority w:val="99"/>
    <w:locked/>
    <w:rsid w:val="00A54B0D"/>
    <w:rPr>
      <w:kern w:val="2"/>
      <w:sz w:val="18"/>
    </w:rPr>
  </w:style>
  <w:style w:type="character" w:customStyle="1" w:styleId="05Char">
    <w:name w:val="招股书正文+段前0.5行 Char"/>
    <w:link w:val="05"/>
    <w:uiPriority w:val="99"/>
    <w:locked/>
    <w:rsid w:val="00A54B0D"/>
    <w:rPr>
      <w:rFonts w:ascii="宋体" w:eastAsia="宋体"/>
      <w:sz w:val="30"/>
    </w:rPr>
  </w:style>
  <w:style w:type="paragraph" w:customStyle="1" w:styleId="a8">
    <w:name w:val="表格文字"/>
    <w:basedOn w:val="a"/>
    <w:uiPriority w:val="99"/>
    <w:semiHidden/>
    <w:rsid w:val="00A54B0D"/>
    <w:pPr>
      <w:spacing w:line="200" w:lineRule="exact"/>
    </w:pPr>
    <w:rPr>
      <w:sz w:val="16"/>
    </w:rPr>
  </w:style>
  <w:style w:type="paragraph" w:customStyle="1" w:styleId="a9">
    <w:name w:val="内文二级标题"/>
    <w:basedOn w:val="a"/>
    <w:uiPriority w:val="99"/>
    <w:semiHidden/>
    <w:rsid w:val="00A54B0D"/>
    <w:pPr>
      <w:spacing w:beforeLines="80"/>
      <w:ind w:firstLineChars="171" w:firstLine="378"/>
    </w:pPr>
    <w:rPr>
      <w:rFonts w:ascii="Arial" w:hAnsi="Arial" w:cs="Arial"/>
      <w:b/>
      <w:color w:val="000000"/>
      <w:sz w:val="22"/>
    </w:rPr>
  </w:style>
  <w:style w:type="paragraph" w:customStyle="1" w:styleId="B3">
    <w:name w:val="B3内文表格内容"/>
    <w:basedOn w:val="a"/>
    <w:uiPriority w:val="99"/>
    <w:semiHidden/>
    <w:rsid w:val="00A54B0D"/>
    <w:pPr>
      <w:spacing w:line="240" w:lineRule="atLeast"/>
    </w:pPr>
    <w:rPr>
      <w:rFonts w:ascii="Arial" w:hAnsi="Arial" w:cs="Arial"/>
      <w:sz w:val="15"/>
      <w:szCs w:val="15"/>
    </w:rPr>
  </w:style>
  <w:style w:type="paragraph" w:customStyle="1" w:styleId="B1">
    <w:name w:val="B1内文图表标题"/>
    <w:basedOn w:val="a"/>
    <w:uiPriority w:val="99"/>
    <w:semiHidden/>
    <w:rsid w:val="00A54B0D"/>
    <w:pPr>
      <w:spacing w:line="240" w:lineRule="exact"/>
    </w:pPr>
    <w:rPr>
      <w:b/>
      <w:bCs/>
      <w:spacing w:val="-4"/>
      <w:sz w:val="18"/>
      <w:szCs w:val="21"/>
    </w:rPr>
  </w:style>
  <w:style w:type="paragraph" w:customStyle="1" w:styleId="aa">
    <w:name w:val="图表脚注"/>
    <w:basedOn w:val="a"/>
    <w:uiPriority w:val="99"/>
    <w:semiHidden/>
    <w:rsid w:val="00A54B0D"/>
    <w:pPr>
      <w:spacing w:line="240" w:lineRule="atLeast"/>
    </w:pPr>
    <w:rPr>
      <w:rFonts w:ascii="Arial" w:hAnsi="Arial" w:cs="Arial"/>
      <w:color w:val="000000"/>
      <w:sz w:val="15"/>
    </w:rPr>
  </w:style>
  <w:style w:type="paragraph" w:customStyle="1" w:styleId="1Char0">
    <w:name w:val="1 Char"/>
    <w:basedOn w:val="a"/>
    <w:uiPriority w:val="99"/>
    <w:semiHidden/>
    <w:rsid w:val="00A54B0D"/>
    <w:pPr>
      <w:widowControl/>
      <w:spacing w:after="160" w:line="240" w:lineRule="exact"/>
    </w:pPr>
    <w:rPr>
      <w:rFonts w:cs="Arial"/>
      <w:kern w:val="0"/>
      <w:sz w:val="22"/>
      <w:szCs w:val="20"/>
      <w:lang w:eastAsia="en-US"/>
    </w:rPr>
  </w:style>
  <w:style w:type="paragraph" w:styleId="ab">
    <w:name w:val="Document Map"/>
    <w:basedOn w:val="a"/>
    <w:link w:val="Char0"/>
    <w:uiPriority w:val="99"/>
    <w:rsid w:val="00A54B0D"/>
    <w:pPr>
      <w:shd w:val="clear" w:color="auto" w:fill="000080"/>
    </w:pPr>
    <w:rPr>
      <w:kern w:val="0"/>
      <w:sz w:val="2"/>
      <w:szCs w:val="20"/>
    </w:rPr>
  </w:style>
  <w:style w:type="character" w:customStyle="1" w:styleId="Char0">
    <w:name w:val="文档结构图 Char"/>
    <w:link w:val="ab"/>
    <w:uiPriority w:val="99"/>
    <w:locked/>
    <w:rsid w:val="006238C2"/>
    <w:rPr>
      <w:rFonts w:eastAsia="楷体_GB2312" w:cs="Times New Roman"/>
      <w:sz w:val="2"/>
    </w:rPr>
  </w:style>
  <w:style w:type="paragraph" w:styleId="ac">
    <w:name w:val="Date"/>
    <w:basedOn w:val="a"/>
    <w:next w:val="a"/>
    <w:link w:val="Char1"/>
    <w:uiPriority w:val="99"/>
    <w:rsid w:val="00A54B0D"/>
    <w:pPr>
      <w:ind w:leftChars="2500" w:left="100"/>
    </w:pPr>
    <w:rPr>
      <w:kern w:val="0"/>
      <w:sz w:val="24"/>
    </w:rPr>
  </w:style>
  <w:style w:type="character" w:customStyle="1" w:styleId="Char1">
    <w:name w:val="日期 Char"/>
    <w:link w:val="ac"/>
    <w:uiPriority w:val="99"/>
    <w:locked/>
    <w:rsid w:val="006238C2"/>
    <w:rPr>
      <w:rFonts w:eastAsia="楷体_GB2312" w:cs="Times New Roman"/>
      <w:sz w:val="24"/>
      <w:szCs w:val="24"/>
    </w:rPr>
  </w:style>
  <w:style w:type="paragraph" w:styleId="ad">
    <w:name w:val="table of figures"/>
    <w:basedOn w:val="a"/>
    <w:next w:val="a"/>
    <w:uiPriority w:val="99"/>
    <w:rsid w:val="00A54B0D"/>
    <w:pPr>
      <w:ind w:leftChars="200" w:left="200" w:hangingChars="200" w:hanging="200"/>
    </w:pPr>
  </w:style>
  <w:style w:type="paragraph" w:styleId="20">
    <w:name w:val="toc 2"/>
    <w:basedOn w:val="a"/>
    <w:next w:val="a"/>
    <w:uiPriority w:val="99"/>
    <w:rsid w:val="00A54B0D"/>
    <w:pPr>
      <w:ind w:left="210"/>
      <w:jc w:val="left"/>
    </w:pPr>
    <w:rPr>
      <w:smallCaps/>
      <w:sz w:val="20"/>
      <w:szCs w:val="20"/>
    </w:rPr>
  </w:style>
  <w:style w:type="paragraph" w:styleId="90">
    <w:name w:val="toc 9"/>
    <w:basedOn w:val="a"/>
    <w:next w:val="a"/>
    <w:uiPriority w:val="99"/>
    <w:rsid w:val="00A54B0D"/>
    <w:pPr>
      <w:ind w:left="1680"/>
      <w:jc w:val="left"/>
    </w:pPr>
    <w:rPr>
      <w:sz w:val="18"/>
      <w:szCs w:val="18"/>
    </w:rPr>
  </w:style>
  <w:style w:type="paragraph" w:styleId="ae">
    <w:name w:val="Title"/>
    <w:basedOn w:val="a"/>
    <w:link w:val="Char2"/>
    <w:uiPriority w:val="99"/>
    <w:qFormat/>
    <w:rsid w:val="00A54B0D"/>
    <w:pPr>
      <w:spacing w:before="240" w:after="60"/>
      <w:jc w:val="center"/>
      <w:outlineLvl w:val="0"/>
    </w:pPr>
    <w:rPr>
      <w:rFonts w:ascii="Cambria" w:eastAsia="宋体" w:hAnsi="Cambria"/>
      <w:b/>
      <w:bCs/>
      <w:kern w:val="0"/>
      <w:sz w:val="32"/>
      <w:szCs w:val="32"/>
    </w:rPr>
  </w:style>
  <w:style w:type="character" w:customStyle="1" w:styleId="Char2">
    <w:name w:val="标题 Char"/>
    <w:link w:val="ae"/>
    <w:uiPriority w:val="99"/>
    <w:locked/>
    <w:rsid w:val="006238C2"/>
    <w:rPr>
      <w:rFonts w:ascii="Cambria" w:hAnsi="Cambria" w:cs="Times New Roman"/>
      <w:b/>
      <w:bCs/>
      <w:sz w:val="32"/>
      <w:szCs w:val="32"/>
    </w:rPr>
  </w:style>
  <w:style w:type="paragraph" w:styleId="50">
    <w:name w:val="toc 5"/>
    <w:basedOn w:val="a"/>
    <w:next w:val="a"/>
    <w:uiPriority w:val="99"/>
    <w:rsid w:val="00A54B0D"/>
    <w:pPr>
      <w:ind w:left="840"/>
      <w:jc w:val="left"/>
    </w:pPr>
    <w:rPr>
      <w:sz w:val="18"/>
      <w:szCs w:val="18"/>
    </w:rPr>
  </w:style>
  <w:style w:type="paragraph" w:styleId="af">
    <w:name w:val="annotation text"/>
    <w:basedOn w:val="a"/>
    <w:link w:val="Char3"/>
    <w:uiPriority w:val="99"/>
    <w:rsid w:val="00A54B0D"/>
    <w:pPr>
      <w:jc w:val="left"/>
    </w:pPr>
    <w:rPr>
      <w:kern w:val="0"/>
      <w:sz w:val="24"/>
    </w:rPr>
  </w:style>
  <w:style w:type="character" w:customStyle="1" w:styleId="Char3">
    <w:name w:val="批注文字 Char"/>
    <w:link w:val="af"/>
    <w:uiPriority w:val="99"/>
    <w:locked/>
    <w:rsid w:val="006238C2"/>
    <w:rPr>
      <w:rFonts w:eastAsia="楷体_GB2312" w:cs="Times New Roman"/>
      <w:sz w:val="24"/>
      <w:szCs w:val="24"/>
    </w:rPr>
  </w:style>
  <w:style w:type="paragraph" w:styleId="11">
    <w:name w:val="toc 1"/>
    <w:basedOn w:val="a"/>
    <w:next w:val="a"/>
    <w:uiPriority w:val="99"/>
    <w:rsid w:val="00A54B0D"/>
    <w:pPr>
      <w:tabs>
        <w:tab w:val="right" w:leader="dot" w:pos="10192"/>
      </w:tabs>
      <w:spacing w:before="120" w:after="120"/>
      <w:jc w:val="center"/>
    </w:pPr>
    <w:rPr>
      <w:rFonts w:ascii="仿宋_GB2312" w:eastAsia="仿宋_GB2312" w:hAnsi="仿宋_GB2312"/>
      <w:b/>
      <w:bCs/>
      <w:caps/>
      <w:sz w:val="36"/>
      <w:szCs w:val="36"/>
    </w:rPr>
  </w:style>
  <w:style w:type="paragraph" w:styleId="30">
    <w:name w:val="toc 3"/>
    <w:basedOn w:val="a"/>
    <w:next w:val="a"/>
    <w:uiPriority w:val="99"/>
    <w:rsid w:val="00A54B0D"/>
    <w:pPr>
      <w:ind w:left="420"/>
      <w:jc w:val="left"/>
    </w:pPr>
    <w:rPr>
      <w:i/>
      <w:iCs/>
      <w:sz w:val="20"/>
      <w:szCs w:val="20"/>
    </w:rPr>
  </w:style>
  <w:style w:type="paragraph" w:styleId="af0">
    <w:name w:val="annotation subject"/>
    <w:basedOn w:val="af"/>
    <w:next w:val="af"/>
    <w:link w:val="Char4"/>
    <w:uiPriority w:val="99"/>
    <w:rsid w:val="00A54B0D"/>
    <w:rPr>
      <w:b/>
      <w:bCs/>
    </w:rPr>
  </w:style>
  <w:style w:type="character" w:customStyle="1" w:styleId="Char4">
    <w:name w:val="批注主题 Char"/>
    <w:link w:val="af0"/>
    <w:uiPriority w:val="99"/>
    <w:locked/>
    <w:rsid w:val="006238C2"/>
    <w:rPr>
      <w:rFonts w:eastAsia="楷体_GB2312" w:cs="Times New Roman"/>
      <w:b/>
      <w:bCs/>
      <w:sz w:val="24"/>
      <w:szCs w:val="24"/>
    </w:rPr>
  </w:style>
  <w:style w:type="paragraph" w:styleId="af1">
    <w:name w:val="footer"/>
    <w:basedOn w:val="a"/>
    <w:link w:val="Char5"/>
    <w:uiPriority w:val="99"/>
    <w:rsid w:val="00A54B0D"/>
    <w:pPr>
      <w:pBdr>
        <w:top w:val="single" w:sz="12" w:space="6" w:color="808080"/>
      </w:pBdr>
      <w:snapToGrid w:val="0"/>
      <w:jc w:val="left"/>
    </w:pPr>
    <w:rPr>
      <w:sz w:val="18"/>
      <w:szCs w:val="18"/>
    </w:rPr>
  </w:style>
  <w:style w:type="character" w:customStyle="1" w:styleId="Char5">
    <w:name w:val="页脚 Char"/>
    <w:link w:val="af1"/>
    <w:uiPriority w:val="99"/>
    <w:locked/>
    <w:rsid w:val="002C1182"/>
    <w:rPr>
      <w:rFonts w:eastAsia="楷体_GB2312" w:cs="Times New Roman"/>
      <w:kern w:val="2"/>
      <w:sz w:val="18"/>
      <w:szCs w:val="18"/>
    </w:rPr>
  </w:style>
  <w:style w:type="paragraph" w:styleId="60">
    <w:name w:val="toc 6"/>
    <w:basedOn w:val="a"/>
    <w:next w:val="a"/>
    <w:uiPriority w:val="99"/>
    <w:rsid w:val="00A54B0D"/>
    <w:pPr>
      <w:ind w:left="1050"/>
      <w:jc w:val="left"/>
    </w:pPr>
    <w:rPr>
      <w:sz w:val="18"/>
      <w:szCs w:val="18"/>
    </w:rPr>
  </w:style>
  <w:style w:type="paragraph" w:styleId="af2">
    <w:name w:val="caption"/>
    <w:basedOn w:val="a"/>
    <w:next w:val="a"/>
    <w:uiPriority w:val="35"/>
    <w:qFormat/>
    <w:rsid w:val="00A54B0D"/>
    <w:rPr>
      <w:rFonts w:ascii="Arial" w:eastAsia="黑体" w:hAnsi="Arial" w:cs="Arial"/>
      <w:sz w:val="20"/>
      <w:szCs w:val="20"/>
    </w:rPr>
  </w:style>
  <w:style w:type="paragraph" w:styleId="af3">
    <w:name w:val="Balloon Text"/>
    <w:basedOn w:val="a"/>
    <w:link w:val="Char6"/>
    <w:uiPriority w:val="99"/>
    <w:rsid w:val="00A54B0D"/>
    <w:rPr>
      <w:kern w:val="0"/>
      <w:sz w:val="2"/>
      <w:szCs w:val="20"/>
    </w:rPr>
  </w:style>
  <w:style w:type="character" w:customStyle="1" w:styleId="Char6">
    <w:name w:val="批注框文本 Char"/>
    <w:link w:val="af3"/>
    <w:uiPriority w:val="99"/>
    <w:locked/>
    <w:rsid w:val="006238C2"/>
    <w:rPr>
      <w:rFonts w:eastAsia="楷体_GB2312" w:cs="Times New Roman"/>
      <w:sz w:val="2"/>
    </w:rPr>
  </w:style>
  <w:style w:type="paragraph" w:styleId="af4">
    <w:name w:val="footnote text"/>
    <w:basedOn w:val="a"/>
    <w:link w:val="Char7"/>
    <w:uiPriority w:val="99"/>
    <w:rsid w:val="00A54B0D"/>
    <w:pPr>
      <w:snapToGrid w:val="0"/>
      <w:jc w:val="left"/>
    </w:pPr>
    <w:rPr>
      <w:kern w:val="0"/>
      <w:sz w:val="18"/>
      <w:szCs w:val="18"/>
    </w:rPr>
  </w:style>
  <w:style w:type="character" w:customStyle="1" w:styleId="Char7">
    <w:name w:val="脚注文本 Char"/>
    <w:link w:val="af4"/>
    <w:uiPriority w:val="99"/>
    <w:locked/>
    <w:rsid w:val="006238C2"/>
    <w:rPr>
      <w:rFonts w:eastAsia="楷体_GB2312" w:cs="Times New Roman"/>
      <w:sz w:val="18"/>
      <w:szCs w:val="18"/>
    </w:rPr>
  </w:style>
  <w:style w:type="paragraph" w:styleId="TOC">
    <w:name w:val="TOC Heading"/>
    <w:basedOn w:val="1"/>
    <w:next w:val="a"/>
    <w:uiPriority w:val="99"/>
    <w:qFormat/>
    <w:rsid w:val="00A54B0D"/>
    <w:pPr>
      <w:outlineLvl w:val="9"/>
    </w:pPr>
  </w:style>
  <w:style w:type="paragraph" w:customStyle="1" w:styleId="A4Char">
    <w:name w:val="A4内文 Char"/>
    <w:basedOn w:val="a"/>
    <w:uiPriority w:val="99"/>
    <w:semiHidden/>
    <w:rsid w:val="00A54B0D"/>
    <w:pPr>
      <w:spacing w:beforeLines="20" w:afterLines="50" w:line="280" w:lineRule="exact"/>
      <w:ind w:firstLineChars="200" w:firstLine="384"/>
    </w:pPr>
    <w:rPr>
      <w:rFonts w:ascii="Arial" w:hAnsi="Arial" w:cs="Arial"/>
      <w:color w:val="000000"/>
      <w:spacing w:val="-4"/>
      <w:sz w:val="20"/>
    </w:rPr>
  </w:style>
  <w:style w:type="paragraph" w:customStyle="1" w:styleId="CharCharCharCharCharCharChar">
    <w:name w:val="Char Char Char Char Char Char Char"/>
    <w:basedOn w:val="a"/>
    <w:uiPriority w:val="99"/>
    <w:semiHidden/>
    <w:rsid w:val="00A54B0D"/>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uiPriority w:val="99"/>
    <w:semiHidden/>
    <w:rsid w:val="00A54B0D"/>
    <w:pPr>
      <w:widowControl/>
      <w:spacing w:after="160" w:line="240" w:lineRule="exact"/>
      <w:jc w:val="left"/>
    </w:pPr>
    <w:rPr>
      <w:rFonts w:ascii="Verdana" w:hAnsi="Verdana"/>
      <w:kern w:val="0"/>
      <w:sz w:val="20"/>
      <w:szCs w:val="20"/>
      <w:lang w:eastAsia="en-US"/>
    </w:rPr>
  </w:style>
  <w:style w:type="paragraph" w:customStyle="1" w:styleId="12">
    <w:name w:val="蓝色标题1"/>
    <w:basedOn w:val="a"/>
    <w:uiPriority w:val="99"/>
    <w:semiHidden/>
    <w:rsid w:val="00A54B0D"/>
    <w:rPr>
      <w:b/>
      <w:color w:val="003366"/>
    </w:rPr>
  </w:style>
  <w:style w:type="paragraph" w:customStyle="1" w:styleId="13">
    <w:name w:val="样式1"/>
    <w:basedOn w:val="ae"/>
    <w:uiPriority w:val="99"/>
    <w:semiHidden/>
    <w:rsid w:val="00A54B0D"/>
    <w:pPr>
      <w:spacing w:beforeLines="150" w:afterLines="100"/>
    </w:pPr>
    <w:rPr>
      <w:rFonts w:ascii="仿宋_GB2312" w:hAnsi="仿宋_GB2312"/>
      <w:b w:val="0"/>
      <w:sz w:val="36"/>
      <w:szCs w:val="36"/>
    </w:rPr>
  </w:style>
  <w:style w:type="paragraph" w:customStyle="1" w:styleId="af5">
    <w:name w:val="内文三级标题"/>
    <w:basedOn w:val="a9"/>
    <w:uiPriority w:val="99"/>
    <w:semiHidden/>
    <w:rsid w:val="00A54B0D"/>
    <w:pPr>
      <w:spacing w:beforeLines="50" w:line="280" w:lineRule="exact"/>
      <w:ind w:firstLineChars="170" w:firstLine="358"/>
    </w:pPr>
    <w:rPr>
      <w:sz w:val="21"/>
    </w:rPr>
  </w:style>
  <w:style w:type="paragraph" w:customStyle="1" w:styleId="14">
    <w:name w:val="1号标题"/>
    <w:basedOn w:val="ae"/>
    <w:uiPriority w:val="99"/>
    <w:semiHidden/>
    <w:rsid w:val="00A54B0D"/>
    <w:pPr>
      <w:spacing w:before="468" w:after="312"/>
    </w:pPr>
    <w:rPr>
      <w:rFonts w:ascii="仿宋_GB2312" w:hAnsi="仿宋_GB2312" w:cs="宋体"/>
      <w:bCs w:val="0"/>
      <w:sz w:val="36"/>
      <w:szCs w:val="20"/>
    </w:rPr>
  </w:style>
  <w:style w:type="paragraph" w:customStyle="1" w:styleId="100">
    <w:name w:val="样式 目录 1 + 左 段前: 0 磅"/>
    <w:basedOn w:val="11"/>
    <w:uiPriority w:val="99"/>
    <w:rsid w:val="005821D4"/>
    <w:pPr>
      <w:spacing w:before="0"/>
      <w:jc w:val="left"/>
    </w:pPr>
    <w:rPr>
      <w:rFonts w:ascii="Times New Roman" w:eastAsia="楷体_GB2312" w:hAnsi="Times New Roman" w:cs="宋体"/>
      <w:sz w:val="20"/>
      <w:szCs w:val="20"/>
    </w:rPr>
  </w:style>
  <w:style w:type="paragraph" w:customStyle="1" w:styleId="af6">
    <w:name w:val="图题"/>
    <w:next w:val="af7"/>
    <w:uiPriority w:val="99"/>
    <w:semiHidden/>
    <w:rsid w:val="00A54B0D"/>
    <w:pPr>
      <w:jc w:val="center"/>
    </w:pPr>
    <w:rPr>
      <w:rFonts w:eastAsia="黑体"/>
      <w:sz w:val="24"/>
    </w:rPr>
  </w:style>
  <w:style w:type="paragraph" w:customStyle="1" w:styleId="af8">
    <w:name w:val="附注－正文"/>
    <w:basedOn w:val="af9"/>
    <w:uiPriority w:val="99"/>
    <w:semiHidden/>
    <w:rsid w:val="00A54B0D"/>
    <w:pPr>
      <w:adjustRightInd w:val="0"/>
      <w:snapToGrid w:val="0"/>
      <w:spacing w:afterLines="50" w:line="360" w:lineRule="auto"/>
      <w:ind w:leftChars="0" w:left="0" w:firstLineChars="200" w:firstLine="200"/>
    </w:pPr>
    <w:rPr>
      <w:rFonts w:ascii="宋体"/>
      <w:szCs w:val="20"/>
    </w:rPr>
  </w:style>
  <w:style w:type="paragraph" w:customStyle="1" w:styleId="afa">
    <w:name w:val="招股书表格注脚"/>
    <w:basedOn w:val="a"/>
    <w:next w:val="a"/>
    <w:uiPriority w:val="99"/>
    <w:semiHidden/>
    <w:rsid w:val="00A54B0D"/>
    <w:pPr>
      <w:autoSpaceDE w:val="0"/>
      <w:autoSpaceDN w:val="0"/>
      <w:adjustRightInd w:val="0"/>
      <w:snapToGrid w:val="0"/>
      <w:spacing w:beforeLines="25" w:line="300" w:lineRule="auto"/>
      <w:ind w:firstLineChars="250" w:firstLine="525"/>
    </w:pPr>
    <w:rPr>
      <w:rFonts w:ascii="宋体" w:hAnsi="宋体" w:cs="方正书宋简体"/>
      <w:szCs w:val="21"/>
    </w:rPr>
  </w:style>
  <w:style w:type="paragraph" w:customStyle="1" w:styleId="21">
    <w:name w:val="2号标题"/>
    <w:basedOn w:val="ae"/>
    <w:uiPriority w:val="99"/>
    <w:semiHidden/>
    <w:rsid w:val="00A54B0D"/>
    <w:pPr>
      <w:tabs>
        <w:tab w:val="left" w:pos="397"/>
      </w:tabs>
      <w:spacing w:afterLines="50"/>
      <w:ind w:left="397" w:hanging="397"/>
    </w:pPr>
    <w:rPr>
      <w:rFonts w:ascii="楷体_GB2312" w:hAnsi="楷体_GB2312"/>
      <w:b w:val="0"/>
      <w:sz w:val="30"/>
      <w:szCs w:val="30"/>
    </w:rPr>
  </w:style>
  <w:style w:type="paragraph" w:customStyle="1" w:styleId="050">
    <w:name w:val="缺省文本 + 段前: 0.5 行"/>
    <w:uiPriority w:val="99"/>
    <w:semiHidden/>
    <w:rsid w:val="00A54B0D"/>
    <w:pPr>
      <w:spacing w:before="156" w:line="300" w:lineRule="auto"/>
      <w:jc w:val="both"/>
    </w:pPr>
    <w:rPr>
      <w:rFonts w:eastAsia="楷体_GB2312" w:cs="宋体"/>
      <w:spacing w:val="8"/>
      <w:kern w:val="24"/>
      <w:sz w:val="21"/>
    </w:rPr>
  </w:style>
  <w:style w:type="paragraph" w:customStyle="1" w:styleId="af7">
    <w:name w:val="图"/>
    <w:next w:val="a"/>
    <w:uiPriority w:val="99"/>
    <w:semiHidden/>
    <w:rsid w:val="00A54B0D"/>
    <w:pPr>
      <w:adjustRightInd w:val="0"/>
      <w:snapToGrid w:val="0"/>
      <w:ind w:leftChars="400" w:left="400"/>
    </w:pPr>
  </w:style>
  <w:style w:type="paragraph" w:customStyle="1" w:styleId="051">
    <w:name w:val="样式 缺省文本 + 段前: 0.5 行 + 加粗"/>
    <w:basedOn w:val="050"/>
    <w:uiPriority w:val="99"/>
    <w:semiHidden/>
    <w:rsid w:val="00A54B0D"/>
    <w:pPr>
      <w:ind w:firstLineChars="200" w:firstLine="200"/>
    </w:pPr>
    <w:rPr>
      <w:b/>
      <w:bCs/>
      <w:color w:val="0068AA"/>
    </w:rPr>
  </w:style>
  <w:style w:type="paragraph" w:customStyle="1" w:styleId="a7">
    <w:name w:val="缺省文本_宋体"/>
    <w:basedOn w:val="a"/>
    <w:link w:val="Char"/>
    <w:uiPriority w:val="99"/>
    <w:semiHidden/>
    <w:rsid w:val="00A54B0D"/>
    <w:pPr>
      <w:tabs>
        <w:tab w:val="left" w:pos="525"/>
        <w:tab w:val="center" w:pos="5670"/>
        <w:tab w:val="right" w:pos="7655"/>
      </w:tabs>
      <w:spacing w:before="80" w:after="120" w:line="360" w:lineRule="auto"/>
      <w:outlineLvl w:val="7"/>
    </w:pPr>
    <w:rPr>
      <w:rFonts w:eastAsia="宋体"/>
      <w:spacing w:val="16"/>
      <w:kern w:val="28"/>
      <w:sz w:val="24"/>
      <w:szCs w:val="20"/>
    </w:rPr>
  </w:style>
  <w:style w:type="paragraph" w:customStyle="1" w:styleId="22">
    <w:name w:val="样式2"/>
    <w:basedOn w:val="af1"/>
    <w:uiPriority w:val="99"/>
    <w:semiHidden/>
    <w:rsid w:val="00A54B0D"/>
    <w:pPr>
      <w:pBdr>
        <w:top w:val="none" w:sz="0" w:space="0" w:color="auto"/>
      </w:pBdr>
      <w:ind w:leftChars="59" w:left="124"/>
    </w:pPr>
  </w:style>
  <w:style w:type="paragraph" w:styleId="afb">
    <w:name w:val="Revision"/>
    <w:uiPriority w:val="99"/>
    <w:semiHidden/>
    <w:rsid w:val="00A54B0D"/>
    <w:rPr>
      <w:rFonts w:eastAsia="楷体_GB2312"/>
      <w:kern w:val="2"/>
      <w:sz w:val="21"/>
      <w:szCs w:val="24"/>
    </w:rPr>
  </w:style>
  <w:style w:type="paragraph" w:customStyle="1" w:styleId="afc">
    <w:name w:val="内文一级标题"/>
    <w:basedOn w:val="a"/>
    <w:uiPriority w:val="99"/>
    <w:semiHidden/>
    <w:rsid w:val="00A54B0D"/>
    <w:pPr>
      <w:spacing w:beforeLines="200"/>
      <w:ind w:firstLineChars="195" w:firstLine="376"/>
    </w:pPr>
    <w:rPr>
      <w:rFonts w:ascii="Arial" w:hAnsi="Arial" w:cs="Arial"/>
      <w:b/>
      <w:bCs/>
      <w:color w:val="000000"/>
      <w:sz w:val="32"/>
    </w:rPr>
  </w:style>
  <w:style w:type="paragraph" w:customStyle="1" w:styleId="05">
    <w:name w:val="招股书正文+段前0.5行"/>
    <w:basedOn w:val="a"/>
    <w:next w:val="a"/>
    <w:link w:val="05Char"/>
    <w:uiPriority w:val="99"/>
    <w:semiHidden/>
    <w:rsid w:val="00A54B0D"/>
    <w:pPr>
      <w:spacing w:beforeLines="50" w:line="360" w:lineRule="auto"/>
      <w:ind w:firstLineChars="200" w:firstLine="200"/>
    </w:pPr>
    <w:rPr>
      <w:rFonts w:ascii="宋体" w:eastAsia="宋体"/>
      <w:kern w:val="0"/>
      <w:sz w:val="30"/>
      <w:szCs w:val="20"/>
    </w:rPr>
  </w:style>
  <w:style w:type="paragraph" w:customStyle="1" w:styleId="afd">
    <w:name w:val="招股说明书正文"/>
    <w:basedOn w:val="a"/>
    <w:uiPriority w:val="99"/>
    <w:semiHidden/>
    <w:rsid w:val="00A54B0D"/>
    <w:pPr>
      <w:spacing w:line="360" w:lineRule="auto"/>
      <w:ind w:firstLineChars="200" w:firstLine="480"/>
    </w:pPr>
    <w:rPr>
      <w:rFonts w:ascii="宋体" w:hAnsi="宋体" w:cs="宋体"/>
      <w:sz w:val="24"/>
      <w:szCs w:val="20"/>
    </w:rPr>
  </w:style>
  <w:style w:type="paragraph" w:styleId="70">
    <w:name w:val="toc 7"/>
    <w:basedOn w:val="a"/>
    <w:next w:val="a"/>
    <w:uiPriority w:val="99"/>
    <w:rsid w:val="00A54B0D"/>
    <w:pPr>
      <w:ind w:left="1260"/>
      <w:jc w:val="left"/>
    </w:pPr>
    <w:rPr>
      <w:sz w:val="18"/>
      <w:szCs w:val="18"/>
    </w:rPr>
  </w:style>
  <w:style w:type="paragraph" w:styleId="af9">
    <w:name w:val="Body Text Indent"/>
    <w:basedOn w:val="a"/>
    <w:link w:val="Char8"/>
    <w:uiPriority w:val="99"/>
    <w:rsid w:val="00A54B0D"/>
    <w:pPr>
      <w:spacing w:after="120"/>
      <w:ind w:leftChars="200" w:left="420"/>
    </w:pPr>
    <w:rPr>
      <w:kern w:val="0"/>
      <w:sz w:val="24"/>
    </w:rPr>
  </w:style>
  <w:style w:type="character" w:customStyle="1" w:styleId="Char8">
    <w:name w:val="正文文本缩进 Char"/>
    <w:link w:val="af9"/>
    <w:uiPriority w:val="99"/>
    <w:locked/>
    <w:rsid w:val="006238C2"/>
    <w:rPr>
      <w:rFonts w:eastAsia="楷体_GB2312" w:cs="Times New Roman"/>
      <w:sz w:val="24"/>
      <w:szCs w:val="24"/>
    </w:rPr>
  </w:style>
  <w:style w:type="paragraph" w:styleId="40">
    <w:name w:val="toc 4"/>
    <w:basedOn w:val="a"/>
    <w:next w:val="a"/>
    <w:uiPriority w:val="99"/>
    <w:rsid w:val="00A54B0D"/>
    <w:pPr>
      <w:ind w:left="630"/>
      <w:jc w:val="left"/>
    </w:pPr>
    <w:rPr>
      <w:sz w:val="18"/>
      <w:szCs w:val="18"/>
    </w:rPr>
  </w:style>
  <w:style w:type="paragraph" w:styleId="80">
    <w:name w:val="toc 8"/>
    <w:basedOn w:val="a"/>
    <w:next w:val="a"/>
    <w:uiPriority w:val="99"/>
    <w:rsid w:val="00A54B0D"/>
    <w:pPr>
      <w:ind w:left="1470"/>
      <w:jc w:val="left"/>
    </w:pPr>
    <w:rPr>
      <w:sz w:val="18"/>
      <w:szCs w:val="18"/>
    </w:rPr>
  </w:style>
  <w:style w:type="paragraph" w:styleId="afe">
    <w:name w:val="header"/>
    <w:basedOn w:val="a"/>
    <w:link w:val="Char9"/>
    <w:uiPriority w:val="99"/>
    <w:rsid w:val="00A54B0D"/>
    <w:pPr>
      <w:tabs>
        <w:tab w:val="center" w:pos="4153"/>
        <w:tab w:val="right" w:pos="8306"/>
      </w:tabs>
      <w:snapToGrid w:val="0"/>
      <w:jc w:val="right"/>
    </w:pPr>
    <w:rPr>
      <w:b/>
      <w:sz w:val="18"/>
      <w:szCs w:val="18"/>
    </w:rPr>
  </w:style>
  <w:style w:type="character" w:customStyle="1" w:styleId="Char9">
    <w:name w:val="页眉 Char"/>
    <w:link w:val="afe"/>
    <w:uiPriority w:val="99"/>
    <w:locked/>
    <w:rsid w:val="002C1182"/>
    <w:rPr>
      <w:rFonts w:eastAsia="楷体_GB2312" w:cs="Times New Roman"/>
      <w:b/>
      <w:kern w:val="2"/>
      <w:sz w:val="18"/>
      <w:szCs w:val="18"/>
    </w:rPr>
  </w:style>
  <w:style w:type="paragraph" w:customStyle="1" w:styleId="0">
    <w:name w:val="0_[一、]_民生_大标题"/>
    <w:basedOn w:val="a"/>
    <w:link w:val="0Char"/>
    <w:uiPriority w:val="99"/>
    <w:rsid w:val="003241A5"/>
    <w:pPr>
      <w:tabs>
        <w:tab w:val="right" w:leader="dot" w:pos="10204"/>
      </w:tabs>
      <w:spacing w:beforeLines="100" w:afterLines="50" w:line="360" w:lineRule="exact"/>
      <w:ind w:rightChars="1000" w:right="1000"/>
      <w:jc w:val="left"/>
    </w:pPr>
    <w:rPr>
      <w:rFonts w:ascii="Arial" w:hAnsi="Arial"/>
      <w:b/>
      <w:color w:val="005096"/>
      <w:sz w:val="32"/>
      <w:szCs w:val="20"/>
    </w:rPr>
  </w:style>
  <w:style w:type="character" w:customStyle="1" w:styleId="0Char">
    <w:name w:val="0_[一、]_民生_大标题 Char"/>
    <w:link w:val="0"/>
    <w:uiPriority w:val="99"/>
    <w:locked/>
    <w:rsid w:val="003241A5"/>
    <w:rPr>
      <w:rFonts w:ascii="Arial" w:eastAsia="楷体_GB2312" w:hAnsi="Arial"/>
      <w:b/>
      <w:color w:val="005096"/>
      <w:kern w:val="2"/>
      <w:sz w:val="32"/>
      <w:lang w:val="en-US" w:eastAsia="zh-CN"/>
    </w:rPr>
  </w:style>
  <w:style w:type="paragraph" w:customStyle="1" w:styleId="15">
    <w:name w:val="1_[(一)]_民生_标题一"/>
    <w:basedOn w:val="0"/>
    <w:link w:val="1Char1"/>
    <w:uiPriority w:val="99"/>
    <w:rsid w:val="003241A5"/>
    <w:rPr>
      <w:color w:val="auto"/>
      <w:sz w:val="28"/>
    </w:rPr>
  </w:style>
  <w:style w:type="character" w:customStyle="1" w:styleId="1Char1">
    <w:name w:val="1_[(一)]_民生_标题一 Char"/>
    <w:link w:val="15"/>
    <w:uiPriority w:val="99"/>
    <w:locked/>
    <w:rsid w:val="003241A5"/>
    <w:rPr>
      <w:rFonts w:ascii="Arial" w:eastAsia="楷体_GB2312" w:hAnsi="Arial"/>
      <w:b/>
      <w:kern w:val="2"/>
      <w:sz w:val="28"/>
      <w:lang w:val="en-US" w:eastAsia="zh-CN"/>
    </w:rPr>
  </w:style>
  <w:style w:type="paragraph" w:customStyle="1" w:styleId="41">
    <w:name w:val="4民生_正文"/>
    <w:basedOn w:val="a"/>
    <w:link w:val="4Char0"/>
    <w:uiPriority w:val="99"/>
    <w:qFormat/>
    <w:rsid w:val="003241A5"/>
    <w:pPr>
      <w:tabs>
        <w:tab w:val="right" w:pos="7200"/>
      </w:tabs>
      <w:spacing w:afterLines="50" w:line="360" w:lineRule="exact"/>
      <w:ind w:rightChars="1000" w:right="1000" w:firstLineChars="200" w:firstLine="200"/>
    </w:pPr>
    <w:rPr>
      <w:sz w:val="24"/>
      <w:szCs w:val="20"/>
    </w:rPr>
  </w:style>
  <w:style w:type="character" w:customStyle="1" w:styleId="4Char0">
    <w:name w:val="4民生_正文 Char"/>
    <w:link w:val="41"/>
    <w:uiPriority w:val="99"/>
    <w:qFormat/>
    <w:locked/>
    <w:rsid w:val="003241A5"/>
    <w:rPr>
      <w:rFonts w:eastAsia="楷体_GB2312"/>
      <w:kern w:val="2"/>
      <w:sz w:val="24"/>
      <w:lang w:val="en-US" w:eastAsia="zh-CN"/>
    </w:rPr>
  </w:style>
  <w:style w:type="paragraph" w:customStyle="1" w:styleId="31">
    <w:name w:val="3_[(1)]_民生_标题三"/>
    <w:basedOn w:val="41"/>
    <w:link w:val="31858D7CFB-ED40-4347-BF05-701D383B685F"/>
    <w:uiPriority w:val="99"/>
    <w:rsid w:val="003241A5"/>
    <w:pPr>
      <w:ind w:firstLineChars="0" w:firstLine="0"/>
    </w:pPr>
    <w:rPr>
      <w:b/>
      <w:color w:val="005096"/>
    </w:rPr>
  </w:style>
  <w:style w:type="character" w:customStyle="1" w:styleId="31858D7CFB-ED40-4347-BF05-701D383B685F">
    <w:name w:val="3_[(1)]_民生_标题三[858D7CFB-ED40-4347-BF05-701D383B685F]"/>
    <w:link w:val="31"/>
    <w:uiPriority w:val="99"/>
    <w:locked/>
    <w:rsid w:val="003241A5"/>
    <w:rPr>
      <w:rFonts w:eastAsia="楷体_GB2312"/>
      <w:b/>
      <w:color w:val="005096"/>
      <w:kern w:val="2"/>
      <w:sz w:val="24"/>
      <w:lang w:val="en-US" w:eastAsia="zh-CN"/>
    </w:rPr>
  </w:style>
  <w:style w:type="paragraph" w:customStyle="1" w:styleId="210">
    <w:name w:val="2_[1、]_民生_标题二"/>
    <w:basedOn w:val="31"/>
    <w:link w:val="21Char"/>
    <w:uiPriority w:val="99"/>
    <w:rsid w:val="003241A5"/>
    <w:pPr>
      <w:tabs>
        <w:tab w:val="clear" w:pos="7200"/>
      </w:tabs>
    </w:pPr>
    <w:rPr>
      <w:rFonts w:ascii="Arial" w:hAnsi="Arial"/>
    </w:rPr>
  </w:style>
  <w:style w:type="paragraph" w:customStyle="1" w:styleId="61">
    <w:name w:val="6民生_表格标题"/>
    <w:basedOn w:val="a"/>
    <w:link w:val="6Char0"/>
    <w:uiPriority w:val="99"/>
    <w:rsid w:val="003241A5"/>
    <w:pPr>
      <w:spacing w:line="360" w:lineRule="exact"/>
    </w:pPr>
    <w:rPr>
      <w:b/>
      <w:color w:val="005096"/>
      <w:sz w:val="18"/>
      <w:szCs w:val="20"/>
    </w:rPr>
  </w:style>
  <w:style w:type="character" w:customStyle="1" w:styleId="6Char0">
    <w:name w:val="6民生_表格标题 Char"/>
    <w:link w:val="61"/>
    <w:uiPriority w:val="99"/>
    <w:locked/>
    <w:rsid w:val="003241A5"/>
    <w:rPr>
      <w:rFonts w:eastAsia="楷体_GB2312"/>
      <w:b/>
      <w:color w:val="005096"/>
      <w:kern w:val="2"/>
      <w:sz w:val="18"/>
      <w:lang w:val="en-US" w:eastAsia="zh-CN"/>
    </w:rPr>
  </w:style>
  <w:style w:type="paragraph" w:customStyle="1" w:styleId="51">
    <w:name w:val="5民生_图表标题"/>
    <w:basedOn w:val="61"/>
    <w:link w:val="5Char0"/>
    <w:uiPriority w:val="99"/>
    <w:rsid w:val="003241A5"/>
  </w:style>
  <w:style w:type="character" w:customStyle="1" w:styleId="5Char0">
    <w:name w:val="5民生_图表标题 Char"/>
    <w:link w:val="51"/>
    <w:uiPriority w:val="99"/>
    <w:locked/>
    <w:rsid w:val="003241A5"/>
    <w:rPr>
      <w:rFonts w:eastAsia="楷体_GB2312"/>
      <w:b/>
      <w:color w:val="005096"/>
      <w:kern w:val="2"/>
      <w:sz w:val="18"/>
      <w:lang w:val="en-US" w:eastAsia="zh-CN"/>
    </w:rPr>
  </w:style>
  <w:style w:type="paragraph" w:customStyle="1" w:styleId="71">
    <w:name w:val="7民生_表格表头"/>
    <w:basedOn w:val="a"/>
    <w:link w:val="7Char0"/>
    <w:uiPriority w:val="99"/>
    <w:rsid w:val="00B07914"/>
    <w:rPr>
      <w:rFonts w:ascii="Arial" w:hAnsi="Arial"/>
      <w:b/>
      <w:sz w:val="16"/>
      <w:szCs w:val="20"/>
    </w:rPr>
  </w:style>
  <w:style w:type="character" w:customStyle="1" w:styleId="7Char0">
    <w:name w:val="7民生_表格表头 Char"/>
    <w:link w:val="71"/>
    <w:uiPriority w:val="99"/>
    <w:locked/>
    <w:rsid w:val="00B07914"/>
    <w:rPr>
      <w:rFonts w:ascii="Arial" w:eastAsia="楷体_GB2312" w:hAnsi="Arial"/>
      <w:b/>
      <w:kern w:val="2"/>
      <w:sz w:val="16"/>
      <w:lang w:val="en-US" w:eastAsia="zh-CN"/>
    </w:rPr>
  </w:style>
  <w:style w:type="paragraph" w:customStyle="1" w:styleId="81">
    <w:name w:val="8民生_表格表字"/>
    <w:basedOn w:val="a"/>
    <w:link w:val="8Char0"/>
    <w:uiPriority w:val="99"/>
    <w:rsid w:val="00B07914"/>
    <w:rPr>
      <w:sz w:val="16"/>
      <w:szCs w:val="20"/>
    </w:rPr>
  </w:style>
  <w:style w:type="paragraph" w:customStyle="1" w:styleId="91">
    <w:name w:val="9民生_资料来源"/>
    <w:basedOn w:val="a"/>
    <w:link w:val="9Char0"/>
    <w:uiPriority w:val="99"/>
    <w:qFormat/>
    <w:rsid w:val="00CB2C85"/>
    <w:pPr>
      <w:spacing w:afterLines="50" w:line="360" w:lineRule="exact"/>
    </w:pPr>
    <w:rPr>
      <w:sz w:val="16"/>
      <w:szCs w:val="16"/>
    </w:rPr>
  </w:style>
  <w:style w:type="paragraph" w:customStyle="1" w:styleId="421005">
    <w:name w:val="样式 4民生_正文 + 首行缩进:  2 字符 右侧:  10 字符 段后: 0.5 行"/>
    <w:basedOn w:val="41"/>
    <w:uiPriority w:val="99"/>
    <w:semiHidden/>
    <w:rsid w:val="002426A5"/>
    <w:pPr>
      <w:spacing w:after="120"/>
      <w:ind w:right="2100" w:firstLine="420"/>
    </w:pPr>
    <w:rPr>
      <w:rFonts w:cs="宋体"/>
      <w:color w:val="000000"/>
    </w:rPr>
  </w:style>
  <w:style w:type="table" w:styleId="aff">
    <w:name w:val="Table Grid"/>
    <w:basedOn w:val="a1"/>
    <w:uiPriority w:val="39"/>
    <w:rsid w:val="007239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trong"/>
    <w:uiPriority w:val="22"/>
    <w:qFormat/>
    <w:rsid w:val="004B09A0"/>
    <w:rPr>
      <w:rFonts w:cs="Times New Roman"/>
      <w:b/>
      <w:bCs/>
    </w:rPr>
  </w:style>
  <w:style w:type="character" w:styleId="aff1">
    <w:name w:val="Emphasis"/>
    <w:uiPriority w:val="99"/>
    <w:qFormat/>
    <w:rsid w:val="009D5CCE"/>
    <w:rPr>
      <w:rFonts w:cs="Times New Roman"/>
      <w:i/>
      <w:iCs/>
    </w:rPr>
  </w:style>
  <w:style w:type="character" w:customStyle="1" w:styleId="txtcontent1">
    <w:name w:val="txtcontent1"/>
    <w:uiPriority w:val="99"/>
    <w:semiHidden/>
    <w:rsid w:val="00514523"/>
    <w:rPr>
      <w:rFonts w:cs="Times New Roman"/>
    </w:rPr>
  </w:style>
  <w:style w:type="paragraph" w:styleId="aff2">
    <w:name w:val="List Paragraph"/>
    <w:basedOn w:val="a"/>
    <w:qFormat/>
    <w:rsid w:val="00257BB9"/>
    <w:pPr>
      <w:ind w:firstLineChars="200" w:firstLine="420"/>
    </w:pPr>
  </w:style>
  <w:style w:type="paragraph" w:customStyle="1" w:styleId="CharCharCharCharCharCharCharCharChar">
    <w:name w:val="Char Char Char Char Char Char Char Char Char"/>
    <w:basedOn w:val="a"/>
    <w:uiPriority w:val="99"/>
    <w:semiHidden/>
    <w:rsid w:val="000B0DF6"/>
    <w:pPr>
      <w:widowControl/>
      <w:spacing w:after="160" w:line="240" w:lineRule="exact"/>
      <w:jc w:val="left"/>
    </w:pPr>
    <w:rPr>
      <w:rFonts w:ascii="Verdana" w:eastAsia="宋体" w:hAnsi="Verdana"/>
      <w:kern w:val="0"/>
      <w:sz w:val="20"/>
      <w:szCs w:val="20"/>
      <w:lang w:eastAsia="en-US"/>
    </w:rPr>
  </w:style>
  <w:style w:type="character" w:customStyle="1" w:styleId="9Char0">
    <w:name w:val="9民生_资料来源 Char"/>
    <w:link w:val="91"/>
    <w:uiPriority w:val="99"/>
    <w:locked/>
    <w:rsid w:val="00363399"/>
    <w:rPr>
      <w:rFonts w:eastAsia="楷体_GB2312" w:cs="Times New Roman"/>
      <w:kern w:val="2"/>
      <w:sz w:val="16"/>
      <w:szCs w:val="16"/>
    </w:rPr>
  </w:style>
  <w:style w:type="paragraph" w:styleId="aff3">
    <w:name w:val="Normal (Web)"/>
    <w:basedOn w:val="a"/>
    <w:uiPriority w:val="99"/>
    <w:rsid w:val="00D559A6"/>
    <w:pPr>
      <w:widowControl/>
      <w:jc w:val="left"/>
    </w:pPr>
    <w:rPr>
      <w:rFonts w:ascii="宋体" w:eastAsia="宋体" w:hAnsi="宋体" w:cs="宋体"/>
      <w:kern w:val="0"/>
      <w:sz w:val="24"/>
    </w:rPr>
  </w:style>
  <w:style w:type="paragraph" w:customStyle="1" w:styleId="52">
    <w:name w:val="5民生_图标题"/>
    <w:basedOn w:val="a"/>
    <w:link w:val="5CharChar"/>
    <w:qFormat/>
    <w:rsid w:val="004B6BF6"/>
    <w:pPr>
      <w:spacing w:line="360" w:lineRule="exact"/>
    </w:pPr>
    <w:rPr>
      <w:b/>
      <w:color w:val="005096"/>
      <w:sz w:val="18"/>
      <w:szCs w:val="20"/>
    </w:rPr>
  </w:style>
  <w:style w:type="character" w:customStyle="1" w:styleId="5CharChar">
    <w:name w:val="5民生_图标题 Char Char"/>
    <w:link w:val="52"/>
    <w:locked/>
    <w:rsid w:val="004B6BF6"/>
    <w:rPr>
      <w:rFonts w:eastAsia="楷体_GB2312"/>
      <w:b/>
      <w:color w:val="005096"/>
      <w:kern w:val="2"/>
      <w:sz w:val="18"/>
    </w:rPr>
  </w:style>
  <w:style w:type="paragraph" w:customStyle="1" w:styleId="62">
    <w:name w:val="6民生_表标题"/>
    <w:basedOn w:val="a"/>
    <w:link w:val="6CharChar"/>
    <w:qFormat/>
    <w:rsid w:val="004A5259"/>
    <w:pPr>
      <w:spacing w:line="360" w:lineRule="exact"/>
    </w:pPr>
    <w:rPr>
      <w:b/>
      <w:color w:val="005096"/>
      <w:sz w:val="18"/>
      <w:szCs w:val="20"/>
    </w:rPr>
  </w:style>
  <w:style w:type="character" w:customStyle="1" w:styleId="6CharChar">
    <w:name w:val="6民生_表标题 Char Char"/>
    <w:link w:val="62"/>
    <w:locked/>
    <w:rsid w:val="004A5259"/>
    <w:rPr>
      <w:rFonts w:eastAsia="楷体_GB2312"/>
      <w:b/>
      <w:color w:val="005096"/>
      <w:kern w:val="2"/>
      <w:sz w:val="18"/>
    </w:rPr>
  </w:style>
  <w:style w:type="paragraph" w:customStyle="1" w:styleId="310">
    <w:name w:val="3_[（1）]_民生_标题三"/>
    <w:basedOn w:val="a"/>
    <w:uiPriority w:val="99"/>
    <w:rsid w:val="00DD75E0"/>
    <w:pPr>
      <w:autoSpaceDE w:val="0"/>
      <w:autoSpaceDN w:val="0"/>
      <w:spacing w:line="360" w:lineRule="exact"/>
    </w:pPr>
    <w:rPr>
      <w:b/>
      <w:szCs w:val="21"/>
    </w:rPr>
  </w:style>
  <w:style w:type="character" w:customStyle="1" w:styleId="21Char">
    <w:name w:val="2_[1、]_民生_标题二 Char"/>
    <w:link w:val="210"/>
    <w:uiPriority w:val="99"/>
    <w:locked/>
    <w:rsid w:val="00217BBD"/>
    <w:rPr>
      <w:rFonts w:ascii="Arial" w:eastAsia="楷体_GB2312" w:hAnsi="Arial"/>
      <w:b/>
      <w:color w:val="005096"/>
      <w:kern w:val="2"/>
      <w:sz w:val="24"/>
    </w:rPr>
  </w:style>
  <w:style w:type="paragraph" w:customStyle="1" w:styleId="Default">
    <w:name w:val="Default"/>
    <w:uiPriority w:val="99"/>
    <w:rsid w:val="00031057"/>
    <w:pPr>
      <w:widowControl w:val="0"/>
      <w:autoSpaceDE w:val="0"/>
      <w:autoSpaceDN w:val="0"/>
      <w:adjustRightInd w:val="0"/>
    </w:pPr>
    <w:rPr>
      <w:rFonts w:ascii="宋体" w:cs="宋体"/>
      <w:color w:val="000000"/>
      <w:sz w:val="24"/>
      <w:szCs w:val="24"/>
    </w:rPr>
  </w:style>
  <w:style w:type="paragraph" w:styleId="z-">
    <w:name w:val="HTML Top of Form"/>
    <w:basedOn w:val="a"/>
    <w:next w:val="a"/>
    <w:link w:val="z-Char"/>
    <w:hidden/>
    <w:uiPriority w:val="99"/>
    <w:semiHidden/>
    <w:rsid w:val="0024766E"/>
    <w:pPr>
      <w:widowControl/>
      <w:pBdr>
        <w:bottom w:val="single" w:sz="6" w:space="1" w:color="auto"/>
      </w:pBdr>
      <w:jc w:val="center"/>
    </w:pPr>
    <w:rPr>
      <w:rFonts w:ascii="Arial" w:eastAsia="宋体" w:hAnsi="Arial"/>
      <w:vanish/>
      <w:kern w:val="0"/>
      <w:sz w:val="16"/>
      <w:szCs w:val="16"/>
    </w:rPr>
  </w:style>
  <w:style w:type="character" w:customStyle="1" w:styleId="z-Char">
    <w:name w:val="z-窗体顶端 Char"/>
    <w:link w:val="z-"/>
    <w:uiPriority w:val="99"/>
    <w:semiHidden/>
    <w:locked/>
    <w:rsid w:val="0024766E"/>
    <w:rPr>
      <w:rFonts w:ascii="Arial" w:hAnsi="Arial" w:cs="Arial"/>
      <w:vanish/>
      <w:sz w:val="16"/>
      <w:szCs w:val="16"/>
    </w:rPr>
  </w:style>
  <w:style w:type="paragraph" w:styleId="z-0">
    <w:name w:val="HTML Bottom of Form"/>
    <w:basedOn w:val="a"/>
    <w:next w:val="a"/>
    <w:link w:val="z-Char0"/>
    <w:hidden/>
    <w:uiPriority w:val="99"/>
    <w:semiHidden/>
    <w:rsid w:val="0024766E"/>
    <w:pPr>
      <w:widowControl/>
      <w:pBdr>
        <w:top w:val="single" w:sz="6" w:space="1" w:color="auto"/>
      </w:pBdr>
      <w:jc w:val="center"/>
    </w:pPr>
    <w:rPr>
      <w:rFonts w:ascii="Arial" w:eastAsia="宋体" w:hAnsi="Arial"/>
      <w:vanish/>
      <w:kern w:val="0"/>
      <w:sz w:val="16"/>
      <w:szCs w:val="16"/>
    </w:rPr>
  </w:style>
  <w:style w:type="character" w:customStyle="1" w:styleId="z-Char0">
    <w:name w:val="z-窗体底端 Char"/>
    <w:link w:val="z-0"/>
    <w:uiPriority w:val="99"/>
    <w:semiHidden/>
    <w:locked/>
    <w:rsid w:val="0024766E"/>
    <w:rPr>
      <w:rFonts w:ascii="Arial" w:hAnsi="Arial" w:cs="Arial"/>
      <w:vanish/>
      <w:sz w:val="16"/>
      <w:szCs w:val="16"/>
    </w:rPr>
  </w:style>
  <w:style w:type="character" w:customStyle="1" w:styleId="8Char0">
    <w:name w:val="8民生_表格表字 Char"/>
    <w:link w:val="81"/>
    <w:uiPriority w:val="99"/>
    <w:locked/>
    <w:rsid w:val="009A2913"/>
    <w:rPr>
      <w:rFonts w:eastAsia="楷体_GB2312"/>
      <w:kern w:val="2"/>
      <w:sz w:val="16"/>
    </w:rPr>
  </w:style>
  <w:style w:type="character" w:customStyle="1" w:styleId="lbldetailcontent">
    <w:name w:val="lbldetailcontent"/>
    <w:uiPriority w:val="99"/>
    <w:rsid w:val="007615F1"/>
    <w:rPr>
      <w:rFonts w:cs="Times New Roman"/>
    </w:rPr>
  </w:style>
  <w:style w:type="table" w:customStyle="1" w:styleId="-13">
    <w:name w:val="浅色底纹 - 强调文字颜色 13"/>
    <w:basedOn w:val="a1"/>
    <w:uiPriority w:val="60"/>
    <w:rsid w:val="0048586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浅色底纹 - 强调文字颜色 11"/>
    <w:basedOn w:val="a1"/>
    <w:uiPriority w:val="60"/>
    <w:rsid w:val="0016664D"/>
    <w:rPr>
      <w:rFonts w:asciiTheme="minorHAnsi" w:eastAsiaTheme="minorEastAsia" w:hAnsiTheme="minorHAnsi" w:cstheme="minorBidi"/>
      <w:color w:val="365F91" w:themeColor="accent1" w:themeShade="BF"/>
      <w:kern w:val="2"/>
      <w:sz w:val="21"/>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31">
    <w:name w:val="浅色底纹 - 强调文字颜色 131"/>
    <w:basedOn w:val="a1"/>
    <w:uiPriority w:val="60"/>
    <w:rsid w:val="0084212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
    <w:name w:val="浅色底纹 - 强调文字颜色 1111"/>
    <w:basedOn w:val="a1"/>
    <w:uiPriority w:val="60"/>
    <w:rsid w:val="007A583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浅色底纹 - 强调文字颜色 11111"/>
    <w:basedOn w:val="a1"/>
    <w:uiPriority w:val="60"/>
    <w:rsid w:val="00BF182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4">
    <w:name w:val="表格内容"/>
    <w:basedOn w:val="a"/>
    <w:link w:val="Chara"/>
    <w:qFormat/>
    <w:rsid w:val="005063E0"/>
    <w:pPr>
      <w:widowControl/>
      <w:jc w:val="left"/>
    </w:pPr>
    <w:rPr>
      <w:bCs/>
      <w:color w:val="1F497D" w:themeColor="text2"/>
      <w:sz w:val="18"/>
      <w:szCs w:val="21"/>
    </w:rPr>
  </w:style>
  <w:style w:type="character" w:customStyle="1" w:styleId="Chara">
    <w:name w:val="表格内容 Char"/>
    <w:basedOn w:val="a0"/>
    <w:link w:val="aff4"/>
    <w:rsid w:val="005063E0"/>
    <w:rPr>
      <w:rFonts w:eastAsia="楷体_GB2312"/>
      <w:bCs/>
      <w:color w:val="1F497D" w:themeColor="text2"/>
      <w:kern w:val="2"/>
      <w:sz w:val="18"/>
      <w:szCs w:val="21"/>
    </w:rPr>
  </w:style>
  <w:style w:type="table" w:customStyle="1" w:styleId="-14">
    <w:name w:val="浅色底纹 - 强调文字颜色 14"/>
    <w:basedOn w:val="a1"/>
    <w:next w:val="a1"/>
    <w:uiPriority w:val="60"/>
    <w:rsid w:val="009B601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2">
    <w:name w:val="浅色底纹 - 强调文字颜色 132"/>
    <w:basedOn w:val="a1"/>
    <w:uiPriority w:val="60"/>
    <w:rsid w:val="00307DD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27606316">
      <w:bodyDiv w:val="1"/>
      <w:marLeft w:val="0"/>
      <w:marRight w:val="0"/>
      <w:marTop w:val="0"/>
      <w:marBottom w:val="0"/>
      <w:divBdr>
        <w:top w:val="none" w:sz="0" w:space="0" w:color="auto"/>
        <w:left w:val="none" w:sz="0" w:space="0" w:color="auto"/>
        <w:bottom w:val="none" w:sz="0" w:space="0" w:color="auto"/>
        <w:right w:val="none" w:sz="0" w:space="0" w:color="auto"/>
      </w:divBdr>
      <w:divsChild>
        <w:div w:id="454178289">
          <w:marLeft w:val="0"/>
          <w:marRight w:val="0"/>
          <w:marTop w:val="0"/>
          <w:marBottom w:val="0"/>
          <w:divBdr>
            <w:top w:val="none" w:sz="0" w:space="0" w:color="auto"/>
            <w:left w:val="none" w:sz="0" w:space="0" w:color="auto"/>
            <w:bottom w:val="none" w:sz="0" w:space="0" w:color="auto"/>
            <w:right w:val="none" w:sz="0" w:space="0" w:color="auto"/>
          </w:divBdr>
          <w:divsChild>
            <w:div w:id="1354838150">
              <w:marLeft w:val="0"/>
              <w:marRight w:val="0"/>
              <w:marTop w:val="0"/>
              <w:marBottom w:val="0"/>
              <w:divBdr>
                <w:top w:val="none" w:sz="0" w:space="0" w:color="auto"/>
                <w:left w:val="none" w:sz="0" w:space="0" w:color="auto"/>
                <w:bottom w:val="none" w:sz="0" w:space="0" w:color="auto"/>
                <w:right w:val="none" w:sz="0" w:space="0" w:color="auto"/>
              </w:divBdr>
              <w:divsChild>
                <w:div w:id="1037655085">
                  <w:marLeft w:val="0"/>
                  <w:marRight w:val="0"/>
                  <w:marTop w:val="0"/>
                  <w:marBottom w:val="0"/>
                  <w:divBdr>
                    <w:top w:val="none" w:sz="0" w:space="0" w:color="auto"/>
                    <w:left w:val="none" w:sz="0" w:space="0" w:color="auto"/>
                    <w:bottom w:val="none" w:sz="0" w:space="0" w:color="auto"/>
                    <w:right w:val="none" w:sz="0" w:space="0" w:color="auto"/>
                  </w:divBdr>
                  <w:divsChild>
                    <w:div w:id="429931329">
                      <w:marLeft w:val="0"/>
                      <w:marRight w:val="0"/>
                      <w:marTop w:val="0"/>
                      <w:marBottom w:val="0"/>
                      <w:divBdr>
                        <w:top w:val="none" w:sz="0" w:space="0" w:color="auto"/>
                        <w:left w:val="none" w:sz="0" w:space="0" w:color="auto"/>
                        <w:bottom w:val="none" w:sz="0" w:space="0" w:color="auto"/>
                        <w:right w:val="none" w:sz="0" w:space="0" w:color="auto"/>
                      </w:divBdr>
                      <w:divsChild>
                        <w:div w:id="1736660538">
                          <w:marLeft w:val="0"/>
                          <w:marRight w:val="0"/>
                          <w:marTop w:val="0"/>
                          <w:marBottom w:val="0"/>
                          <w:divBdr>
                            <w:top w:val="none" w:sz="0" w:space="0" w:color="auto"/>
                            <w:left w:val="none" w:sz="0" w:space="0" w:color="auto"/>
                            <w:bottom w:val="none" w:sz="0" w:space="0" w:color="auto"/>
                            <w:right w:val="none" w:sz="0" w:space="0" w:color="auto"/>
                          </w:divBdr>
                          <w:divsChild>
                            <w:div w:id="775564907">
                              <w:marLeft w:val="0"/>
                              <w:marRight w:val="0"/>
                              <w:marTop w:val="0"/>
                              <w:marBottom w:val="0"/>
                              <w:divBdr>
                                <w:top w:val="none" w:sz="0" w:space="0" w:color="auto"/>
                                <w:left w:val="none" w:sz="0" w:space="0" w:color="auto"/>
                                <w:bottom w:val="none" w:sz="0" w:space="0" w:color="auto"/>
                                <w:right w:val="none" w:sz="0" w:space="0" w:color="auto"/>
                              </w:divBdr>
                              <w:divsChild>
                                <w:div w:id="364673160">
                                  <w:marLeft w:val="0"/>
                                  <w:marRight w:val="0"/>
                                  <w:marTop w:val="0"/>
                                  <w:marBottom w:val="0"/>
                                  <w:divBdr>
                                    <w:top w:val="none" w:sz="0" w:space="0" w:color="auto"/>
                                    <w:left w:val="none" w:sz="0" w:space="0" w:color="auto"/>
                                    <w:bottom w:val="none" w:sz="0" w:space="0" w:color="auto"/>
                                    <w:right w:val="none" w:sz="0" w:space="0" w:color="auto"/>
                                  </w:divBdr>
                                  <w:divsChild>
                                    <w:div w:id="790591850">
                                      <w:marLeft w:val="0"/>
                                      <w:marRight w:val="0"/>
                                      <w:marTop w:val="0"/>
                                      <w:marBottom w:val="0"/>
                                      <w:divBdr>
                                        <w:top w:val="none" w:sz="0" w:space="0" w:color="auto"/>
                                        <w:left w:val="none" w:sz="0" w:space="0" w:color="auto"/>
                                        <w:bottom w:val="none" w:sz="0" w:space="0" w:color="auto"/>
                                        <w:right w:val="none" w:sz="0" w:space="0" w:color="auto"/>
                                      </w:divBdr>
                                      <w:divsChild>
                                        <w:div w:id="1441611671">
                                          <w:marLeft w:val="0"/>
                                          <w:marRight w:val="0"/>
                                          <w:marTop w:val="0"/>
                                          <w:marBottom w:val="0"/>
                                          <w:divBdr>
                                            <w:top w:val="none" w:sz="0" w:space="0" w:color="auto"/>
                                            <w:left w:val="none" w:sz="0" w:space="0" w:color="auto"/>
                                            <w:bottom w:val="none" w:sz="0" w:space="0" w:color="auto"/>
                                            <w:right w:val="none" w:sz="0" w:space="0" w:color="auto"/>
                                          </w:divBdr>
                                          <w:divsChild>
                                            <w:div w:id="288125902">
                                              <w:marLeft w:val="0"/>
                                              <w:marRight w:val="0"/>
                                              <w:marTop w:val="0"/>
                                              <w:marBottom w:val="0"/>
                                              <w:divBdr>
                                                <w:top w:val="none" w:sz="0" w:space="0" w:color="auto"/>
                                                <w:left w:val="none" w:sz="0" w:space="0" w:color="auto"/>
                                                <w:bottom w:val="none" w:sz="0" w:space="0" w:color="auto"/>
                                                <w:right w:val="none" w:sz="0" w:space="0" w:color="auto"/>
                                              </w:divBdr>
                                              <w:divsChild>
                                                <w:div w:id="1027291033">
                                                  <w:marLeft w:val="0"/>
                                                  <w:marRight w:val="0"/>
                                                  <w:marTop w:val="0"/>
                                                  <w:marBottom w:val="0"/>
                                                  <w:divBdr>
                                                    <w:top w:val="none" w:sz="0" w:space="0" w:color="auto"/>
                                                    <w:left w:val="none" w:sz="0" w:space="0" w:color="auto"/>
                                                    <w:bottom w:val="none" w:sz="0" w:space="0" w:color="auto"/>
                                                    <w:right w:val="none" w:sz="0" w:space="0" w:color="auto"/>
                                                  </w:divBdr>
                                                  <w:divsChild>
                                                    <w:div w:id="1136919704">
                                                      <w:marLeft w:val="0"/>
                                                      <w:marRight w:val="0"/>
                                                      <w:marTop w:val="0"/>
                                                      <w:marBottom w:val="0"/>
                                                      <w:divBdr>
                                                        <w:top w:val="none" w:sz="0" w:space="0" w:color="auto"/>
                                                        <w:left w:val="none" w:sz="0" w:space="0" w:color="auto"/>
                                                        <w:bottom w:val="none" w:sz="0" w:space="0" w:color="auto"/>
                                                        <w:right w:val="none" w:sz="0" w:space="0" w:color="auto"/>
                                                      </w:divBdr>
                                                      <w:divsChild>
                                                        <w:div w:id="832835196">
                                                          <w:marLeft w:val="0"/>
                                                          <w:marRight w:val="0"/>
                                                          <w:marTop w:val="0"/>
                                                          <w:marBottom w:val="0"/>
                                                          <w:divBdr>
                                                            <w:top w:val="none" w:sz="0" w:space="0" w:color="auto"/>
                                                            <w:left w:val="none" w:sz="0" w:space="0" w:color="auto"/>
                                                            <w:bottom w:val="none" w:sz="0" w:space="0" w:color="auto"/>
                                                            <w:right w:val="none" w:sz="0" w:space="0" w:color="auto"/>
                                                          </w:divBdr>
                                                          <w:divsChild>
                                                            <w:div w:id="11934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760948">
      <w:bodyDiv w:val="1"/>
      <w:marLeft w:val="0"/>
      <w:marRight w:val="0"/>
      <w:marTop w:val="0"/>
      <w:marBottom w:val="0"/>
      <w:divBdr>
        <w:top w:val="none" w:sz="0" w:space="0" w:color="auto"/>
        <w:left w:val="none" w:sz="0" w:space="0" w:color="auto"/>
        <w:bottom w:val="none" w:sz="0" w:space="0" w:color="auto"/>
        <w:right w:val="none" w:sz="0" w:space="0" w:color="auto"/>
      </w:divBdr>
    </w:div>
    <w:div w:id="141578132">
      <w:bodyDiv w:val="1"/>
      <w:marLeft w:val="0"/>
      <w:marRight w:val="0"/>
      <w:marTop w:val="0"/>
      <w:marBottom w:val="0"/>
      <w:divBdr>
        <w:top w:val="none" w:sz="0" w:space="0" w:color="auto"/>
        <w:left w:val="none" w:sz="0" w:space="0" w:color="auto"/>
        <w:bottom w:val="none" w:sz="0" w:space="0" w:color="auto"/>
        <w:right w:val="none" w:sz="0" w:space="0" w:color="auto"/>
      </w:divBdr>
      <w:divsChild>
        <w:div w:id="1282999109">
          <w:marLeft w:val="0"/>
          <w:marRight w:val="0"/>
          <w:marTop w:val="0"/>
          <w:marBottom w:val="0"/>
          <w:divBdr>
            <w:top w:val="none" w:sz="0" w:space="0" w:color="auto"/>
            <w:left w:val="none" w:sz="0" w:space="0" w:color="auto"/>
            <w:bottom w:val="none" w:sz="0" w:space="0" w:color="auto"/>
            <w:right w:val="none" w:sz="0" w:space="0" w:color="auto"/>
          </w:divBdr>
          <w:divsChild>
            <w:div w:id="1251964808">
              <w:marLeft w:val="0"/>
              <w:marRight w:val="0"/>
              <w:marTop w:val="0"/>
              <w:marBottom w:val="0"/>
              <w:divBdr>
                <w:top w:val="none" w:sz="0" w:space="0" w:color="auto"/>
                <w:left w:val="none" w:sz="0" w:space="0" w:color="auto"/>
                <w:bottom w:val="none" w:sz="0" w:space="0" w:color="auto"/>
                <w:right w:val="none" w:sz="0" w:space="0" w:color="auto"/>
              </w:divBdr>
              <w:divsChild>
                <w:div w:id="536166683">
                  <w:marLeft w:val="0"/>
                  <w:marRight w:val="0"/>
                  <w:marTop w:val="0"/>
                  <w:marBottom w:val="0"/>
                  <w:divBdr>
                    <w:top w:val="none" w:sz="0" w:space="0" w:color="auto"/>
                    <w:left w:val="none" w:sz="0" w:space="0" w:color="auto"/>
                    <w:bottom w:val="none" w:sz="0" w:space="0" w:color="auto"/>
                    <w:right w:val="none" w:sz="0" w:space="0" w:color="auto"/>
                  </w:divBdr>
                  <w:divsChild>
                    <w:div w:id="2074113213">
                      <w:marLeft w:val="0"/>
                      <w:marRight w:val="0"/>
                      <w:marTop w:val="0"/>
                      <w:marBottom w:val="0"/>
                      <w:divBdr>
                        <w:top w:val="none" w:sz="0" w:space="0" w:color="auto"/>
                        <w:left w:val="none" w:sz="0" w:space="0" w:color="auto"/>
                        <w:bottom w:val="none" w:sz="0" w:space="0" w:color="auto"/>
                        <w:right w:val="none" w:sz="0" w:space="0" w:color="auto"/>
                      </w:divBdr>
                      <w:divsChild>
                        <w:div w:id="1668241057">
                          <w:marLeft w:val="0"/>
                          <w:marRight w:val="0"/>
                          <w:marTop w:val="0"/>
                          <w:marBottom w:val="0"/>
                          <w:divBdr>
                            <w:top w:val="none" w:sz="0" w:space="0" w:color="auto"/>
                            <w:left w:val="none" w:sz="0" w:space="0" w:color="auto"/>
                            <w:bottom w:val="none" w:sz="0" w:space="0" w:color="auto"/>
                            <w:right w:val="none" w:sz="0" w:space="0" w:color="auto"/>
                          </w:divBdr>
                          <w:divsChild>
                            <w:div w:id="274824907">
                              <w:marLeft w:val="0"/>
                              <w:marRight w:val="0"/>
                              <w:marTop w:val="0"/>
                              <w:marBottom w:val="0"/>
                              <w:divBdr>
                                <w:top w:val="none" w:sz="0" w:space="0" w:color="auto"/>
                                <w:left w:val="none" w:sz="0" w:space="0" w:color="auto"/>
                                <w:bottom w:val="none" w:sz="0" w:space="0" w:color="auto"/>
                                <w:right w:val="none" w:sz="0" w:space="0" w:color="auto"/>
                              </w:divBdr>
                              <w:divsChild>
                                <w:div w:id="377976661">
                                  <w:marLeft w:val="0"/>
                                  <w:marRight w:val="0"/>
                                  <w:marTop w:val="0"/>
                                  <w:marBottom w:val="0"/>
                                  <w:divBdr>
                                    <w:top w:val="none" w:sz="0" w:space="0" w:color="auto"/>
                                    <w:left w:val="none" w:sz="0" w:space="0" w:color="auto"/>
                                    <w:bottom w:val="none" w:sz="0" w:space="0" w:color="auto"/>
                                    <w:right w:val="none" w:sz="0" w:space="0" w:color="auto"/>
                                  </w:divBdr>
                                  <w:divsChild>
                                    <w:div w:id="933244548">
                                      <w:marLeft w:val="0"/>
                                      <w:marRight w:val="0"/>
                                      <w:marTop w:val="0"/>
                                      <w:marBottom w:val="0"/>
                                      <w:divBdr>
                                        <w:top w:val="none" w:sz="0" w:space="0" w:color="auto"/>
                                        <w:left w:val="none" w:sz="0" w:space="0" w:color="auto"/>
                                        <w:bottom w:val="none" w:sz="0" w:space="0" w:color="auto"/>
                                        <w:right w:val="none" w:sz="0" w:space="0" w:color="auto"/>
                                      </w:divBdr>
                                      <w:divsChild>
                                        <w:div w:id="984898661">
                                          <w:marLeft w:val="0"/>
                                          <w:marRight w:val="0"/>
                                          <w:marTop w:val="0"/>
                                          <w:marBottom w:val="0"/>
                                          <w:divBdr>
                                            <w:top w:val="none" w:sz="0" w:space="0" w:color="auto"/>
                                            <w:left w:val="none" w:sz="0" w:space="0" w:color="auto"/>
                                            <w:bottom w:val="none" w:sz="0" w:space="0" w:color="auto"/>
                                            <w:right w:val="none" w:sz="0" w:space="0" w:color="auto"/>
                                          </w:divBdr>
                                          <w:divsChild>
                                            <w:div w:id="1746030382">
                                              <w:marLeft w:val="0"/>
                                              <w:marRight w:val="0"/>
                                              <w:marTop w:val="0"/>
                                              <w:marBottom w:val="0"/>
                                              <w:divBdr>
                                                <w:top w:val="none" w:sz="0" w:space="0" w:color="auto"/>
                                                <w:left w:val="none" w:sz="0" w:space="0" w:color="auto"/>
                                                <w:bottom w:val="none" w:sz="0" w:space="0" w:color="auto"/>
                                                <w:right w:val="none" w:sz="0" w:space="0" w:color="auto"/>
                                              </w:divBdr>
                                              <w:divsChild>
                                                <w:div w:id="638346043">
                                                  <w:marLeft w:val="0"/>
                                                  <w:marRight w:val="0"/>
                                                  <w:marTop w:val="0"/>
                                                  <w:marBottom w:val="0"/>
                                                  <w:divBdr>
                                                    <w:top w:val="none" w:sz="0" w:space="0" w:color="auto"/>
                                                    <w:left w:val="none" w:sz="0" w:space="0" w:color="auto"/>
                                                    <w:bottom w:val="none" w:sz="0" w:space="0" w:color="auto"/>
                                                    <w:right w:val="none" w:sz="0" w:space="0" w:color="auto"/>
                                                  </w:divBdr>
                                                  <w:divsChild>
                                                    <w:div w:id="45642584">
                                                      <w:marLeft w:val="0"/>
                                                      <w:marRight w:val="0"/>
                                                      <w:marTop w:val="0"/>
                                                      <w:marBottom w:val="0"/>
                                                      <w:divBdr>
                                                        <w:top w:val="none" w:sz="0" w:space="0" w:color="auto"/>
                                                        <w:left w:val="none" w:sz="0" w:space="0" w:color="auto"/>
                                                        <w:bottom w:val="none" w:sz="0" w:space="0" w:color="auto"/>
                                                        <w:right w:val="none" w:sz="0" w:space="0" w:color="auto"/>
                                                      </w:divBdr>
                                                      <w:divsChild>
                                                        <w:div w:id="1304963115">
                                                          <w:marLeft w:val="0"/>
                                                          <w:marRight w:val="0"/>
                                                          <w:marTop w:val="0"/>
                                                          <w:marBottom w:val="0"/>
                                                          <w:divBdr>
                                                            <w:top w:val="none" w:sz="0" w:space="0" w:color="auto"/>
                                                            <w:left w:val="none" w:sz="0" w:space="0" w:color="auto"/>
                                                            <w:bottom w:val="none" w:sz="0" w:space="0" w:color="auto"/>
                                                            <w:right w:val="none" w:sz="0" w:space="0" w:color="auto"/>
                                                          </w:divBdr>
                                                          <w:divsChild>
                                                            <w:div w:id="20991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47016">
      <w:bodyDiv w:val="1"/>
      <w:marLeft w:val="0"/>
      <w:marRight w:val="0"/>
      <w:marTop w:val="0"/>
      <w:marBottom w:val="0"/>
      <w:divBdr>
        <w:top w:val="none" w:sz="0" w:space="0" w:color="auto"/>
        <w:left w:val="none" w:sz="0" w:space="0" w:color="auto"/>
        <w:bottom w:val="none" w:sz="0" w:space="0" w:color="auto"/>
        <w:right w:val="none" w:sz="0" w:space="0" w:color="auto"/>
      </w:divBdr>
      <w:divsChild>
        <w:div w:id="807548034">
          <w:marLeft w:val="0"/>
          <w:marRight w:val="0"/>
          <w:marTop w:val="0"/>
          <w:marBottom w:val="0"/>
          <w:divBdr>
            <w:top w:val="none" w:sz="0" w:space="0" w:color="auto"/>
            <w:left w:val="none" w:sz="0" w:space="0" w:color="auto"/>
            <w:bottom w:val="none" w:sz="0" w:space="0" w:color="auto"/>
            <w:right w:val="none" w:sz="0" w:space="0" w:color="auto"/>
          </w:divBdr>
          <w:divsChild>
            <w:div w:id="1659772768">
              <w:marLeft w:val="0"/>
              <w:marRight w:val="0"/>
              <w:marTop w:val="0"/>
              <w:marBottom w:val="0"/>
              <w:divBdr>
                <w:top w:val="none" w:sz="0" w:space="0" w:color="auto"/>
                <w:left w:val="none" w:sz="0" w:space="0" w:color="auto"/>
                <w:bottom w:val="none" w:sz="0" w:space="0" w:color="auto"/>
                <w:right w:val="none" w:sz="0" w:space="0" w:color="auto"/>
              </w:divBdr>
              <w:divsChild>
                <w:div w:id="676812078">
                  <w:marLeft w:val="0"/>
                  <w:marRight w:val="0"/>
                  <w:marTop w:val="0"/>
                  <w:marBottom w:val="0"/>
                  <w:divBdr>
                    <w:top w:val="none" w:sz="0" w:space="0" w:color="auto"/>
                    <w:left w:val="none" w:sz="0" w:space="0" w:color="auto"/>
                    <w:bottom w:val="none" w:sz="0" w:space="0" w:color="auto"/>
                    <w:right w:val="none" w:sz="0" w:space="0" w:color="auto"/>
                  </w:divBdr>
                  <w:divsChild>
                    <w:div w:id="1847675129">
                      <w:marLeft w:val="0"/>
                      <w:marRight w:val="0"/>
                      <w:marTop w:val="0"/>
                      <w:marBottom w:val="0"/>
                      <w:divBdr>
                        <w:top w:val="none" w:sz="0" w:space="0" w:color="auto"/>
                        <w:left w:val="none" w:sz="0" w:space="0" w:color="auto"/>
                        <w:bottom w:val="none" w:sz="0" w:space="0" w:color="auto"/>
                        <w:right w:val="none" w:sz="0" w:space="0" w:color="auto"/>
                      </w:divBdr>
                      <w:divsChild>
                        <w:div w:id="185344648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10529">
      <w:bodyDiv w:val="1"/>
      <w:marLeft w:val="0"/>
      <w:marRight w:val="0"/>
      <w:marTop w:val="0"/>
      <w:marBottom w:val="0"/>
      <w:divBdr>
        <w:top w:val="none" w:sz="0" w:space="0" w:color="auto"/>
        <w:left w:val="none" w:sz="0" w:space="0" w:color="auto"/>
        <w:bottom w:val="none" w:sz="0" w:space="0" w:color="auto"/>
        <w:right w:val="none" w:sz="0" w:space="0" w:color="auto"/>
      </w:divBdr>
      <w:divsChild>
        <w:div w:id="685837230">
          <w:marLeft w:val="0"/>
          <w:marRight w:val="0"/>
          <w:marTop w:val="0"/>
          <w:marBottom w:val="0"/>
          <w:divBdr>
            <w:top w:val="none" w:sz="0" w:space="0" w:color="auto"/>
            <w:left w:val="none" w:sz="0" w:space="0" w:color="auto"/>
            <w:bottom w:val="none" w:sz="0" w:space="0" w:color="auto"/>
            <w:right w:val="none" w:sz="0" w:space="0" w:color="auto"/>
          </w:divBdr>
          <w:divsChild>
            <w:div w:id="957759036">
              <w:marLeft w:val="0"/>
              <w:marRight w:val="0"/>
              <w:marTop w:val="0"/>
              <w:marBottom w:val="0"/>
              <w:divBdr>
                <w:top w:val="none" w:sz="0" w:space="0" w:color="auto"/>
                <w:left w:val="none" w:sz="0" w:space="0" w:color="auto"/>
                <w:bottom w:val="none" w:sz="0" w:space="0" w:color="auto"/>
                <w:right w:val="none" w:sz="0" w:space="0" w:color="auto"/>
              </w:divBdr>
              <w:divsChild>
                <w:div w:id="705449694">
                  <w:marLeft w:val="0"/>
                  <w:marRight w:val="0"/>
                  <w:marTop w:val="0"/>
                  <w:marBottom w:val="0"/>
                  <w:divBdr>
                    <w:top w:val="none" w:sz="0" w:space="0" w:color="auto"/>
                    <w:left w:val="none" w:sz="0" w:space="0" w:color="auto"/>
                    <w:bottom w:val="none" w:sz="0" w:space="0" w:color="auto"/>
                    <w:right w:val="none" w:sz="0" w:space="0" w:color="auto"/>
                  </w:divBdr>
                  <w:divsChild>
                    <w:div w:id="1438525637">
                      <w:marLeft w:val="0"/>
                      <w:marRight w:val="0"/>
                      <w:marTop w:val="0"/>
                      <w:marBottom w:val="0"/>
                      <w:divBdr>
                        <w:top w:val="none" w:sz="0" w:space="0" w:color="auto"/>
                        <w:left w:val="none" w:sz="0" w:space="0" w:color="auto"/>
                        <w:bottom w:val="none" w:sz="0" w:space="0" w:color="auto"/>
                        <w:right w:val="none" w:sz="0" w:space="0" w:color="auto"/>
                      </w:divBdr>
                      <w:divsChild>
                        <w:div w:id="1738353729">
                          <w:marLeft w:val="0"/>
                          <w:marRight w:val="0"/>
                          <w:marTop w:val="0"/>
                          <w:marBottom w:val="0"/>
                          <w:divBdr>
                            <w:top w:val="none" w:sz="0" w:space="0" w:color="auto"/>
                            <w:left w:val="none" w:sz="0" w:space="0" w:color="auto"/>
                            <w:bottom w:val="none" w:sz="0" w:space="0" w:color="auto"/>
                            <w:right w:val="none" w:sz="0" w:space="0" w:color="auto"/>
                          </w:divBdr>
                          <w:divsChild>
                            <w:div w:id="130368903">
                              <w:marLeft w:val="0"/>
                              <w:marRight w:val="0"/>
                              <w:marTop w:val="0"/>
                              <w:marBottom w:val="0"/>
                              <w:divBdr>
                                <w:top w:val="none" w:sz="0" w:space="0" w:color="auto"/>
                                <w:left w:val="none" w:sz="0" w:space="0" w:color="auto"/>
                                <w:bottom w:val="none" w:sz="0" w:space="0" w:color="auto"/>
                                <w:right w:val="none" w:sz="0" w:space="0" w:color="auto"/>
                              </w:divBdr>
                              <w:divsChild>
                                <w:div w:id="1545870698">
                                  <w:marLeft w:val="0"/>
                                  <w:marRight w:val="0"/>
                                  <w:marTop w:val="0"/>
                                  <w:marBottom w:val="0"/>
                                  <w:divBdr>
                                    <w:top w:val="none" w:sz="0" w:space="0" w:color="auto"/>
                                    <w:left w:val="none" w:sz="0" w:space="0" w:color="auto"/>
                                    <w:bottom w:val="none" w:sz="0" w:space="0" w:color="auto"/>
                                    <w:right w:val="none" w:sz="0" w:space="0" w:color="auto"/>
                                  </w:divBdr>
                                  <w:divsChild>
                                    <w:div w:id="1684285078">
                                      <w:marLeft w:val="0"/>
                                      <w:marRight w:val="0"/>
                                      <w:marTop w:val="0"/>
                                      <w:marBottom w:val="0"/>
                                      <w:divBdr>
                                        <w:top w:val="none" w:sz="0" w:space="0" w:color="auto"/>
                                        <w:left w:val="none" w:sz="0" w:space="0" w:color="auto"/>
                                        <w:bottom w:val="none" w:sz="0" w:space="0" w:color="auto"/>
                                        <w:right w:val="none" w:sz="0" w:space="0" w:color="auto"/>
                                      </w:divBdr>
                                      <w:divsChild>
                                        <w:div w:id="759133024">
                                          <w:marLeft w:val="0"/>
                                          <w:marRight w:val="0"/>
                                          <w:marTop w:val="0"/>
                                          <w:marBottom w:val="0"/>
                                          <w:divBdr>
                                            <w:top w:val="none" w:sz="0" w:space="0" w:color="auto"/>
                                            <w:left w:val="none" w:sz="0" w:space="0" w:color="auto"/>
                                            <w:bottom w:val="none" w:sz="0" w:space="0" w:color="auto"/>
                                            <w:right w:val="none" w:sz="0" w:space="0" w:color="auto"/>
                                          </w:divBdr>
                                          <w:divsChild>
                                            <w:div w:id="1826437228">
                                              <w:marLeft w:val="0"/>
                                              <w:marRight w:val="0"/>
                                              <w:marTop w:val="0"/>
                                              <w:marBottom w:val="0"/>
                                              <w:divBdr>
                                                <w:top w:val="none" w:sz="0" w:space="0" w:color="auto"/>
                                                <w:left w:val="none" w:sz="0" w:space="0" w:color="auto"/>
                                                <w:bottom w:val="none" w:sz="0" w:space="0" w:color="auto"/>
                                                <w:right w:val="none" w:sz="0" w:space="0" w:color="auto"/>
                                              </w:divBdr>
                                              <w:divsChild>
                                                <w:div w:id="2108648161">
                                                  <w:marLeft w:val="0"/>
                                                  <w:marRight w:val="0"/>
                                                  <w:marTop w:val="0"/>
                                                  <w:marBottom w:val="0"/>
                                                  <w:divBdr>
                                                    <w:top w:val="none" w:sz="0" w:space="0" w:color="auto"/>
                                                    <w:left w:val="none" w:sz="0" w:space="0" w:color="auto"/>
                                                    <w:bottom w:val="none" w:sz="0" w:space="0" w:color="auto"/>
                                                    <w:right w:val="none" w:sz="0" w:space="0" w:color="auto"/>
                                                  </w:divBdr>
                                                  <w:divsChild>
                                                    <w:div w:id="353503673">
                                                      <w:marLeft w:val="0"/>
                                                      <w:marRight w:val="0"/>
                                                      <w:marTop w:val="0"/>
                                                      <w:marBottom w:val="0"/>
                                                      <w:divBdr>
                                                        <w:top w:val="none" w:sz="0" w:space="0" w:color="auto"/>
                                                        <w:left w:val="none" w:sz="0" w:space="0" w:color="auto"/>
                                                        <w:bottom w:val="none" w:sz="0" w:space="0" w:color="auto"/>
                                                        <w:right w:val="none" w:sz="0" w:space="0" w:color="auto"/>
                                                      </w:divBdr>
                                                      <w:divsChild>
                                                        <w:div w:id="476185377">
                                                          <w:marLeft w:val="0"/>
                                                          <w:marRight w:val="0"/>
                                                          <w:marTop w:val="0"/>
                                                          <w:marBottom w:val="0"/>
                                                          <w:divBdr>
                                                            <w:top w:val="none" w:sz="0" w:space="0" w:color="auto"/>
                                                            <w:left w:val="none" w:sz="0" w:space="0" w:color="auto"/>
                                                            <w:bottom w:val="none" w:sz="0" w:space="0" w:color="auto"/>
                                                            <w:right w:val="none" w:sz="0" w:space="0" w:color="auto"/>
                                                          </w:divBdr>
                                                          <w:divsChild>
                                                            <w:div w:id="9883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6782350">
      <w:bodyDiv w:val="1"/>
      <w:marLeft w:val="0"/>
      <w:marRight w:val="0"/>
      <w:marTop w:val="0"/>
      <w:marBottom w:val="0"/>
      <w:divBdr>
        <w:top w:val="none" w:sz="0" w:space="0" w:color="auto"/>
        <w:left w:val="none" w:sz="0" w:space="0" w:color="auto"/>
        <w:bottom w:val="none" w:sz="0" w:space="0" w:color="auto"/>
        <w:right w:val="none" w:sz="0" w:space="0" w:color="auto"/>
      </w:divBdr>
    </w:div>
    <w:div w:id="517738213">
      <w:bodyDiv w:val="1"/>
      <w:marLeft w:val="109"/>
      <w:marRight w:val="109"/>
      <w:marTop w:val="109"/>
      <w:marBottom w:val="109"/>
      <w:divBdr>
        <w:top w:val="none" w:sz="0" w:space="0" w:color="auto"/>
        <w:left w:val="none" w:sz="0" w:space="0" w:color="auto"/>
        <w:bottom w:val="none" w:sz="0" w:space="0" w:color="auto"/>
        <w:right w:val="none" w:sz="0" w:space="0" w:color="auto"/>
      </w:divBdr>
    </w:div>
    <w:div w:id="532235504">
      <w:marLeft w:val="0"/>
      <w:marRight w:val="0"/>
      <w:marTop w:val="0"/>
      <w:marBottom w:val="0"/>
      <w:divBdr>
        <w:top w:val="none" w:sz="0" w:space="0" w:color="auto"/>
        <w:left w:val="none" w:sz="0" w:space="0" w:color="auto"/>
        <w:bottom w:val="none" w:sz="0" w:space="0" w:color="auto"/>
        <w:right w:val="none" w:sz="0" w:space="0" w:color="auto"/>
      </w:divBdr>
    </w:div>
    <w:div w:id="532235507">
      <w:marLeft w:val="0"/>
      <w:marRight w:val="0"/>
      <w:marTop w:val="0"/>
      <w:marBottom w:val="0"/>
      <w:divBdr>
        <w:top w:val="none" w:sz="0" w:space="0" w:color="auto"/>
        <w:left w:val="none" w:sz="0" w:space="0" w:color="auto"/>
        <w:bottom w:val="none" w:sz="0" w:space="0" w:color="auto"/>
        <w:right w:val="none" w:sz="0" w:space="0" w:color="auto"/>
      </w:divBdr>
    </w:div>
    <w:div w:id="532235511">
      <w:marLeft w:val="0"/>
      <w:marRight w:val="0"/>
      <w:marTop w:val="0"/>
      <w:marBottom w:val="0"/>
      <w:divBdr>
        <w:top w:val="none" w:sz="0" w:space="0" w:color="auto"/>
        <w:left w:val="none" w:sz="0" w:space="0" w:color="auto"/>
        <w:bottom w:val="none" w:sz="0" w:space="0" w:color="auto"/>
        <w:right w:val="none" w:sz="0" w:space="0" w:color="auto"/>
      </w:divBdr>
      <w:divsChild>
        <w:div w:id="532235524">
          <w:marLeft w:val="0"/>
          <w:marRight w:val="0"/>
          <w:marTop w:val="0"/>
          <w:marBottom w:val="0"/>
          <w:divBdr>
            <w:top w:val="none" w:sz="0" w:space="0" w:color="auto"/>
            <w:left w:val="none" w:sz="0" w:space="0" w:color="auto"/>
            <w:bottom w:val="none" w:sz="0" w:space="0" w:color="auto"/>
            <w:right w:val="none" w:sz="0" w:space="0" w:color="auto"/>
          </w:divBdr>
        </w:div>
      </w:divsChild>
    </w:div>
    <w:div w:id="532235517">
      <w:marLeft w:val="0"/>
      <w:marRight w:val="0"/>
      <w:marTop w:val="0"/>
      <w:marBottom w:val="0"/>
      <w:divBdr>
        <w:top w:val="none" w:sz="0" w:space="0" w:color="auto"/>
        <w:left w:val="none" w:sz="0" w:space="0" w:color="auto"/>
        <w:bottom w:val="none" w:sz="0" w:space="0" w:color="auto"/>
        <w:right w:val="none" w:sz="0" w:space="0" w:color="auto"/>
      </w:divBdr>
      <w:divsChild>
        <w:div w:id="532235556">
          <w:marLeft w:val="0"/>
          <w:marRight w:val="0"/>
          <w:marTop w:val="13"/>
          <w:marBottom w:val="25"/>
          <w:divBdr>
            <w:top w:val="none" w:sz="0" w:space="0" w:color="auto"/>
            <w:left w:val="none" w:sz="0" w:space="0" w:color="auto"/>
            <w:bottom w:val="none" w:sz="0" w:space="0" w:color="auto"/>
            <w:right w:val="none" w:sz="0" w:space="0" w:color="auto"/>
          </w:divBdr>
          <w:divsChild>
            <w:div w:id="532235536">
              <w:marLeft w:val="0"/>
              <w:marRight w:val="0"/>
              <w:marTop w:val="0"/>
              <w:marBottom w:val="0"/>
              <w:divBdr>
                <w:top w:val="single" w:sz="4" w:space="0" w:color="DCDCDC"/>
                <w:left w:val="single" w:sz="4" w:space="0" w:color="DCDCDC"/>
                <w:bottom w:val="single" w:sz="4" w:space="0" w:color="DCDCDC"/>
                <w:right w:val="single" w:sz="4" w:space="0" w:color="DCDCDC"/>
              </w:divBdr>
              <w:divsChild>
                <w:div w:id="532235525">
                  <w:marLeft w:val="0"/>
                  <w:marRight w:val="0"/>
                  <w:marTop w:val="0"/>
                  <w:marBottom w:val="0"/>
                  <w:divBdr>
                    <w:top w:val="none" w:sz="0" w:space="0" w:color="auto"/>
                    <w:left w:val="none" w:sz="0" w:space="0" w:color="auto"/>
                    <w:bottom w:val="none" w:sz="0" w:space="0" w:color="auto"/>
                    <w:right w:val="none" w:sz="0" w:space="0" w:color="auto"/>
                  </w:divBdr>
                  <w:divsChild>
                    <w:div w:id="5322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235520">
      <w:marLeft w:val="0"/>
      <w:marRight w:val="0"/>
      <w:marTop w:val="0"/>
      <w:marBottom w:val="0"/>
      <w:divBdr>
        <w:top w:val="none" w:sz="0" w:space="0" w:color="auto"/>
        <w:left w:val="none" w:sz="0" w:space="0" w:color="auto"/>
        <w:bottom w:val="none" w:sz="0" w:space="0" w:color="auto"/>
        <w:right w:val="none" w:sz="0" w:space="0" w:color="auto"/>
      </w:divBdr>
      <w:divsChild>
        <w:div w:id="532235579">
          <w:marLeft w:val="0"/>
          <w:marRight w:val="0"/>
          <w:marTop w:val="0"/>
          <w:marBottom w:val="0"/>
          <w:divBdr>
            <w:top w:val="none" w:sz="0" w:space="0" w:color="auto"/>
            <w:left w:val="none" w:sz="0" w:space="0" w:color="auto"/>
            <w:bottom w:val="none" w:sz="0" w:space="0" w:color="auto"/>
            <w:right w:val="none" w:sz="0" w:space="0" w:color="auto"/>
          </w:divBdr>
        </w:div>
      </w:divsChild>
    </w:div>
    <w:div w:id="532235523">
      <w:marLeft w:val="0"/>
      <w:marRight w:val="0"/>
      <w:marTop w:val="0"/>
      <w:marBottom w:val="0"/>
      <w:divBdr>
        <w:top w:val="none" w:sz="0" w:space="0" w:color="auto"/>
        <w:left w:val="none" w:sz="0" w:space="0" w:color="auto"/>
        <w:bottom w:val="none" w:sz="0" w:space="0" w:color="auto"/>
        <w:right w:val="none" w:sz="0" w:space="0" w:color="auto"/>
      </w:divBdr>
      <w:divsChild>
        <w:div w:id="532235509">
          <w:marLeft w:val="0"/>
          <w:marRight w:val="0"/>
          <w:marTop w:val="0"/>
          <w:marBottom w:val="163"/>
          <w:divBdr>
            <w:top w:val="none" w:sz="0" w:space="0" w:color="auto"/>
            <w:left w:val="none" w:sz="0" w:space="0" w:color="auto"/>
            <w:bottom w:val="single" w:sz="4" w:space="0" w:color="AFC5DB"/>
            <w:right w:val="none" w:sz="0" w:space="0" w:color="auto"/>
          </w:divBdr>
          <w:divsChild>
            <w:div w:id="5322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5527">
      <w:marLeft w:val="0"/>
      <w:marRight w:val="0"/>
      <w:marTop w:val="0"/>
      <w:marBottom w:val="0"/>
      <w:divBdr>
        <w:top w:val="none" w:sz="0" w:space="0" w:color="auto"/>
        <w:left w:val="none" w:sz="0" w:space="0" w:color="auto"/>
        <w:bottom w:val="none" w:sz="0" w:space="0" w:color="auto"/>
        <w:right w:val="none" w:sz="0" w:space="0" w:color="auto"/>
      </w:divBdr>
    </w:div>
    <w:div w:id="532235534">
      <w:marLeft w:val="0"/>
      <w:marRight w:val="0"/>
      <w:marTop w:val="0"/>
      <w:marBottom w:val="0"/>
      <w:divBdr>
        <w:top w:val="none" w:sz="0" w:space="0" w:color="auto"/>
        <w:left w:val="none" w:sz="0" w:space="0" w:color="auto"/>
        <w:bottom w:val="none" w:sz="0" w:space="0" w:color="auto"/>
        <w:right w:val="none" w:sz="0" w:space="0" w:color="auto"/>
      </w:divBdr>
      <w:divsChild>
        <w:div w:id="532235535">
          <w:marLeft w:val="0"/>
          <w:marRight w:val="0"/>
          <w:marTop w:val="0"/>
          <w:marBottom w:val="0"/>
          <w:divBdr>
            <w:top w:val="none" w:sz="0" w:space="0" w:color="auto"/>
            <w:left w:val="none" w:sz="0" w:space="0" w:color="auto"/>
            <w:bottom w:val="none" w:sz="0" w:space="0" w:color="auto"/>
            <w:right w:val="none" w:sz="0" w:space="0" w:color="auto"/>
          </w:divBdr>
          <w:divsChild>
            <w:div w:id="532235514">
              <w:marLeft w:val="0"/>
              <w:marRight w:val="0"/>
              <w:marTop w:val="0"/>
              <w:marBottom w:val="0"/>
              <w:divBdr>
                <w:top w:val="single" w:sz="4" w:space="0" w:color="C8D8F2"/>
                <w:left w:val="none" w:sz="0" w:space="0" w:color="auto"/>
                <w:bottom w:val="none" w:sz="0" w:space="0" w:color="auto"/>
                <w:right w:val="none" w:sz="0" w:space="0" w:color="auto"/>
              </w:divBdr>
              <w:divsChild>
                <w:div w:id="532235565">
                  <w:marLeft w:val="0"/>
                  <w:marRight w:val="0"/>
                  <w:marTop w:val="0"/>
                  <w:marBottom w:val="0"/>
                  <w:divBdr>
                    <w:top w:val="none" w:sz="0" w:space="0" w:color="auto"/>
                    <w:left w:val="none" w:sz="0" w:space="0" w:color="auto"/>
                    <w:bottom w:val="none" w:sz="0" w:space="0" w:color="auto"/>
                    <w:right w:val="none" w:sz="0" w:space="0" w:color="auto"/>
                  </w:divBdr>
                  <w:divsChild>
                    <w:div w:id="532235549">
                      <w:marLeft w:val="0"/>
                      <w:marRight w:val="0"/>
                      <w:marTop w:val="0"/>
                      <w:marBottom w:val="0"/>
                      <w:divBdr>
                        <w:top w:val="none" w:sz="0" w:space="0" w:color="auto"/>
                        <w:left w:val="none" w:sz="0" w:space="0" w:color="auto"/>
                        <w:bottom w:val="none" w:sz="0" w:space="0" w:color="auto"/>
                        <w:right w:val="none" w:sz="0" w:space="0" w:color="auto"/>
                      </w:divBdr>
                      <w:divsChild>
                        <w:div w:id="532235564">
                          <w:marLeft w:val="0"/>
                          <w:marRight w:val="0"/>
                          <w:marTop w:val="0"/>
                          <w:marBottom w:val="0"/>
                          <w:divBdr>
                            <w:top w:val="none" w:sz="0" w:space="0" w:color="auto"/>
                            <w:left w:val="none" w:sz="0" w:space="0" w:color="auto"/>
                            <w:bottom w:val="none" w:sz="0" w:space="0" w:color="auto"/>
                            <w:right w:val="none" w:sz="0" w:space="0" w:color="auto"/>
                          </w:divBdr>
                          <w:divsChild>
                            <w:div w:id="532235528">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235542">
      <w:marLeft w:val="0"/>
      <w:marRight w:val="0"/>
      <w:marTop w:val="0"/>
      <w:marBottom w:val="0"/>
      <w:divBdr>
        <w:top w:val="none" w:sz="0" w:space="0" w:color="auto"/>
        <w:left w:val="none" w:sz="0" w:space="0" w:color="auto"/>
        <w:bottom w:val="none" w:sz="0" w:space="0" w:color="auto"/>
        <w:right w:val="none" w:sz="0" w:space="0" w:color="auto"/>
      </w:divBdr>
    </w:div>
    <w:div w:id="532235543">
      <w:marLeft w:val="0"/>
      <w:marRight w:val="0"/>
      <w:marTop w:val="0"/>
      <w:marBottom w:val="0"/>
      <w:divBdr>
        <w:top w:val="none" w:sz="0" w:space="0" w:color="auto"/>
        <w:left w:val="none" w:sz="0" w:space="0" w:color="auto"/>
        <w:bottom w:val="none" w:sz="0" w:space="0" w:color="auto"/>
        <w:right w:val="none" w:sz="0" w:space="0" w:color="auto"/>
      </w:divBdr>
    </w:div>
    <w:div w:id="532235545">
      <w:marLeft w:val="0"/>
      <w:marRight w:val="0"/>
      <w:marTop w:val="0"/>
      <w:marBottom w:val="0"/>
      <w:divBdr>
        <w:top w:val="none" w:sz="0" w:space="0" w:color="auto"/>
        <w:left w:val="none" w:sz="0" w:space="0" w:color="auto"/>
        <w:bottom w:val="none" w:sz="0" w:space="0" w:color="auto"/>
        <w:right w:val="none" w:sz="0" w:space="0" w:color="auto"/>
      </w:divBdr>
    </w:div>
    <w:div w:id="532235558">
      <w:marLeft w:val="0"/>
      <w:marRight w:val="0"/>
      <w:marTop w:val="0"/>
      <w:marBottom w:val="0"/>
      <w:divBdr>
        <w:top w:val="none" w:sz="0" w:space="0" w:color="auto"/>
        <w:left w:val="none" w:sz="0" w:space="0" w:color="auto"/>
        <w:bottom w:val="none" w:sz="0" w:space="0" w:color="auto"/>
        <w:right w:val="none" w:sz="0" w:space="0" w:color="auto"/>
      </w:divBdr>
      <w:divsChild>
        <w:div w:id="532235521">
          <w:marLeft w:val="0"/>
          <w:marRight w:val="0"/>
          <w:marTop w:val="0"/>
          <w:marBottom w:val="0"/>
          <w:divBdr>
            <w:top w:val="none" w:sz="0" w:space="0" w:color="auto"/>
            <w:left w:val="none" w:sz="0" w:space="0" w:color="auto"/>
            <w:bottom w:val="none" w:sz="0" w:space="0" w:color="auto"/>
            <w:right w:val="none" w:sz="0" w:space="0" w:color="auto"/>
          </w:divBdr>
          <w:divsChild>
            <w:div w:id="532235541">
              <w:marLeft w:val="0"/>
              <w:marRight w:val="0"/>
              <w:marTop w:val="0"/>
              <w:marBottom w:val="0"/>
              <w:divBdr>
                <w:top w:val="none" w:sz="0" w:space="0" w:color="auto"/>
                <w:left w:val="none" w:sz="0" w:space="0" w:color="auto"/>
                <w:bottom w:val="none" w:sz="0" w:space="0" w:color="auto"/>
                <w:right w:val="none" w:sz="0" w:space="0" w:color="auto"/>
              </w:divBdr>
              <w:divsChild>
                <w:div w:id="532235560">
                  <w:marLeft w:val="0"/>
                  <w:marRight w:val="0"/>
                  <w:marTop w:val="0"/>
                  <w:marBottom w:val="0"/>
                  <w:divBdr>
                    <w:top w:val="none" w:sz="0" w:space="0" w:color="auto"/>
                    <w:left w:val="none" w:sz="0" w:space="0" w:color="auto"/>
                    <w:bottom w:val="none" w:sz="0" w:space="0" w:color="auto"/>
                    <w:right w:val="none" w:sz="0" w:space="0" w:color="auto"/>
                  </w:divBdr>
                  <w:divsChild>
                    <w:div w:id="532235526">
                      <w:marLeft w:val="0"/>
                      <w:marRight w:val="0"/>
                      <w:marTop w:val="0"/>
                      <w:marBottom w:val="0"/>
                      <w:divBdr>
                        <w:top w:val="none" w:sz="0" w:space="0" w:color="auto"/>
                        <w:left w:val="none" w:sz="0" w:space="0" w:color="auto"/>
                        <w:bottom w:val="none" w:sz="0" w:space="0" w:color="auto"/>
                        <w:right w:val="none" w:sz="0" w:space="0" w:color="auto"/>
                      </w:divBdr>
                      <w:divsChild>
                        <w:div w:id="532235537">
                          <w:marLeft w:val="0"/>
                          <w:marRight w:val="0"/>
                          <w:marTop w:val="0"/>
                          <w:marBottom w:val="0"/>
                          <w:divBdr>
                            <w:top w:val="none" w:sz="0" w:space="0" w:color="auto"/>
                            <w:left w:val="none" w:sz="0" w:space="0" w:color="auto"/>
                            <w:bottom w:val="none" w:sz="0" w:space="0" w:color="auto"/>
                            <w:right w:val="none" w:sz="0" w:space="0" w:color="auto"/>
                          </w:divBdr>
                          <w:divsChild>
                            <w:div w:id="5322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235559">
      <w:marLeft w:val="0"/>
      <w:marRight w:val="0"/>
      <w:marTop w:val="0"/>
      <w:marBottom w:val="0"/>
      <w:divBdr>
        <w:top w:val="none" w:sz="0" w:space="0" w:color="auto"/>
        <w:left w:val="none" w:sz="0" w:space="0" w:color="auto"/>
        <w:bottom w:val="none" w:sz="0" w:space="0" w:color="auto"/>
        <w:right w:val="none" w:sz="0" w:space="0" w:color="auto"/>
      </w:divBdr>
      <w:divsChild>
        <w:div w:id="532235518">
          <w:marLeft w:val="0"/>
          <w:marRight w:val="0"/>
          <w:marTop w:val="0"/>
          <w:marBottom w:val="0"/>
          <w:divBdr>
            <w:top w:val="none" w:sz="0" w:space="0" w:color="auto"/>
            <w:left w:val="none" w:sz="0" w:space="0" w:color="auto"/>
            <w:bottom w:val="none" w:sz="0" w:space="0" w:color="auto"/>
            <w:right w:val="none" w:sz="0" w:space="0" w:color="auto"/>
          </w:divBdr>
        </w:div>
        <w:div w:id="532235532">
          <w:marLeft w:val="0"/>
          <w:marRight w:val="0"/>
          <w:marTop w:val="0"/>
          <w:marBottom w:val="0"/>
          <w:divBdr>
            <w:top w:val="none" w:sz="0" w:space="0" w:color="auto"/>
            <w:left w:val="none" w:sz="0" w:space="0" w:color="auto"/>
            <w:bottom w:val="none" w:sz="0" w:space="0" w:color="auto"/>
            <w:right w:val="none" w:sz="0" w:space="0" w:color="auto"/>
          </w:divBdr>
        </w:div>
        <w:div w:id="532235557">
          <w:marLeft w:val="0"/>
          <w:marRight w:val="0"/>
          <w:marTop w:val="0"/>
          <w:marBottom w:val="0"/>
          <w:divBdr>
            <w:top w:val="none" w:sz="0" w:space="0" w:color="auto"/>
            <w:left w:val="none" w:sz="0" w:space="0" w:color="auto"/>
            <w:bottom w:val="none" w:sz="0" w:space="0" w:color="auto"/>
            <w:right w:val="none" w:sz="0" w:space="0" w:color="auto"/>
          </w:divBdr>
          <w:divsChild>
            <w:div w:id="532235510">
              <w:marLeft w:val="0"/>
              <w:marRight w:val="0"/>
              <w:marTop w:val="0"/>
              <w:marBottom w:val="0"/>
              <w:divBdr>
                <w:top w:val="none" w:sz="0" w:space="0" w:color="auto"/>
                <w:left w:val="none" w:sz="0" w:space="0" w:color="auto"/>
                <w:bottom w:val="none" w:sz="0" w:space="0" w:color="auto"/>
                <w:right w:val="none" w:sz="0" w:space="0" w:color="auto"/>
              </w:divBdr>
            </w:div>
          </w:divsChild>
        </w:div>
        <w:div w:id="532235569">
          <w:marLeft w:val="0"/>
          <w:marRight w:val="0"/>
          <w:marTop w:val="0"/>
          <w:marBottom w:val="0"/>
          <w:divBdr>
            <w:top w:val="none" w:sz="0" w:space="0" w:color="auto"/>
            <w:left w:val="none" w:sz="0" w:space="0" w:color="auto"/>
            <w:bottom w:val="none" w:sz="0" w:space="0" w:color="auto"/>
            <w:right w:val="none" w:sz="0" w:space="0" w:color="auto"/>
          </w:divBdr>
          <w:divsChild>
            <w:div w:id="532235547">
              <w:marLeft w:val="0"/>
              <w:marRight w:val="0"/>
              <w:marTop w:val="0"/>
              <w:marBottom w:val="0"/>
              <w:divBdr>
                <w:top w:val="none" w:sz="0" w:space="0" w:color="auto"/>
                <w:left w:val="none" w:sz="0" w:space="0" w:color="auto"/>
                <w:bottom w:val="none" w:sz="0" w:space="0" w:color="auto"/>
                <w:right w:val="none" w:sz="0" w:space="0" w:color="auto"/>
              </w:divBdr>
              <w:divsChild>
                <w:div w:id="532235530">
                  <w:marLeft w:val="0"/>
                  <w:marRight w:val="0"/>
                  <w:marTop w:val="100"/>
                  <w:marBottom w:val="0"/>
                  <w:divBdr>
                    <w:top w:val="single" w:sz="4" w:space="0" w:color="FDB103"/>
                    <w:left w:val="single" w:sz="2" w:space="0" w:color="FDB103"/>
                    <w:bottom w:val="single" w:sz="4" w:space="0" w:color="FDB103"/>
                    <w:right w:val="single" w:sz="4" w:space="0" w:color="FDB103"/>
                  </w:divBdr>
                </w:div>
              </w:divsChild>
            </w:div>
            <w:div w:id="532235551">
              <w:marLeft w:val="0"/>
              <w:marRight w:val="0"/>
              <w:marTop w:val="0"/>
              <w:marBottom w:val="0"/>
              <w:divBdr>
                <w:top w:val="none" w:sz="0" w:space="0" w:color="auto"/>
                <w:left w:val="none" w:sz="0" w:space="0" w:color="auto"/>
                <w:bottom w:val="none" w:sz="0" w:space="0" w:color="auto"/>
                <w:right w:val="none" w:sz="0" w:space="0" w:color="auto"/>
              </w:divBdr>
              <w:divsChild>
                <w:div w:id="532235513">
                  <w:marLeft w:val="0"/>
                  <w:marRight w:val="0"/>
                  <w:marTop w:val="0"/>
                  <w:marBottom w:val="0"/>
                  <w:divBdr>
                    <w:top w:val="none" w:sz="0" w:space="0" w:color="auto"/>
                    <w:left w:val="none" w:sz="0" w:space="0" w:color="auto"/>
                    <w:bottom w:val="none" w:sz="0" w:space="0" w:color="auto"/>
                    <w:right w:val="none" w:sz="0" w:space="0" w:color="auto"/>
                  </w:divBdr>
                  <w:divsChild>
                    <w:div w:id="532235519">
                      <w:marLeft w:val="0"/>
                      <w:marRight w:val="0"/>
                      <w:marTop w:val="0"/>
                      <w:marBottom w:val="0"/>
                      <w:divBdr>
                        <w:top w:val="none" w:sz="0" w:space="0" w:color="auto"/>
                        <w:left w:val="none" w:sz="0" w:space="0" w:color="auto"/>
                        <w:bottom w:val="none" w:sz="0" w:space="0" w:color="auto"/>
                        <w:right w:val="none" w:sz="0" w:space="0" w:color="auto"/>
                      </w:divBdr>
                    </w:div>
                    <w:div w:id="532235531">
                      <w:marLeft w:val="0"/>
                      <w:marRight w:val="0"/>
                      <w:marTop w:val="0"/>
                      <w:marBottom w:val="0"/>
                      <w:divBdr>
                        <w:top w:val="none" w:sz="0" w:space="0" w:color="auto"/>
                        <w:left w:val="none" w:sz="0" w:space="0" w:color="auto"/>
                        <w:bottom w:val="none" w:sz="0" w:space="0" w:color="auto"/>
                        <w:right w:val="none" w:sz="0" w:space="0" w:color="auto"/>
                      </w:divBdr>
                    </w:div>
                  </w:divsChild>
                </w:div>
                <w:div w:id="532235554">
                  <w:marLeft w:val="0"/>
                  <w:marRight w:val="0"/>
                  <w:marTop w:val="0"/>
                  <w:marBottom w:val="0"/>
                  <w:divBdr>
                    <w:top w:val="none" w:sz="0" w:space="0" w:color="auto"/>
                    <w:left w:val="none" w:sz="0" w:space="0" w:color="auto"/>
                    <w:bottom w:val="none" w:sz="0" w:space="0" w:color="auto"/>
                    <w:right w:val="none" w:sz="0" w:space="0" w:color="auto"/>
                  </w:divBdr>
                </w:div>
              </w:divsChild>
            </w:div>
            <w:div w:id="532235553">
              <w:marLeft w:val="0"/>
              <w:marRight w:val="0"/>
              <w:marTop w:val="0"/>
              <w:marBottom w:val="0"/>
              <w:divBdr>
                <w:top w:val="none" w:sz="0" w:space="0" w:color="auto"/>
                <w:left w:val="none" w:sz="0" w:space="0" w:color="auto"/>
                <w:bottom w:val="none" w:sz="0" w:space="0" w:color="auto"/>
                <w:right w:val="none" w:sz="0" w:space="0" w:color="auto"/>
              </w:divBdr>
              <w:divsChild>
                <w:div w:id="532235567">
                  <w:marLeft w:val="0"/>
                  <w:marRight w:val="0"/>
                  <w:marTop w:val="0"/>
                  <w:marBottom w:val="0"/>
                  <w:divBdr>
                    <w:top w:val="none" w:sz="0" w:space="0" w:color="auto"/>
                    <w:left w:val="none" w:sz="0" w:space="0" w:color="auto"/>
                    <w:bottom w:val="none" w:sz="0" w:space="0" w:color="auto"/>
                    <w:right w:val="none" w:sz="0" w:space="0" w:color="auto"/>
                  </w:divBdr>
                  <w:divsChild>
                    <w:div w:id="532235512">
                      <w:marLeft w:val="0"/>
                      <w:marRight w:val="0"/>
                      <w:marTop w:val="0"/>
                      <w:marBottom w:val="0"/>
                      <w:divBdr>
                        <w:top w:val="none" w:sz="0" w:space="0" w:color="auto"/>
                        <w:left w:val="none" w:sz="0" w:space="0" w:color="auto"/>
                        <w:bottom w:val="none" w:sz="0" w:space="0" w:color="auto"/>
                        <w:right w:val="none" w:sz="0" w:space="0" w:color="auto"/>
                      </w:divBdr>
                      <w:divsChild>
                        <w:div w:id="532235503">
                          <w:marLeft w:val="0"/>
                          <w:marRight w:val="0"/>
                          <w:marTop w:val="0"/>
                          <w:marBottom w:val="0"/>
                          <w:divBdr>
                            <w:top w:val="none" w:sz="0" w:space="0" w:color="auto"/>
                            <w:left w:val="none" w:sz="0" w:space="0" w:color="auto"/>
                            <w:bottom w:val="none" w:sz="0" w:space="0" w:color="auto"/>
                            <w:right w:val="none" w:sz="0" w:space="0" w:color="auto"/>
                          </w:divBdr>
                        </w:div>
                        <w:div w:id="532235539">
                          <w:marLeft w:val="0"/>
                          <w:marRight w:val="0"/>
                          <w:marTop w:val="0"/>
                          <w:marBottom w:val="0"/>
                          <w:divBdr>
                            <w:top w:val="none" w:sz="0" w:space="0" w:color="auto"/>
                            <w:left w:val="none" w:sz="0" w:space="0" w:color="auto"/>
                            <w:bottom w:val="none" w:sz="0" w:space="0" w:color="auto"/>
                            <w:right w:val="none" w:sz="0" w:space="0" w:color="auto"/>
                          </w:divBdr>
                        </w:div>
                      </w:divsChild>
                    </w:div>
                    <w:div w:id="5322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235563">
      <w:marLeft w:val="0"/>
      <w:marRight w:val="0"/>
      <w:marTop w:val="0"/>
      <w:marBottom w:val="0"/>
      <w:divBdr>
        <w:top w:val="none" w:sz="0" w:space="0" w:color="auto"/>
        <w:left w:val="none" w:sz="0" w:space="0" w:color="auto"/>
        <w:bottom w:val="none" w:sz="0" w:space="0" w:color="auto"/>
        <w:right w:val="none" w:sz="0" w:space="0" w:color="auto"/>
      </w:divBdr>
    </w:div>
    <w:div w:id="532235566">
      <w:marLeft w:val="0"/>
      <w:marRight w:val="0"/>
      <w:marTop w:val="0"/>
      <w:marBottom w:val="0"/>
      <w:divBdr>
        <w:top w:val="none" w:sz="0" w:space="0" w:color="auto"/>
        <w:left w:val="none" w:sz="0" w:space="0" w:color="auto"/>
        <w:bottom w:val="none" w:sz="0" w:space="0" w:color="auto"/>
        <w:right w:val="none" w:sz="0" w:space="0" w:color="auto"/>
      </w:divBdr>
    </w:div>
    <w:div w:id="532235568">
      <w:marLeft w:val="0"/>
      <w:marRight w:val="0"/>
      <w:marTop w:val="0"/>
      <w:marBottom w:val="0"/>
      <w:divBdr>
        <w:top w:val="none" w:sz="0" w:space="0" w:color="auto"/>
        <w:left w:val="none" w:sz="0" w:space="0" w:color="auto"/>
        <w:bottom w:val="none" w:sz="0" w:space="0" w:color="auto"/>
        <w:right w:val="none" w:sz="0" w:space="0" w:color="auto"/>
      </w:divBdr>
      <w:divsChild>
        <w:div w:id="532235533">
          <w:marLeft w:val="0"/>
          <w:marRight w:val="0"/>
          <w:marTop w:val="0"/>
          <w:marBottom w:val="0"/>
          <w:divBdr>
            <w:top w:val="none" w:sz="0" w:space="0" w:color="auto"/>
            <w:left w:val="none" w:sz="0" w:space="0" w:color="auto"/>
            <w:bottom w:val="none" w:sz="0" w:space="0" w:color="auto"/>
            <w:right w:val="none" w:sz="0" w:space="0" w:color="auto"/>
          </w:divBdr>
          <w:divsChild>
            <w:div w:id="532235576">
              <w:marLeft w:val="0"/>
              <w:marRight w:val="0"/>
              <w:marTop w:val="0"/>
              <w:marBottom w:val="0"/>
              <w:divBdr>
                <w:top w:val="single" w:sz="6" w:space="0" w:color="C8D8F2"/>
                <w:left w:val="none" w:sz="0" w:space="0" w:color="auto"/>
                <w:bottom w:val="none" w:sz="0" w:space="0" w:color="auto"/>
                <w:right w:val="none" w:sz="0" w:space="0" w:color="auto"/>
              </w:divBdr>
              <w:divsChild>
                <w:div w:id="532235552">
                  <w:marLeft w:val="0"/>
                  <w:marRight w:val="0"/>
                  <w:marTop w:val="0"/>
                  <w:marBottom w:val="0"/>
                  <w:divBdr>
                    <w:top w:val="none" w:sz="0" w:space="0" w:color="auto"/>
                    <w:left w:val="none" w:sz="0" w:space="0" w:color="auto"/>
                    <w:bottom w:val="none" w:sz="0" w:space="0" w:color="auto"/>
                    <w:right w:val="none" w:sz="0" w:space="0" w:color="auto"/>
                  </w:divBdr>
                  <w:divsChild>
                    <w:div w:id="532235529">
                      <w:marLeft w:val="0"/>
                      <w:marRight w:val="0"/>
                      <w:marTop w:val="0"/>
                      <w:marBottom w:val="0"/>
                      <w:divBdr>
                        <w:top w:val="none" w:sz="0" w:space="0" w:color="auto"/>
                        <w:left w:val="none" w:sz="0" w:space="0" w:color="auto"/>
                        <w:bottom w:val="none" w:sz="0" w:space="0" w:color="auto"/>
                        <w:right w:val="none" w:sz="0" w:space="0" w:color="auto"/>
                      </w:divBdr>
                      <w:divsChild>
                        <w:div w:id="532235561">
                          <w:marLeft w:val="0"/>
                          <w:marRight w:val="0"/>
                          <w:marTop w:val="0"/>
                          <w:marBottom w:val="0"/>
                          <w:divBdr>
                            <w:top w:val="none" w:sz="0" w:space="0" w:color="auto"/>
                            <w:left w:val="none" w:sz="0" w:space="0" w:color="auto"/>
                            <w:bottom w:val="none" w:sz="0" w:space="0" w:color="auto"/>
                            <w:right w:val="none" w:sz="0" w:space="0" w:color="auto"/>
                          </w:divBdr>
                          <w:divsChild>
                            <w:div w:id="5322355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235570">
      <w:marLeft w:val="0"/>
      <w:marRight w:val="0"/>
      <w:marTop w:val="0"/>
      <w:marBottom w:val="0"/>
      <w:divBdr>
        <w:top w:val="none" w:sz="0" w:space="0" w:color="auto"/>
        <w:left w:val="none" w:sz="0" w:space="0" w:color="auto"/>
        <w:bottom w:val="none" w:sz="0" w:space="0" w:color="auto"/>
        <w:right w:val="none" w:sz="0" w:space="0" w:color="auto"/>
      </w:divBdr>
      <w:divsChild>
        <w:div w:id="532235548">
          <w:marLeft w:val="0"/>
          <w:marRight w:val="0"/>
          <w:marTop w:val="0"/>
          <w:marBottom w:val="0"/>
          <w:divBdr>
            <w:top w:val="none" w:sz="0" w:space="0" w:color="auto"/>
            <w:left w:val="none" w:sz="0" w:space="0" w:color="auto"/>
            <w:bottom w:val="none" w:sz="0" w:space="0" w:color="auto"/>
            <w:right w:val="none" w:sz="0" w:space="0" w:color="auto"/>
          </w:divBdr>
          <w:divsChild>
            <w:div w:id="532235555">
              <w:marLeft w:val="0"/>
              <w:marRight w:val="0"/>
              <w:marTop w:val="0"/>
              <w:marBottom w:val="0"/>
              <w:divBdr>
                <w:top w:val="none" w:sz="0" w:space="0" w:color="auto"/>
                <w:left w:val="none" w:sz="0" w:space="0" w:color="auto"/>
                <w:bottom w:val="none" w:sz="0" w:space="0" w:color="auto"/>
                <w:right w:val="none" w:sz="0" w:space="0" w:color="auto"/>
              </w:divBdr>
              <w:divsChild>
                <w:div w:id="532235505">
                  <w:marLeft w:val="0"/>
                  <w:marRight w:val="0"/>
                  <w:marTop w:val="0"/>
                  <w:marBottom w:val="0"/>
                  <w:divBdr>
                    <w:top w:val="none" w:sz="0" w:space="0" w:color="auto"/>
                    <w:left w:val="none" w:sz="0" w:space="0" w:color="auto"/>
                    <w:bottom w:val="none" w:sz="0" w:space="0" w:color="auto"/>
                    <w:right w:val="none" w:sz="0" w:space="0" w:color="auto"/>
                  </w:divBdr>
                  <w:divsChild>
                    <w:div w:id="532235573">
                      <w:marLeft w:val="0"/>
                      <w:marRight w:val="0"/>
                      <w:marTop w:val="0"/>
                      <w:marBottom w:val="0"/>
                      <w:divBdr>
                        <w:top w:val="none" w:sz="0" w:space="0" w:color="auto"/>
                        <w:left w:val="none" w:sz="0" w:space="0" w:color="auto"/>
                        <w:bottom w:val="none" w:sz="0" w:space="0" w:color="auto"/>
                        <w:right w:val="none" w:sz="0" w:space="0" w:color="auto"/>
                      </w:divBdr>
                      <w:divsChild>
                        <w:div w:id="532235544">
                          <w:marLeft w:val="0"/>
                          <w:marRight w:val="0"/>
                          <w:marTop w:val="0"/>
                          <w:marBottom w:val="0"/>
                          <w:divBdr>
                            <w:top w:val="none" w:sz="0" w:space="0" w:color="auto"/>
                            <w:left w:val="none" w:sz="0" w:space="0" w:color="auto"/>
                            <w:bottom w:val="none" w:sz="0" w:space="0" w:color="auto"/>
                            <w:right w:val="none" w:sz="0" w:space="0" w:color="auto"/>
                          </w:divBdr>
                          <w:divsChild>
                            <w:div w:id="532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235574">
      <w:marLeft w:val="0"/>
      <w:marRight w:val="0"/>
      <w:marTop w:val="0"/>
      <w:marBottom w:val="0"/>
      <w:divBdr>
        <w:top w:val="none" w:sz="0" w:space="0" w:color="auto"/>
        <w:left w:val="none" w:sz="0" w:space="0" w:color="auto"/>
        <w:bottom w:val="none" w:sz="0" w:space="0" w:color="auto"/>
        <w:right w:val="none" w:sz="0" w:space="0" w:color="auto"/>
      </w:divBdr>
      <w:divsChild>
        <w:div w:id="532235577">
          <w:marLeft w:val="0"/>
          <w:marRight w:val="0"/>
          <w:marTop w:val="0"/>
          <w:marBottom w:val="0"/>
          <w:divBdr>
            <w:top w:val="none" w:sz="0" w:space="0" w:color="auto"/>
            <w:left w:val="none" w:sz="0" w:space="0" w:color="auto"/>
            <w:bottom w:val="none" w:sz="0" w:space="0" w:color="auto"/>
            <w:right w:val="none" w:sz="0" w:space="0" w:color="auto"/>
          </w:divBdr>
          <w:divsChild>
            <w:div w:id="532235571">
              <w:marLeft w:val="0"/>
              <w:marRight w:val="0"/>
              <w:marTop w:val="0"/>
              <w:marBottom w:val="0"/>
              <w:divBdr>
                <w:top w:val="none" w:sz="0" w:space="0" w:color="auto"/>
                <w:left w:val="none" w:sz="0" w:space="0" w:color="auto"/>
                <w:bottom w:val="none" w:sz="0" w:space="0" w:color="auto"/>
                <w:right w:val="none" w:sz="0" w:space="0" w:color="auto"/>
              </w:divBdr>
              <w:divsChild>
                <w:div w:id="532235562">
                  <w:marLeft w:val="0"/>
                  <w:marRight w:val="0"/>
                  <w:marTop w:val="0"/>
                  <w:marBottom w:val="0"/>
                  <w:divBdr>
                    <w:top w:val="none" w:sz="0" w:space="0" w:color="auto"/>
                    <w:left w:val="none" w:sz="0" w:space="0" w:color="auto"/>
                    <w:bottom w:val="none" w:sz="0" w:space="0" w:color="auto"/>
                    <w:right w:val="none" w:sz="0" w:space="0" w:color="auto"/>
                  </w:divBdr>
                  <w:divsChild>
                    <w:div w:id="532235540">
                      <w:marLeft w:val="0"/>
                      <w:marRight w:val="0"/>
                      <w:marTop w:val="0"/>
                      <w:marBottom w:val="0"/>
                      <w:divBdr>
                        <w:top w:val="none" w:sz="0" w:space="0" w:color="auto"/>
                        <w:left w:val="none" w:sz="0" w:space="0" w:color="auto"/>
                        <w:bottom w:val="none" w:sz="0" w:space="0" w:color="auto"/>
                        <w:right w:val="none" w:sz="0" w:space="0" w:color="auto"/>
                      </w:divBdr>
                      <w:divsChild>
                        <w:div w:id="532235522">
                          <w:marLeft w:val="0"/>
                          <w:marRight w:val="0"/>
                          <w:marTop w:val="0"/>
                          <w:marBottom w:val="0"/>
                          <w:divBdr>
                            <w:top w:val="none" w:sz="0" w:space="0" w:color="auto"/>
                            <w:left w:val="none" w:sz="0" w:space="0" w:color="auto"/>
                            <w:bottom w:val="none" w:sz="0" w:space="0" w:color="auto"/>
                            <w:right w:val="none" w:sz="0" w:space="0" w:color="auto"/>
                          </w:divBdr>
                          <w:divsChild>
                            <w:div w:id="532235515">
                              <w:marLeft w:val="0"/>
                              <w:marRight w:val="0"/>
                              <w:marTop w:val="0"/>
                              <w:marBottom w:val="0"/>
                              <w:divBdr>
                                <w:top w:val="none" w:sz="0" w:space="0" w:color="auto"/>
                                <w:left w:val="none" w:sz="0" w:space="0" w:color="auto"/>
                                <w:bottom w:val="none" w:sz="0" w:space="0" w:color="auto"/>
                                <w:right w:val="none" w:sz="0" w:space="0" w:color="auto"/>
                              </w:divBdr>
                              <w:divsChild>
                                <w:div w:id="532235516">
                                  <w:marLeft w:val="0"/>
                                  <w:marRight w:val="0"/>
                                  <w:marTop w:val="0"/>
                                  <w:marBottom w:val="0"/>
                                  <w:divBdr>
                                    <w:top w:val="none" w:sz="0" w:space="0" w:color="auto"/>
                                    <w:left w:val="none" w:sz="0" w:space="0" w:color="auto"/>
                                    <w:bottom w:val="none" w:sz="0" w:space="0" w:color="auto"/>
                                    <w:right w:val="none" w:sz="0" w:space="0" w:color="auto"/>
                                  </w:divBdr>
                                </w:div>
                                <w:div w:id="5322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35575">
      <w:marLeft w:val="0"/>
      <w:marRight w:val="0"/>
      <w:marTop w:val="0"/>
      <w:marBottom w:val="0"/>
      <w:divBdr>
        <w:top w:val="none" w:sz="0" w:space="0" w:color="auto"/>
        <w:left w:val="none" w:sz="0" w:space="0" w:color="auto"/>
        <w:bottom w:val="none" w:sz="0" w:space="0" w:color="auto"/>
        <w:right w:val="none" w:sz="0" w:space="0" w:color="auto"/>
      </w:divBdr>
    </w:div>
    <w:div w:id="712387702">
      <w:bodyDiv w:val="1"/>
      <w:marLeft w:val="0"/>
      <w:marRight w:val="0"/>
      <w:marTop w:val="0"/>
      <w:marBottom w:val="0"/>
      <w:divBdr>
        <w:top w:val="none" w:sz="0" w:space="0" w:color="auto"/>
        <w:left w:val="none" w:sz="0" w:space="0" w:color="auto"/>
        <w:bottom w:val="none" w:sz="0" w:space="0" w:color="auto"/>
        <w:right w:val="none" w:sz="0" w:space="0" w:color="auto"/>
      </w:divBdr>
    </w:div>
    <w:div w:id="807667788">
      <w:bodyDiv w:val="1"/>
      <w:marLeft w:val="0"/>
      <w:marRight w:val="0"/>
      <w:marTop w:val="0"/>
      <w:marBottom w:val="0"/>
      <w:divBdr>
        <w:top w:val="none" w:sz="0" w:space="0" w:color="auto"/>
        <w:left w:val="none" w:sz="0" w:space="0" w:color="auto"/>
        <w:bottom w:val="none" w:sz="0" w:space="0" w:color="auto"/>
        <w:right w:val="none" w:sz="0" w:space="0" w:color="auto"/>
      </w:divBdr>
    </w:div>
    <w:div w:id="989671200">
      <w:bodyDiv w:val="1"/>
      <w:marLeft w:val="0"/>
      <w:marRight w:val="0"/>
      <w:marTop w:val="0"/>
      <w:marBottom w:val="0"/>
      <w:divBdr>
        <w:top w:val="none" w:sz="0" w:space="0" w:color="auto"/>
        <w:left w:val="none" w:sz="0" w:space="0" w:color="auto"/>
        <w:bottom w:val="none" w:sz="0" w:space="0" w:color="auto"/>
        <w:right w:val="none" w:sz="0" w:space="0" w:color="auto"/>
      </w:divBdr>
    </w:div>
    <w:div w:id="1042942885">
      <w:bodyDiv w:val="1"/>
      <w:marLeft w:val="0"/>
      <w:marRight w:val="0"/>
      <w:marTop w:val="0"/>
      <w:marBottom w:val="0"/>
      <w:divBdr>
        <w:top w:val="none" w:sz="0" w:space="0" w:color="auto"/>
        <w:left w:val="none" w:sz="0" w:space="0" w:color="auto"/>
        <w:bottom w:val="none" w:sz="0" w:space="0" w:color="auto"/>
        <w:right w:val="none" w:sz="0" w:space="0" w:color="auto"/>
      </w:divBdr>
    </w:div>
    <w:div w:id="1205677693">
      <w:bodyDiv w:val="1"/>
      <w:marLeft w:val="0"/>
      <w:marRight w:val="0"/>
      <w:marTop w:val="0"/>
      <w:marBottom w:val="0"/>
      <w:divBdr>
        <w:top w:val="none" w:sz="0" w:space="0" w:color="auto"/>
        <w:left w:val="none" w:sz="0" w:space="0" w:color="auto"/>
        <w:bottom w:val="none" w:sz="0" w:space="0" w:color="auto"/>
        <w:right w:val="none" w:sz="0" w:space="0" w:color="auto"/>
      </w:divBdr>
      <w:divsChild>
        <w:div w:id="1260872823">
          <w:marLeft w:val="0"/>
          <w:marRight w:val="0"/>
          <w:marTop w:val="0"/>
          <w:marBottom w:val="0"/>
          <w:divBdr>
            <w:top w:val="none" w:sz="0" w:space="0" w:color="auto"/>
            <w:left w:val="none" w:sz="0" w:space="0" w:color="auto"/>
            <w:bottom w:val="none" w:sz="0" w:space="0" w:color="auto"/>
            <w:right w:val="none" w:sz="0" w:space="0" w:color="auto"/>
          </w:divBdr>
          <w:divsChild>
            <w:div w:id="1476412853">
              <w:marLeft w:val="0"/>
              <w:marRight w:val="0"/>
              <w:marTop w:val="0"/>
              <w:marBottom w:val="0"/>
              <w:divBdr>
                <w:top w:val="none" w:sz="0" w:space="0" w:color="auto"/>
                <w:left w:val="none" w:sz="0" w:space="0" w:color="auto"/>
                <w:bottom w:val="none" w:sz="0" w:space="0" w:color="auto"/>
                <w:right w:val="none" w:sz="0" w:space="0" w:color="auto"/>
              </w:divBdr>
              <w:divsChild>
                <w:div w:id="653727851">
                  <w:marLeft w:val="0"/>
                  <w:marRight w:val="0"/>
                  <w:marTop w:val="0"/>
                  <w:marBottom w:val="0"/>
                  <w:divBdr>
                    <w:top w:val="none" w:sz="0" w:space="0" w:color="auto"/>
                    <w:left w:val="none" w:sz="0" w:space="0" w:color="auto"/>
                    <w:bottom w:val="none" w:sz="0" w:space="0" w:color="auto"/>
                    <w:right w:val="none" w:sz="0" w:space="0" w:color="auto"/>
                  </w:divBdr>
                  <w:divsChild>
                    <w:div w:id="562106470">
                      <w:marLeft w:val="0"/>
                      <w:marRight w:val="0"/>
                      <w:marTop w:val="0"/>
                      <w:marBottom w:val="0"/>
                      <w:divBdr>
                        <w:top w:val="none" w:sz="0" w:space="0" w:color="auto"/>
                        <w:left w:val="none" w:sz="0" w:space="0" w:color="auto"/>
                        <w:bottom w:val="none" w:sz="0" w:space="0" w:color="auto"/>
                        <w:right w:val="none" w:sz="0" w:space="0" w:color="auto"/>
                      </w:divBdr>
                      <w:divsChild>
                        <w:div w:id="1364944023">
                          <w:marLeft w:val="0"/>
                          <w:marRight w:val="0"/>
                          <w:marTop w:val="0"/>
                          <w:marBottom w:val="0"/>
                          <w:divBdr>
                            <w:top w:val="none" w:sz="0" w:space="0" w:color="auto"/>
                            <w:left w:val="none" w:sz="0" w:space="0" w:color="auto"/>
                            <w:bottom w:val="none" w:sz="0" w:space="0" w:color="auto"/>
                            <w:right w:val="none" w:sz="0" w:space="0" w:color="auto"/>
                          </w:divBdr>
                          <w:divsChild>
                            <w:div w:id="1941331953">
                              <w:marLeft w:val="0"/>
                              <w:marRight w:val="0"/>
                              <w:marTop w:val="0"/>
                              <w:marBottom w:val="0"/>
                              <w:divBdr>
                                <w:top w:val="none" w:sz="0" w:space="0" w:color="auto"/>
                                <w:left w:val="none" w:sz="0" w:space="0" w:color="auto"/>
                                <w:bottom w:val="none" w:sz="0" w:space="0" w:color="auto"/>
                                <w:right w:val="none" w:sz="0" w:space="0" w:color="auto"/>
                              </w:divBdr>
                              <w:divsChild>
                                <w:div w:id="1143350714">
                                  <w:marLeft w:val="0"/>
                                  <w:marRight w:val="0"/>
                                  <w:marTop w:val="0"/>
                                  <w:marBottom w:val="0"/>
                                  <w:divBdr>
                                    <w:top w:val="none" w:sz="0" w:space="0" w:color="auto"/>
                                    <w:left w:val="none" w:sz="0" w:space="0" w:color="auto"/>
                                    <w:bottom w:val="none" w:sz="0" w:space="0" w:color="auto"/>
                                    <w:right w:val="none" w:sz="0" w:space="0" w:color="auto"/>
                                  </w:divBdr>
                                  <w:divsChild>
                                    <w:div w:id="524364474">
                                      <w:marLeft w:val="0"/>
                                      <w:marRight w:val="0"/>
                                      <w:marTop w:val="0"/>
                                      <w:marBottom w:val="0"/>
                                      <w:divBdr>
                                        <w:top w:val="none" w:sz="0" w:space="0" w:color="auto"/>
                                        <w:left w:val="none" w:sz="0" w:space="0" w:color="auto"/>
                                        <w:bottom w:val="none" w:sz="0" w:space="0" w:color="auto"/>
                                        <w:right w:val="none" w:sz="0" w:space="0" w:color="auto"/>
                                      </w:divBdr>
                                      <w:divsChild>
                                        <w:div w:id="1892887839">
                                          <w:marLeft w:val="0"/>
                                          <w:marRight w:val="0"/>
                                          <w:marTop w:val="0"/>
                                          <w:marBottom w:val="0"/>
                                          <w:divBdr>
                                            <w:top w:val="none" w:sz="0" w:space="0" w:color="auto"/>
                                            <w:left w:val="none" w:sz="0" w:space="0" w:color="auto"/>
                                            <w:bottom w:val="none" w:sz="0" w:space="0" w:color="auto"/>
                                            <w:right w:val="none" w:sz="0" w:space="0" w:color="auto"/>
                                          </w:divBdr>
                                          <w:divsChild>
                                            <w:div w:id="1438796808">
                                              <w:marLeft w:val="0"/>
                                              <w:marRight w:val="0"/>
                                              <w:marTop w:val="0"/>
                                              <w:marBottom w:val="0"/>
                                              <w:divBdr>
                                                <w:top w:val="none" w:sz="0" w:space="0" w:color="auto"/>
                                                <w:left w:val="none" w:sz="0" w:space="0" w:color="auto"/>
                                                <w:bottom w:val="none" w:sz="0" w:space="0" w:color="auto"/>
                                                <w:right w:val="none" w:sz="0" w:space="0" w:color="auto"/>
                                              </w:divBdr>
                                              <w:divsChild>
                                                <w:div w:id="93283854">
                                                  <w:marLeft w:val="0"/>
                                                  <w:marRight w:val="0"/>
                                                  <w:marTop w:val="0"/>
                                                  <w:marBottom w:val="0"/>
                                                  <w:divBdr>
                                                    <w:top w:val="none" w:sz="0" w:space="0" w:color="auto"/>
                                                    <w:left w:val="none" w:sz="0" w:space="0" w:color="auto"/>
                                                    <w:bottom w:val="none" w:sz="0" w:space="0" w:color="auto"/>
                                                    <w:right w:val="none" w:sz="0" w:space="0" w:color="auto"/>
                                                  </w:divBdr>
                                                  <w:divsChild>
                                                    <w:div w:id="1448083803">
                                                      <w:marLeft w:val="0"/>
                                                      <w:marRight w:val="0"/>
                                                      <w:marTop w:val="0"/>
                                                      <w:marBottom w:val="0"/>
                                                      <w:divBdr>
                                                        <w:top w:val="none" w:sz="0" w:space="0" w:color="auto"/>
                                                        <w:left w:val="none" w:sz="0" w:space="0" w:color="auto"/>
                                                        <w:bottom w:val="none" w:sz="0" w:space="0" w:color="auto"/>
                                                        <w:right w:val="none" w:sz="0" w:space="0" w:color="auto"/>
                                                      </w:divBdr>
                                                      <w:divsChild>
                                                        <w:div w:id="1399666814">
                                                          <w:marLeft w:val="0"/>
                                                          <w:marRight w:val="0"/>
                                                          <w:marTop w:val="0"/>
                                                          <w:marBottom w:val="0"/>
                                                          <w:divBdr>
                                                            <w:top w:val="none" w:sz="0" w:space="0" w:color="auto"/>
                                                            <w:left w:val="none" w:sz="0" w:space="0" w:color="auto"/>
                                                            <w:bottom w:val="none" w:sz="0" w:space="0" w:color="auto"/>
                                                            <w:right w:val="none" w:sz="0" w:space="0" w:color="auto"/>
                                                          </w:divBdr>
                                                          <w:divsChild>
                                                            <w:div w:id="4877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1923135">
      <w:bodyDiv w:val="1"/>
      <w:marLeft w:val="0"/>
      <w:marRight w:val="0"/>
      <w:marTop w:val="0"/>
      <w:marBottom w:val="0"/>
      <w:divBdr>
        <w:top w:val="none" w:sz="0" w:space="0" w:color="auto"/>
        <w:left w:val="none" w:sz="0" w:space="0" w:color="auto"/>
        <w:bottom w:val="none" w:sz="0" w:space="0" w:color="auto"/>
        <w:right w:val="none" w:sz="0" w:space="0" w:color="auto"/>
      </w:divBdr>
      <w:divsChild>
        <w:div w:id="297298002">
          <w:marLeft w:val="0"/>
          <w:marRight w:val="0"/>
          <w:marTop w:val="0"/>
          <w:marBottom w:val="0"/>
          <w:divBdr>
            <w:top w:val="none" w:sz="0" w:space="0" w:color="auto"/>
            <w:left w:val="none" w:sz="0" w:space="0" w:color="auto"/>
            <w:bottom w:val="none" w:sz="0" w:space="0" w:color="auto"/>
            <w:right w:val="none" w:sz="0" w:space="0" w:color="auto"/>
          </w:divBdr>
          <w:divsChild>
            <w:div w:id="116416626">
              <w:marLeft w:val="0"/>
              <w:marRight w:val="0"/>
              <w:marTop w:val="0"/>
              <w:marBottom w:val="0"/>
              <w:divBdr>
                <w:top w:val="none" w:sz="0" w:space="0" w:color="auto"/>
                <w:left w:val="none" w:sz="0" w:space="0" w:color="auto"/>
                <w:bottom w:val="none" w:sz="0" w:space="0" w:color="auto"/>
                <w:right w:val="none" w:sz="0" w:space="0" w:color="auto"/>
              </w:divBdr>
              <w:divsChild>
                <w:div w:id="1371227164">
                  <w:marLeft w:val="0"/>
                  <w:marRight w:val="0"/>
                  <w:marTop w:val="0"/>
                  <w:marBottom w:val="0"/>
                  <w:divBdr>
                    <w:top w:val="none" w:sz="0" w:space="0" w:color="auto"/>
                    <w:left w:val="none" w:sz="0" w:space="0" w:color="auto"/>
                    <w:bottom w:val="none" w:sz="0" w:space="0" w:color="auto"/>
                    <w:right w:val="none" w:sz="0" w:space="0" w:color="auto"/>
                  </w:divBdr>
                  <w:divsChild>
                    <w:div w:id="1201089211">
                      <w:marLeft w:val="0"/>
                      <w:marRight w:val="0"/>
                      <w:marTop w:val="0"/>
                      <w:marBottom w:val="0"/>
                      <w:divBdr>
                        <w:top w:val="none" w:sz="0" w:space="0" w:color="auto"/>
                        <w:left w:val="none" w:sz="0" w:space="0" w:color="auto"/>
                        <w:bottom w:val="none" w:sz="0" w:space="0" w:color="auto"/>
                        <w:right w:val="none" w:sz="0" w:space="0" w:color="auto"/>
                      </w:divBdr>
                      <w:divsChild>
                        <w:div w:id="1658723825">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117185">
      <w:bodyDiv w:val="1"/>
      <w:marLeft w:val="0"/>
      <w:marRight w:val="0"/>
      <w:marTop w:val="0"/>
      <w:marBottom w:val="0"/>
      <w:divBdr>
        <w:top w:val="none" w:sz="0" w:space="0" w:color="auto"/>
        <w:left w:val="none" w:sz="0" w:space="0" w:color="auto"/>
        <w:bottom w:val="none" w:sz="0" w:space="0" w:color="auto"/>
        <w:right w:val="none" w:sz="0" w:space="0" w:color="auto"/>
      </w:divBdr>
      <w:divsChild>
        <w:div w:id="1732920534">
          <w:marLeft w:val="0"/>
          <w:marRight w:val="0"/>
          <w:marTop w:val="0"/>
          <w:marBottom w:val="0"/>
          <w:divBdr>
            <w:top w:val="none" w:sz="0" w:space="0" w:color="auto"/>
            <w:left w:val="none" w:sz="0" w:space="0" w:color="auto"/>
            <w:bottom w:val="none" w:sz="0" w:space="0" w:color="auto"/>
            <w:right w:val="none" w:sz="0" w:space="0" w:color="auto"/>
          </w:divBdr>
          <w:divsChild>
            <w:div w:id="212154478">
              <w:marLeft w:val="0"/>
              <w:marRight w:val="0"/>
              <w:marTop w:val="0"/>
              <w:marBottom w:val="0"/>
              <w:divBdr>
                <w:top w:val="none" w:sz="0" w:space="0" w:color="auto"/>
                <w:left w:val="none" w:sz="0" w:space="0" w:color="auto"/>
                <w:bottom w:val="none" w:sz="0" w:space="0" w:color="auto"/>
                <w:right w:val="none" w:sz="0" w:space="0" w:color="auto"/>
              </w:divBdr>
              <w:divsChild>
                <w:div w:id="1513378889">
                  <w:marLeft w:val="0"/>
                  <w:marRight w:val="0"/>
                  <w:marTop w:val="0"/>
                  <w:marBottom w:val="0"/>
                  <w:divBdr>
                    <w:top w:val="none" w:sz="0" w:space="0" w:color="auto"/>
                    <w:left w:val="none" w:sz="0" w:space="0" w:color="auto"/>
                    <w:bottom w:val="none" w:sz="0" w:space="0" w:color="auto"/>
                    <w:right w:val="none" w:sz="0" w:space="0" w:color="auto"/>
                  </w:divBdr>
                  <w:divsChild>
                    <w:div w:id="1852333635">
                      <w:marLeft w:val="0"/>
                      <w:marRight w:val="0"/>
                      <w:marTop w:val="0"/>
                      <w:marBottom w:val="0"/>
                      <w:divBdr>
                        <w:top w:val="none" w:sz="0" w:space="0" w:color="auto"/>
                        <w:left w:val="none" w:sz="0" w:space="0" w:color="auto"/>
                        <w:bottom w:val="none" w:sz="0" w:space="0" w:color="auto"/>
                        <w:right w:val="none" w:sz="0" w:space="0" w:color="auto"/>
                      </w:divBdr>
                      <w:divsChild>
                        <w:div w:id="1236889537">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217663">
      <w:bodyDiv w:val="1"/>
      <w:marLeft w:val="0"/>
      <w:marRight w:val="0"/>
      <w:marTop w:val="0"/>
      <w:marBottom w:val="0"/>
      <w:divBdr>
        <w:top w:val="none" w:sz="0" w:space="0" w:color="auto"/>
        <w:left w:val="none" w:sz="0" w:space="0" w:color="auto"/>
        <w:bottom w:val="none" w:sz="0" w:space="0" w:color="auto"/>
        <w:right w:val="none" w:sz="0" w:space="0" w:color="auto"/>
      </w:divBdr>
      <w:divsChild>
        <w:div w:id="457068488">
          <w:marLeft w:val="0"/>
          <w:marRight w:val="0"/>
          <w:marTop w:val="0"/>
          <w:marBottom w:val="0"/>
          <w:divBdr>
            <w:top w:val="none" w:sz="0" w:space="0" w:color="auto"/>
            <w:left w:val="none" w:sz="0" w:space="0" w:color="auto"/>
            <w:bottom w:val="none" w:sz="0" w:space="0" w:color="auto"/>
            <w:right w:val="none" w:sz="0" w:space="0" w:color="auto"/>
          </w:divBdr>
          <w:divsChild>
            <w:div w:id="1839803005">
              <w:marLeft w:val="0"/>
              <w:marRight w:val="0"/>
              <w:marTop w:val="0"/>
              <w:marBottom w:val="0"/>
              <w:divBdr>
                <w:top w:val="none" w:sz="0" w:space="0" w:color="auto"/>
                <w:left w:val="none" w:sz="0" w:space="0" w:color="auto"/>
                <w:bottom w:val="none" w:sz="0" w:space="0" w:color="auto"/>
                <w:right w:val="none" w:sz="0" w:space="0" w:color="auto"/>
              </w:divBdr>
              <w:divsChild>
                <w:div w:id="796994906">
                  <w:marLeft w:val="0"/>
                  <w:marRight w:val="0"/>
                  <w:marTop w:val="0"/>
                  <w:marBottom w:val="0"/>
                  <w:divBdr>
                    <w:top w:val="none" w:sz="0" w:space="0" w:color="auto"/>
                    <w:left w:val="none" w:sz="0" w:space="0" w:color="auto"/>
                    <w:bottom w:val="none" w:sz="0" w:space="0" w:color="auto"/>
                    <w:right w:val="none" w:sz="0" w:space="0" w:color="auto"/>
                  </w:divBdr>
                  <w:divsChild>
                    <w:div w:id="464323899">
                      <w:marLeft w:val="0"/>
                      <w:marRight w:val="0"/>
                      <w:marTop w:val="0"/>
                      <w:marBottom w:val="0"/>
                      <w:divBdr>
                        <w:top w:val="none" w:sz="0" w:space="0" w:color="auto"/>
                        <w:left w:val="none" w:sz="0" w:space="0" w:color="auto"/>
                        <w:bottom w:val="none" w:sz="0" w:space="0" w:color="auto"/>
                        <w:right w:val="none" w:sz="0" w:space="0" w:color="auto"/>
                      </w:divBdr>
                      <w:divsChild>
                        <w:div w:id="2037076511">
                          <w:marLeft w:val="0"/>
                          <w:marRight w:val="0"/>
                          <w:marTop w:val="0"/>
                          <w:marBottom w:val="0"/>
                          <w:divBdr>
                            <w:top w:val="none" w:sz="0" w:space="0" w:color="auto"/>
                            <w:left w:val="none" w:sz="0" w:space="0" w:color="auto"/>
                            <w:bottom w:val="none" w:sz="0" w:space="0" w:color="auto"/>
                            <w:right w:val="none" w:sz="0" w:space="0" w:color="auto"/>
                          </w:divBdr>
                          <w:divsChild>
                            <w:div w:id="865211857">
                              <w:marLeft w:val="0"/>
                              <w:marRight w:val="0"/>
                              <w:marTop w:val="0"/>
                              <w:marBottom w:val="0"/>
                              <w:divBdr>
                                <w:top w:val="none" w:sz="0" w:space="0" w:color="auto"/>
                                <w:left w:val="none" w:sz="0" w:space="0" w:color="auto"/>
                                <w:bottom w:val="none" w:sz="0" w:space="0" w:color="auto"/>
                                <w:right w:val="none" w:sz="0" w:space="0" w:color="auto"/>
                              </w:divBdr>
                              <w:divsChild>
                                <w:div w:id="1898856927">
                                  <w:marLeft w:val="0"/>
                                  <w:marRight w:val="0"/>
                                  <w:marTop w:val="0"/>
                                  <w:marBottom w:val="0"/>
                                  <w:divBdr>
                                    <w:top w:val="none" w:sz="0" w:space="0" w:color="auto"/>
                                    <w:left w:val="none" w:sz="0" w:space="0" w:color="auto"/>
                                    <w:bottom w:val="none" w:sz="0" w:space="0" w:color="auto"/>
                                    <w:right w:val="none" w:sz="0" w:space="0" w:color="auto"/>
                                  </w:divBdr>
                                  <w:divsChild>
                                    <w:div w:id="1966109937">
                                      <w:marLeft w:val="0"/>
                                      <w:marRight w:val="0"/>
                                      <w:marTop w:val="0"/>
                                      <w:marBottom w:val="0"/>
                                      <w:divBdr>
                                        <w:top w:val="none" w:sz="0" w:space="0" w:color="auto"/>
                                        <w:left w:val="none" w:sz="0" w:space="0" w:color="auto"/>
                                        <w:bottom w:val="none" w:sz="0" w:space="0" w:color="auto"/>
                                        <w:right w:val="none" w:sz="0" w:space="0" w:color="auto"/>
                                      </w:divBdr>
                                      <w:divsChild>
                                        <w:div w:id="56636316">
                                          <w:marLeft w:val="0"/>
                                          <w:marRight w:val="0"/>
                                          <w:marTop w:val="0"/>
                                          <w:marBottom w:val="0"/>
                                          <w:divBdr>
                                            <w:top w:val="none" w:sz="0" w:space="0" w:color="auto"/>
                                            <w:left w:val="none" w:sz="0" w:space="0" w:color="auto"/>
                                            <w:bottom w:val="none" w:sz="0" w:space="0" w:color="auto"/>
                                            <w:right w:val="none" w:sz="0" w:space="0" w:color="auto"/>
                                          </w:divBdr>
                                          <w:divsChild>
                                            <w:div w:id="1638217688">
                                              <w:marLeft w:val="0"/>
                                              <w:marRight w:val="0"/>
                                              <w:marTop w:val="0"/>
                                              <w:marBottom w:val="0"/>
                                              <w:divBdr>
                                                <w:top w:val="none" w:sz="0" w:space="0" w:color="auto"/>
                                                <w:left w:val="none" w:sz="0" w:space="0" w:color="auto"/>
                                                <w:bottom w:val="none" w:sz="0" w:space="0" w:color="auto"/>
                                                <w:right w:val="none" w:sz="0" w:space="0" w:color="auto"/>
                                              </w:divBdr>
                                              <w:divsChild>
                                                <w:div w:id="381028181">
                                                  <w:marLeft w:val="0"/>
                                                  <w:marRight w:val="0"/>
                                                  <w:marTop w:val="0"/>
                                                  <w:marBottom w:val="0"/>
                                                  <w:divBdr>
                                                    <w:top w:val="none" w:sz="0" w:space="0" w:color="auto"/>
                                                    <w:left w:val="none" w:sz="0" w:space="0" w:color="auto"/>
                                                    <w:bottom w:val="none" w:sz="0" w:space="0" w:color="auto"/>
                                                    <w:right w:val="none" w:sz="0" w:space="0" w:color="auto"/>
                                                  </w:divBdr>
                                                  <w:divsChild>
                                                    <w:div w:id="1997761858">
                                                      <w:marLeft w:val="0"/>
                                                      <w:marRight w:val="0"/>
                                                      <w:marTop w:val="0"/>
                                                      <w:marBottom w:val="0"/>
                                                      <w:divBdr>
                                                        <w:top w:val="none" w:sz="0" w:space="0" w:color="auto"/>
                                                        <w:left w:val="none" w:sz="0" w:space="0" w:color="auto"/>
                                                        <w:bottom w:val="none" w:sz="0" w:space="0" w:color="auto"/>
                                                        <w:right w:val="none" w:sz="0" w:space="0" w:color="auto"/>
                                                      </w:divBdr>
                                                      <w:divsChild>
                                                        <w:div w:id="1786150310">
                                                          <w:marLeft w:val="0"/>
                                                          <w:marRight w:val="0"/>
                                                          <w:marTop w:val="0"/>
                                                          <w:marBottom w:val="0"/>
                                                          <w:divBdr>
                                                            <w:top w:val="none" w:sz="0" w:space="0" w:color="auto"/>
                                                            <w:left w:val="none" w:sz="0" w:space="0" w:color="auto"/>
                                                            <w:bottom w:val="none" w:sz="0" w:space="0" w:color="auto"/>
                                                            <w:right w:val="none" w:sz="0" w:space="0" w:color="auto"/>
                                                          </w:divBdr>
                                                          <w:divsChild>
                                                            <w:div w:id="17513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8175508">
      <w:bodyDiv w:val="1"/>
      <w:marLeft w:val="0"/>
      <w:marRight w:val="0"/>
      <w:marTop w:val="0"/>
      <w:marBottom w:val="0"/>
      <w:divBdr>
        <w:top w:val="none" w:sz="0" w:space="0" w:color="auto"/>
        <w:left w:val="none" w:sz="0" w:space="0" w:color="auto"/>
        <w:bottom w:val="none" w:sz="0" w:space="0" w:color="auto"/>
        <w:right w:val="none" w:sz="0" w:space="0" w:color="auto"/>
      </w:divBdr>
    </w:div>
    <w:div w:id="1586305507">
      <w:bodyDiv w:val="1"/>
      <w:marLeft w:val="0"/>
      <w:marRight w:val="0"/>
      <w:marTop w:val="0"/>
      <w:marBottom w:val="0"/>
      <w:divBdr>
        <w:top w:val="none" w:sz="0" w:space="0" w:color="auto"/>
        <w:left w:val="none" w:sz="0" w:space="0" w:color="auto"/>
        <w:bottom w:val="none" w:sz="0" w:space="0" w:color="auto"/>
        <w:right w:val="none" w:sz="0" w:space="0" w:color="auto"/>
      </w:divBdr>
    </w:div>
    <w:div w:id="1737898041">
      <w:bodyDiv w:val="1"/>
      <w:marLeft w:val="0"/>
      <w:marRight w:val="0"/>
      <w:marTop w:val="0"/>
      <w:marBottom w:val="0"/>
      <w:divBdr>
        <w:top w:val="none" w:sz="0" w:space="0" w:color="auto"/>
        <w:left w:val="none" w:sz="0" w:space="0" w:color="auto"/>
        <w:bottom w:val="none" w:sz="0" w:space="0" w:color="auto"/>
        <w:right w:val="none" w:sz="0" w:space="0" w:color="auto"/>
      </w:divBdr>
    </w:div>
    <w:div w:id="1740056973">
      <w:bodyDiv w:val="1"/>
      <w:marLeft w:val="0"/>
      <w:marRight w:val="0"/>
      <w:marTop w:val="0"/>
      <w:marBottom w:val="0"/>
      <w:divBdr>
        <w:top w:val="none" w:sz="0" w:space="0" w:color="auto"/>
        <w:left w:val="none" w:sz="0" w:space="0" w:color="auto"/>
        <w:bottom w:val="none" w:sz="0" w:space="0" w:color="auto"/>
        <w:right w:val="none" w:sz="0" w:space="0" w:color="auto"/>
      </w:divBdr>
    </w:div>
    <w:div w:id="2005814825">
      <w:bodyDiv w:val="1"/>
      <w:marLeft w:val="0"/>
      <w:marRight w:val="0"/>
      <w:marTop w:val="0"/>
      <w:marBottom w:val="0"/>
      <w:divBdr>
        <w:top w:val="none" w:sz="0" w:space="0" w:color="auto"/>
        <w:left w:val="none" w:sz="0" w:space="0" w:color="auto"/>
        <w:bottom w:val="none" w:sz="0" w:space="0" w:color="auto"/>
        <w:right w:val="none" w:sz="0" w:space="0" w:color="auto"/>
      </w:divBdr>
    </w:div>
    <w:div w:id="2034111252">
      <w:bodyDiv w:val="1"/>
      <w:marLeft w:val="0"/>
      <w:marRight w:val="0"/>
      <w:marTop w:val="0"/>
      <w:marBottom w:val="0"/>
      <w:divBdr>
        <w:top w:val="none" w:sz="0" w:space="0" w:color="auto"/>
        <w:left w:val="none" w:sz="0" w:space="0" w:color="auto"/>
        <w:bottom w:val="none" w:sz="0" w:space="0" w:color="auto"/>
        <w:right w:val="none" w:sz="0" w:space="0" w:color="auto"/>
      </w:divBdr>
      <w:divsChild>
        <w:div w:id="583690961">
          <w:marLeft w:val="0"/>
          <w:marRight w:val="0"/>
          <w:marTop w:val="0"/>
          <w:marBottom w:val="0"/>
          <w:divBdr>
            <w:top w:val="none" w:sz="0" w:space="0" w:color="auto"/>
            <w:left w:val="none" w:sz="0" w:space="0" w:color="auto"/>
            <w:bottom w:val="none" w:sz="0" w:space="0" w:color="auto"/>
            <w:right w:val="none" w:sz="0" w:space="0" w:color="auto"/>
          </w:divBdr>
          <w:divsChild>
            <w:div w:id="119348030">
              <w:marLeft w:val="0"/>
              <w:marRight w:val="0"/>
              <w:marTop w:val="0"/>
              <w:marBottom w:val="0"/>
              <w:divBdr>
                <w:top w:val="none" w:sz="0" w:space="0" w:color="auto"/>
                <w:left w:val="none" w:sz="0" w:space="0" w:color="auto"/>
                <w:bottom w:val="none" w:sz="0" w:space="0" w:color="auto"/>
                <w:right w:val="none" w:sz="0" w:space="0" w:color="auto"/>
              </w:divBdr>
              <w:divsChild>
                <w:div w:id="1133402675">
                  <w:marLeft w:val="0"/>
                  <w:marRight w:val="0"/>
                  <w:marTop w:val="0"/>
                  <w:marBottom w:val="0"/>
                  <w:divBdr>
                    <w:top w:val="none" w:sz="0" w:space="0" w:color="auto"/>
                    <w:left w:val="none" w:sz="0" w:space="0" w:color="auto"/>
                    <w:bottom w:val="none" w:sz="0" w:space="0" w:color="auto"/>
                    <w:right w:val="none" w:sz="0" w:space="0" w:color="auto"/>
                  </w:divBdr>
                  <w:divsChild>
                    <w:div w:id="21135337">
                      <w:marLeft w:val="0"/>
                      <w:marRight w:val="0"/>
                      <w:marTop w:val="0"/>
                      <w:marBottom w:val="0"/>
                      <w:divBdr>
                        <w:top w:val="none" w:sz="0" w:space="0" w:color="auto"/>
                        <w:left w:val="none" w:sz="0" w:space="0" w:color="auto"/>
                        <w:bottom w:val="none" w:sz="0" w:space="0" w:color="auto"/>
                        <w:right w:val="none" w:sz="0" w:space="0" w:color="auto"/>
                      </w:divBdr>
                      <w:divsChild>
                        <w:div w:id="676465144">
                          <w:marLeft w:val="0"/>
                          <w:marRight w:val="0"/>
                          <w:marTop w:val="0"/>
                          <w:marBottom w:val="0"/>
                          <w:divBdr>
                            <w:top w:val="none" w:sz="0" w:space="0" w:color="auto"/>
                            <w:left w:val="none" w:sz="0" w:space="0" w:color="auto"/>
                            <w:bottom w:val="none" w:sz="0" w:space="0" w:color="auto"/>
                            <w:right w:val="none" w:sz="0" w:space="0" w:color="auto"/>
                          </w:divBdr>
                          <w:divsChild>
                            <w:div w:id="1526137230">
                              <w:marLeft w:val="0"/>
                              <w:marRight w:val="0"/>
                              <w:marTop w:val="0"/>
                              <w:marBottom w:val="0"/>
                              <w:divBdr>
                                <w:top w:val="none" w:sz="0" w:space="0" w:color="auto"/>
                                <w:left w:val="none" w:sz="0" w:space="0" w:color="auto"/>
                                <w:bottom w:val="none" w:sz="0" w:space="0" w:color="auto"/>
                                <w:right w:val="none" w:sz="0" w:space="0" w:color="auto"/>
                              </w:divBdr>
                              <w:divsChild>
                                <w:div w:id="1024482132">
                                  <w:marLeft w:val="0"/>
                                  <w:marRight w:val="0"/>
                                  <w:marTop w:val="0"/>
                                  <w:marBottom w:val="0"/>
                                  <w:divBdr>
                                    <w:top w:val="none" w:sz="0" w:space="0" w:color="auto"/>
                                    <w:left w:val="none" w:sz="0" w:space="0" w:color="auto"/>
                                    <w:bottom w:val="none" w:sz="0" w:space="0" w:color="auto"/>
                                    <w:right w:val="none" w:sz="0" w:space="0" w:color="auto"/>
                                  </w:divBdr>
                                  <w:divsChild>
                                    <w:div w:id="1370690946">
                                      <w:marLeft w:val="0"/>
                                      <w:marRight w:val="0"/>
                                      <w:marTop w:val="0"/>
                                      <w:marBottom w:val="0"/>
                                      <w:divBdr>
                                        <w:top w:val="none" w:sz="0" w:space="0" w:color="auto"/>
                                        <w:left w:val="none" w:sz="0" w:space="0" w:color="auto"/>
                                        <w:bottom w:val="none" w:sz="0" w:space="0" w:color="auto"/>
                                        <w:right w:val="none" w:sz="0" w:space="0" w:color="auto"/>
                                      </w:divBdr>
                                      <w:divsChild>
                                        <w:div w:id="1705905462">
                                          <w:marLeft w:val="0"/>
                                          <w:marRight w:val="0"/>
                                          <w:marTop w:val="0"/>
                                          <w:marBottom w:val="0"/>
                                          <w:divBdr>
                                            <w:top w:val="none" w:sz="0" w:space="0" w:color="auto"/>
                                            <w:left w:val="none" w:sz="0" w:space="0" w:color="auto"/>
                                            <w:bottom w:val="none" w:sz="0" w:space="0" w:color="auto"/>
                                            <w:right w:val="none" w:sz="0" w:space="0" w:color="auto"/>
                                          </w:divBdr>
                                          <w:divsChild>
                                            <w:div w:id="1912693549">
                                              <w:marLeft w:val="0"/>
                                              <w:marRight w:val="0"/>
                                              <w:marTop w:val="0"/>
                                              <w:marBottom w:val="0"/>
                                              <w:divBdr>
                                                <w:top w:val="none" w:sz="0" w:space="0" w:color="auto"/>
                                                <w:left w:val="none" w:sz="0" w:space="0" w:color="auto"/>
                                                <w:bottom w:val="none" w:sz="0" w:space="0" w:color="auto"/>
                                                <w:right w:val="none" w:sz="0" w:space="0" w:color="auto"/>
                                              </w:divBdr>
                                              <w:divsChild>
                                                <w:div w:id="1947930711">
                                                  <w:marLeft w:val="0"/>
                                                  <w:marRight w:val="0"/>
                                                  <w:marTop w:val="0"/>
                                                  <w:marBottom w:val="0"/>
                                                  <w:divBdr>
                                                    <w:top w:val="none" w:sz="0" w:space="0" w:color="auto"/>
                                                    <w:left w:val="none" w:sz="0" w:space="0" w:color="auto"/>
                                                    <w:bottom w:val="none" w:sz="0" w:space="0" w:color="auto"/>
                                                    <w:right w:val="none" w:sz="0" w:space="0" w:color="auto"/>
                                                  </w:divBdr>
                                                  <w:divsChild>
                                                    <w:div w:id="1783650019">
                                                      <w:marLeft w:val="0"/>
                                                      <w:marRight w:val="0"/>
                                                      <w:marTop w:val="0"/>
                                                      <w:marBottom w:val="0"/>
                                                      <w:divBdr>
                                                        <w:top w:val="none" w:sz="0" w:space="0" w:color="auto"/>
                                                        <w:left w:val="none" w:sz="0" w:space="0" w:color="auto"/>
                                                        <w:bottom w:val="none" w:sz="0" w:space="0" w:color="auto"/>
                                                        <w:right w:val="none" w:sz="0" w:space="0" w:color="auto"/>
                                                      </w:divBdr>
                                                      <w:divsChild>
                                                        <w:div w:id="552347393">
                                                          <w:marLeft w:val="0"/>
                                                          <w:marRight w:val="0"/>
                                                          <w:marTop w:val="0"/>
                                                          <w:marBottom w:val="0"/>
                                                          <w:divBdr>
                                                            <w:top w:val="none" w:sz="0" w:space="0" w:color="auto"/>
                                                            <w:left w:val="none" w:sz="0" w:space="0" w:color="auto"/>
                                                            <w:bottom w:val="none" w:sz="0" w:space="0" w:color="auto"/>
                                                            <w:right w:val="none" w:sz="0" w:space="0" w:color="auto"/>
                                                          </w:divBdr>
                                                          <w:divsChild>
                                                            <w:div w:id="5797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51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chart" Target="charts/chart26.xml"/><Relationship Id="rId55" Type="http://schemas.openxmlformats.org/officeDocument/2006/relationships/image" Target="media/image18.pn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2.xml"/><Relationship Id="rId29" Type="http://schemas.openxmlformats.org/officeDocument/2006/relationships/image" Target="media/image13.png"/><Relationship Id="rId41" Type="http://schemas.openxmlformats.org/officeDocument/2006/relationships/image" Target="media/image14.png"/><Relationship Id="rId54" Type="http://schemas.openxmlformats.org/officeDocument/2006/relationships/image" Target="media/image17.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6.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4.xml"/><Relationship Id="rId53" Type="http://schemas.openxmlformats.org/officeDocument/2006/relationships/image" Target="media/image16.png"/><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image" Target="media/image15.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chart" Target="charts/chart23.xml"/><Relationship Id="rId52" Type="http://schemas.microsoft.com/office/2007/relationships/hdphoto" Target="media/hdphoto1.wdp"/><Relationship Id="rId60" Type="http://schemas.openxmlformats.org/officeDocument/2006/relationships/footer" Target="foot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image" Target="media/image19.png"/><Relationship Id="rId64" Type="http://schemas.openxmlformats.org/officeDocument/2006/relationships/footer" Target="footer4.xml"/><Relationship Id="rId8" Type="http://schemas.openxmlformats.org/officeDocument/2006/relationships/hyperlink" Target="mailto:guanqingyou@mszq.com"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5.xm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1.emf"/></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1.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YU%20LUOYI\Desktop\&#26032;&#24314;&#25991;&#20214;&#22841;\&#27491;&#24335;&#34920;&#2668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6700;&#38754;\&#29790;&#33538;&#36890;\&#29790;&#33538;&#36890;&#28145;&#24230;&#25253;&#21578;\&#24037;&#20316;&#31807;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28023;&#20255;\Desktop\&#20013;&#25253;&#24635;&#32467;\&#36130;&#21153;&#27604;&#29575;.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28023;&#20255;\Desktop\&#20013;&#25253;&#24635;&#32467;\&#36130;&#21153;&#27604;&#29575;.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26700;&#38754;\&#29790;&#33538;&#36890;\&#29790;&#33538;&#36890;&#28145;&#24230;&#25253;&#21578;\&#24037;&#20316;&#31807;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dministrator\Desktop\GDP.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dministrator\Desktop\&#35268;&#21010;\&#32452;&#38271;&#21457;&#36865;&#30340;&#25991;&#20214;\&#27700;&#27877;&#34892;&#19994;&#25968;&#25454;&#25972;&#2970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Administrator\Desktop\&#35268;&#21010;\&#25353;&#34892;&#19994;&#27169;&#26495;&#20462;&#25913;\&#25151;&#22320;&#20135;&#25237;&#36164;&#39069;_&#37325;&#35201;&#25991;&#20214;.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dministrator\Desktop\&#35268;&#21010;\&#27700;&#27877;&#21435;&#20135;&#33021;.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ministrator\Desktop\&#35268;&#21010;\&#32452;&#38271;&#21457;&#36865;&#30340;&#25991;&#20214;\2015&#20013;&#22269;&#27700;&#27877;&#29087;&#26009;&#20135;&#33021;&#25490;&#34892;2.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Administrator\Desktop\&#35268;&#21010;\&#32452;&#38271;&#21457;&#36865;&#30340;&#25991;&#20214;\&#27700;&#27877;&#34892;&#19994;&#25968;&#25454;&#25972;&#29702;.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YU%20LUOYI\Desktop\&#26032;&#24314;&#25991;&#20214;&#22841;\&#27491;&#24335;&#34920;&#26684;.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dministrator\Desktop\&#35268;&#21010;\&#25353;&#34892;&#19994;&#27169;&#26495;&#20462;&#25913;\&#27700;&#27877;&#21033;&#28070;&#24635;&#39069;.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Administrator\Desktop\&#35268;&#21010;\&#27700;&#27877;&#21435;&#20135;&#33021;.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Administrator\Desktop\&#35268;&#21010;\&#32452;&#38271;&#21457;&#36865;&#30340;&#25991;&#20214;\2015&#20013;&#22269;&#27700;&#27877;&#29087;&#26009;&#20135;&#33021;&#25490;&#34892;2.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E:\&#19978;&#24066;&#20844;&#21496;\&#20336;&#21033;&#32852;\&#25968;&#2545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___1.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E:\&#32454;&#20998;&#23376;&#34892;&#19994;\PTA\&#32858;&#37231;&#20135;&#19994;&#38142;&#28145;&#24230;&#30740;&#31350;&#25968;&#25454;-20160122&#26356;&#26032;.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liaopf\Desktop\&#32431;&#30897;&#24773;&#20917;&#27719;&#24635;.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YU%20LUOYI\Desktop\&#26032;&#24314;&#25991;&#20214;&#22841;\&#27491;&#24335;&#34920;&#2668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YU%20LUOYI\Desktop\&#26032;&#24314;&#25991;&#20214;&#22841;\&#27491;&#24335;&#34920;&#2668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YU%20LUOYI\Desktop\&#26032;&#24314;&#25991;&#20214;&#22841;\&#27491;&#24335;&#34920;&#2668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YU%20LUOYI\Desktop\&#26032;&#24314;&#25991;&#20214;&#22841;\&#27491;&#24335;&#34920;&#2668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YU%20LUOYI\Desktop\&#26032;&#24314;&#25991;&#20214;&#22841;\&#27491;&#24335;&#34920;&#2668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YU%20LUOYI\Desktop\&#26032;&#24314;&#25991;&#20214;&#22841;\&#27491;&#24335;&#34920;&#2668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28023;&#20255;\AppData\Roaming\Microsoft\Excel\20160120135837%20(version%201).xlsb"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Sheet2!$C$2</c:f>
              <c:strCache>
                <c:ptCount val="1"/>
                <c:pt idx="0">
                  <c:v>全球</c:v>
                </c:pt>
              </c:strCache>
            </c:strRef>
          </c:tx>
          <c:spPr>
            <a:solidFill>
              <a:schemeClr val="accent1"/>
            </a:solidFill>
            <a:ln>
              <a:noFill/>
            </a:ln>
            <a:effectLst/>
          </c:spPr>
          <c:cat>
            <c:numRef>
              <c:f>Sheet2!$B$3:$B$19</c:f>
              <c:numCache>
                <c:formatCode>yyyy;@</c:formatCode>
                <c:ptCount val="17"/>
                <c:pt idx="0" formatCode="General">
                  <c:v>2015</c:v>
                </c:pt>
                <c:pt idx="1">
                  <c:v>42004</c:v>
                </c:pt>
                <c:pt idx="2">
                  <c:v>41639</c:v>
                </c:pt>
                <c:pt idx="3">
                  <c:v>41274</c:v>
                </c:pt>
                <c:pt idx="4">
                  <c:v>40908</c:v>
                </c:pt>
                <c:pt idx="5">
                  <c:v>40543</c:v>
                </c:pt>
                <c:pt idx="6">
                  <c:v>40178</c:v>
                </c:pt>
                <c:pt idx="7">
                  <c:v>39813</c:v>
                </c:pt>
                <c:pt idx="8">
                  <c:v>39447</c:v>
                </c:pt>
                <c:pt idx="9">
                  <c:v>39082</c:v>
                </c:pt>
                <c:pt idx="10">
                  <c:v>38717</c:v>
                </c:pt>
                <c:pt idx="11">
                  <c:v>38352</c:v>
                </c:pt>
                <c:pt idx="12">
                  <c:v>37986</c:v>
                </c:pt>
                <c:pt idx="13">
                  <c:v>37621</c:v>
                </c:pt>
                <c:pt idx="14">
                  <c:v>37256</c:v>
                </c:pt>
                <c:pt idx="15">
                  <c:v>36891</c:v>
                </c:pt>
                <c:pt idx="16">
                  <c:v>36525</c:v>
                </c:pt>
              </c:numCache>
            </c:numRef>
          </c:cat>
          <c:val>
            <c:numRef>
              <c:f>Sheet2!$C$3:$C$19</c:f>
              <c:numCache>
                <c:formatCode>###,###,###,###,##0.00_ </c:formatCode>
                <c:ptCount val="17"/>
                <c:pt idx="0" formatCode="General">
                  <c:v>57889</c:v>
                </c:pt>
                <c:pt idx="1">
                  <c:v>50864</c:v>
                </c:pt>
                <c:pt idx="2">
                  <c:v>50602</c:v>
                </c:pt>
                <c:pt idx="3">
                  <c:v>47787</c:v>
                </c:pt>
                <c:pt idx="4">
                  <c:v>45789</c:v>
                </c:pt>
                <c:pt idx="5">
                  <c:v>42353</c:v>
                </c:pt>
                <c:pt idx="6">
                  <c:v>37706</c:v>
                </c:pt>
                <c:pt idx="7">
                  <c:v>39971</c:v>
                </c:pt>
                <c:pt idx="8">
                  <c:v>38132</c:v>
                </c:pt>
                <c:pt idx="9">
                  <c:v>33938</c:v>
                </c:pt>
                <c:pt idx="10">
                  <c:v>31905</c:v>
                </c:pt>
                <c:pt idx="11">
                  <c:v>29857</c:v>
                </c:pt>
                <c:pt idx="12">
                  <c:v>27986</c:v>
                </c:pt>
                <c:pt idx="13">
                  <c:v>26156</c:v>
                </c:pt>
                <c:pt idx="14">
                  <c:v>24510</c:v>
                </c:pt>
                <c:pt idx="15">
                  <c:v>24657</c:v>
                </c:pt>
                <c:pt idx="16">
                  <c:v>23721</c:v>
                </c:pt>
              </c:numCache>
            </c:numRef>
          </c:val>
        </c:ser>
        <c:ser>
          <c:idx val="1"/>
          <c:order val="1"/>
          <c:tx>
            <c:strRef>
              <c:f>Sheet2!$D$2</c:f>
              <c:strCache>
                <c:ptCount val="1"/>
                <c:pt idx="0">
                  <c:v>中国</c:v>
                </c:pt>
              </c:strCache>
            </c:strRef>
          </c:tx>
          <c:spPr>
            <a:solidFill>
              <a:schemeClr val="accent2"/>
            </a:solidFill>
            <a:ln>
              <a:noFill/>
            </a:ln>
            <a:effectLst/>
          </c:spPr>
          <c:cat>
            <c:numRef>
              <c:f>Sheet2!$B$3:$B$19</c:f>
              <c:numCache>
                <c:formatCode>yyyy;@</c:formatCode>
                <c:ptCount val="17"/>
                <c:pt idx="0" formatCode="General">
                  <c:v>2015</c:v>
                </c:pt>
                <c:pt idx="1">
                  <c:v>42004</c:v>
                </c:pt>
                <c:pt idx="2">
                  <c:v>41639</c:v>
                </c:pt>
                <c:pt idx="3">
                  <c:v>41274</c:v>
                </c:pt>
                <c:pt idx="4">
                  <c:v>40908</c:v>
                </c:pt>
                <c:pt idx="5">
                  <c:v>40543</c:v>
                </c:pt>
                <c:pt idx="6">
                  <c:v>40178</c:v>
                </c:pt>
                <c:pt idx="7">
                  <c:v>39813</c:v>
                </c:pt>
                <c:pt idx="8">
                  <c:v>39447</c:v>
                </c:pt>
                <c:pt idx="9">
                  <c:v>39082</c:v>
                </c:pt>
                <c:pt idx="10">
                  <c:v>38717</c:v>
                </c:pt>
                <c:pt idx="11">
                  <c:v>38352</c:v>
                </c:pt>
                <c:pt idx="12">
                  <c:v>37986</c:v>
                </c:pt>
                <c:pt idx="13">
                  <c:v>37621</c:v>
                </c:pt>
                <c:pt idx="14">
                  <c:v>37256</c:v>
                </c:pt>
                <c:pt idx="15">
                  <c:v>36891</c:v>
                </c:pt>
                <c:pt idx="16">
                  <c:v>36525</c:v>
                </c:pt>
              </c:numCache>
            </c:numRef>
          </c:cat>
          <c:val>
            <c:numRef>
              <c:f>Sheet2!$D$3:$D$19</c:f>
              <c:numCache>
                <c:formatCode>###,###,###,###,##0.00_ </c:formatCode>
                <c:ptCount val="17"/>
                <c:pt idx="0" formatCode="General">
                  <c:v>31410</c:v>
                </c:pt>
                <c:pt idx="1">
                  <c:v>24380</c:v>
                </c:pt>
                <c:pt idx="2">
                  <c:v>21936</c:v>
                </c:pt>
                <c:pt idx="3">
                  <c:v>19754</c:v>
                </c:pt>
                <c:pt idx="4">
                  <c:v>17786</c:v>
                </c:pt>
                <c:pt idx="5">
                  <c:v>16131</c:v>
                </c:pt>
                <c:pt idx="6">
                  <c:v>12964</c:v>
                </c:pt>
                <c:pt idx="7">
                  <c:v>13105</c:v>
                </c:pt>
                <c:pt idx="8">
                  <c:v>12588</c:v>
                </c:pt>
                <c:pt idx="9">
                  <c:v>9349</c:v>
                </c:pt>
                <c:pt idx="10">
                  <c:v>7806</c:v>
                </c:pt>
                <c:pt idx="11">
                  <c:v>6689</c:v>
                </c:pt>
                <c:pt idx="12">
                  <c:v>5547</c:v>
                </c:pt>
                <c:pt idx="13">
                  <c:v>4321</c:v>
                </c:pt>
                <c:pt idx="14">
                  <c:v>3371</c:v>
                </c:pt>
                <c:pt idx="15">
                  <c:v>2794</c:v>
                </c:pt>
                <c:pt idx="16">
                  <c:v>2598</c:v>
                </c:pt>
              </c:numCache>
            </c:numRef>
          </c:val>
        </c:ser>
        <c:gapWidth val="219"/>
        <c:overlap val="-27"/>
        <c:axId val="440245248"/>
        <c:axId val="440304768"/>
      </c:barChart>
      <c:catAx>
        <c:axId val="440245248"/>
        <c:scaling>
          <c:orientation val="maxMin"/>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0304768"/>
        <c:crosses val="autoZero"/>
        <c:auto val="1"/>
        <c:lblAlgn val="ctr"/>
        <c:lblOffset val="100"/>
      </c:catAx>
      <c:valAx>
        <c:axId val="440304768"/>
        <c:scaling>
          <c:orientation val="minMax"/>
          <c:max val="60000"/>
        </c:scaling>
        <c:axPos val="r"/>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0245248"/>
        <c:crosses val="autoZero"/>
        <c:crossBetween val="between"/>
        <c:dispUnits>
          <c:builtInUnit val="thousands"/>
        </c:dispUnits>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中国煤供需平衡表!$C$4</c:f>
              <c:strCache>
                <c:ptCount val="1"/>
                <c:pt idx="0">
                  <c:v>供给量</c:v>
                </c:pt>
              </c:strCache>
            </c:strRef>
          </c:tx>
          <c:spPr>
            <a:solidFill>
              <a:schemeClr val="accent1"/>
            </a:solidFill>
            <a:ln>
              <a:noFill/>
            </a:ln>
            <a:effectLst/>
          </c:spPr>
          <c:cat>
            <c:strRef>
              <c:f>中国煤供需平衡表!$D$3:$I$3</c:f>
              <c:strCache>
                <c:ptCount val="6"/>
                <c:pt idx="0">
                  <c:v>2010</c:v>
                </c:pt>
                <c:pt idx="1">
                  <c:v>2011</c:v>
                </c:pt>
                <c:pt idx="2">
                  <c:v>2012</c:v>
                </c:pt>
                <c:pt idx="3">
                  <c:v>2013</c:v>
                </c:pt>
                <c:pt idx="4">
                  <c:v>2014</c:v>
                </c:pt>
                <c:pt idx="5">
                  <c:v>2015E</c:v>
                </c:pt>
              </c:strCache>
            </c:strRef>
          </c:cat>
          <c:val>
            <c:numRef>
              <c:f>中国煤供需平衡表!$D$4:$I$4</c:f>
              <c:numCache>
                <c:formatCode>General</c:formatCode>
                <c:ptCount val="6"/>
                <c:pt idx="0">
                  <c:v>34.82</c:v>
                </c:pt>
                <c:pt idx="1">
                  <c:v>38.42</c:v>
                </c:pt>
                <c:pt idx="2">
                  <c:v>40.660000000000011</c:v>
                </c:pt>
                <c:pt idx="3">
                  <c:v>43.74</c:v>
                </c:pt>
                <c:pt idx="4">
                  <c:v>44.98</c:v>
                </c:pt>
                <c:pt idx="5">
                  <c:v>43.85</c:v>
                </c:pt>
              </c:numCache>
            </c:numRef>
          </c:val>
        </c:ser>
        <c:ser>
          <c:idx val="1"/>
          <c:order val="1"/>
          <c:tx>
            <c:strRef>
              <c:f>中国煤供需平衡表!$C$5</c:f>
              <c:strCache>
                <c:ptCount val="1"/>
                <c:pt idx="0">
                  <c:v>需求量</c:v>
                </c:pt>
              </c:strCache>
            </c:strRef>
          </c:tx>
          <c:spPr>
            <a:solidFill>
              <a:schemeClr val="accent2"/>
            </a:solidFill>
            <a:ln>
              <a:noFill/>
            </a:ln>
            <a:effectLst/>
          </c:spPr>
          <c:cat>
            <c:strRef>
              <c:f>中国煤供需平衡表!$D$3:$I$3</c:f>
              <c:strCache>
                <c:ptCount val="6"/>
                <c:pt idx="0">
                  <c:v>2010</c:v>
                </c:pt>
                <c:pt idx="1">
                  <c:v>2011</c:v>
                </c:pt>
                <c:pt idx="2">
                  <c:v>2012</c:v>
                </c:pt>
                <c:pt idx="3">
                  <c:v>2013</c:v>
                </c:pt>
                <c:pt idx="4">
                  <c:v>2014</c:v>
                </c:pt>
                <c:pt idx="5">
                  <c:v>2015E</c:v>
                </c:pt>
              </c:strCache>
            </c:strRef>
          </c:cat>
          <c:val>
            <c:numRef>
              <c:f>中国煤供需平衡表!$D$5:$I$5</c:f>
              <c:numCache>
                <c:formatCode>General</c:formatCode>
                <c:ptCount val="6"/>
                <c:pt idx="0">
                  <c:v>30.17</c:v>
                </c:pt>
                <c:pt idx="1">
                  <c:v>33.97</c:v>
                </c:pt>
                <c:pt idx="2">
                  <c:v>35.9</c:v>
                </c:pt>
                <c:pt idx="3">
                  <c:v>37.950000000000003</c:v>
                </c:pt>
                <c:pt idx="4">
                  <c:v>38.11</c:v>
                </c:pt>
                <c:pt idx="5">
                  <c:v>36.590000000000003</c:v>
                </c:pt>
              </c:numCache>
            </c:numRef>
          </c:val>
        </c:ser>
        <c:axId val="473098496"/>
        <c:axId val="473224704"/>
      </c:barChart>
      <c:lineChart>
        <c:grouping val="stacked"/>
        <c:ser>
          <c:idx val="2"/>
          <c:order val="2"/>
          <c:tx>
            <c:strRef>
              <c:f>中国煤供需平衡表!$C$6</c:f>
              <c:strCache>
                <c:ptCount val="1"/>
                <c:pt idx="0">
                  <c:v>供需差</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中国煤供需平衡表!$D$3:$H$3</c:f>
              <c:numCache>
                <c:formatCode>General</c:formatCode>
                <c:ptCount val="5"/>
                <c:pt idx="0">
                  <c:v>2010</c:v>
                </c:pt>
                <c:pt idx="1">
                  <c:v>2011</c:v>
                </c:pt>
                <c:pt idx="2">
                  <c:v>2012</c:v>
                </c:pt>
                <c:pt idx="3">
                  <c:v>2013</c:v>
                </c:pt>
                <c:pt idx="4">
                  <c:v>2014</c:v>
                </c:pt>
              </c:numCache>
            </c:numRef>
          </c:cat>
          <c:val>
            <c:numRef>
              <c:f>中国煤供需平衡表!$D$6:$I$6</c:f>
              <c:numCache>
                <c:formatCode>General</c:formatCode>
                <c:ptCount val="6"/>
                <c:pt idx="0">
                  <c:v>1</c:v>
                </c:pt>
                <c:pt idx="1">
                  <c:v>1.28</c:v>
                </c:pt>
                <c:pt idx="2">
                  <c:v>1.8</c:v>
                </c:pt>
                <c:pt idx="3">
                  <c:v>3.32</c:v>
                </c:pt>
                <c:pt idx="4">
                  <c:v>4</c:v>
                </c:pt>
                <c:pt idx="5">
                  <c:v>4.1599999999999975</c:v>
                </c:pt>
              </c:numCache>
            </c:numRef>
          </c:val>
        </c:ser>
        <c:marker val="1"/>
        <c:axId val="474454656"/>
        <c:axId val="474324352"/>
      </c:lineChart>
      <c:catAx>
        <c:axId val="473098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zh-CN"/>
          </a:p>
        </c:txPr>
        <c:crossAx val="473224704"/>
        <c:crosses val="autoZero"/>
        <c:auto val="1"/>
        <c:lblAlgn val="ctr"/>
        <c:lblOffset val="100"/>
      </c:catAx>
      <c:valAx>
        <c:axId val="473224704"/>
        <c:scaling>
          <c:orientation val="minMax"/>
          <c:min val="20"/>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3098496"/>
        <c:crosses val="autoZero"/>
        <c:crossBetween val="between"/>
      </c:valAx>
      <c:valAx>
        <c:axId val="474324352"/>
        <c:scaling>
          <c:orientation val="minMax"/>
          <c:max val="6"/>
        </c:scaling>
        <c:axPos val="r"/>
        <c:numFmt formatCode="General" sourceLinked="1"/>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454656"/>
        <c:crosses val="max"/>
        <c:crossBetween val="between"/>
        <c:majorUnit val="1"/>
      </c:valAx>
      <c:catAx>
        <c:axId val="474454656"/>
        <c:scaling>
          <c:orientation val="minMax"/>
        </c:scaling>
        <c:delete val="1"/>
        <c:axPos val="b"/>
        <c:numFmt formatCode="General" sourceLinked="1"/>
        <c:tickLblPos val="none"/>
        <c:crossAx val="474324352"/>
        <c:crosses val="autoZero"/>
        <c:auto val="1"/>
        <c:lblAlgn val="ctr"/>
        <c:lblOffset val="100"/>
      </c:cat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lt1"/>
    </a:solidFill>
    <a:ln w="9525" cap="flat" cmpd="sng" algn="ctr">
      <a:noFill/>
      <a:round/>
    </a:ln>
    <a:effectLst/>
  </c:spPr>
  <c:txPr>
    <a:bodyPr/>
    <a:lstStyle/>
    <a:p>
      <a:pPr>
        <a:defRPr/>
      </a:pPr>
      <a:endParaRPr lang="zh-CN"/>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82087255379719E-2"/>
          <c:y val="7.9623597538907034E-2"/>
          <c:w val="0.89700035052621652"/>
          <c:h val="0.76065043986765501"/>
        </c:manualLayout>
      </c:layout>
      <c:lineChart>
        <c:grouping val="stacked"/>
        <c:ser>
          <c:idx val="0"/>
          <c:order val="0"/>
          <c:tx>
            <c:strRef>
              <c:f>Wind资讯!$I$1</c:f>
              <c:strCache>
                <c:ptCount val="1"/>
                <c:pt idx="0">
                  <c:v>资产负债率</c:v>
                </c:pt>
              </c:strCache>
            </c:strRef>
          </c:tx>
          <c:spPr>
            <a:ln w="28575" cap="rnd">
              <a:solidFill>
                <a:schemeClr val="accent1"/>
              </a:solidFill>
              <a:round/>
            </a:ln>
            <a:effectLst/>
          </c:spPr>
          <c:marker>
            <c:symbol val="none"/>
          </c:marker>
          <c:cat>
            <c:strRef>
              <c:f>Wind资讯!$A$2:$A$8</c:f>
              <c:strCache>
                <c:ptCount val="7"/>
                <c:pt idx="0">
                  <c:v>2009H1</c:v>
                </c:pt>
                <c:pt idx="1">
                  <c:v>2010H1</c:v>
                </c:pt>
                <c:pt idx="2">
                  <c:v>2011H1</c:v>
                </c:pt>
                <c:pt idx="3">
                  <c:v>2012H1</c:v>
                </c:pt>
                <c:pt idx="4">
                  <c:v>2013H1</c:v>
                </c:pt>
                <c:pt idx="5">
                  <c:v>2014H1</c:v>
                </c:pt>
                <c:pt idx="6">
                  <c:v>2015H1</c:v>
                </c:pt>
              </c:strCache>
            </c:strRef>
          </c:cat>
          <c:val>
            <c:numRef>
              <c:f>Wind资讯!$I$2:$I$8</c:f>
              <c:numCache>
                <c:formatCode>General</c:formatCode>
                <c:ptCount val="7"/>
                <c:pt idx="0">
                  <c:v>39.07</c:v>
                </c:pt>
                <c:pt idx="1">
                  <c:v>44.190000000000012</c:v>
                </c:pt>
                <c:pt idx="2">
                  <c:v>45.47</c:v>
                </c:pt>
                <c:pt idx="3">
                  <c:v>45.28</c:v>
                </c:pt>
                <c:pt idx="4">
                  <c:v>47.5</c:v>
                </c:pt>
                <c:pt idx="5">
                  <c:v>51.63</c:v>
                </c:pt>
                <c:pt idx="6">
                  <c:v>52.82</c:v>
                </c:pt>
              </c:numCache>
            </c:numRef>
          </c:val>
        </c:ser>
        <c:marker val="1"/>
        <c:axId val="466344960"/>
        <c:axId val="466522880"/>
      </c:lineChart>
      <c:catAx>
        <c:axId val="466344960"/>
        <c:scaling>
          <c:orientation val="minMax"/>
        </c:scaling>
        <c:axPos val="b"/>
        <c:numFmt formatCode="General" sourceLinked="1"/>
        <c:maj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66522880"/>
        <c:crosses val="autoZero"/>
        <c:auto val="1"/>
        <c:lblAlgn val="ctr"/>
        <c:lblOffset val="100"/>
      </c:catAx>
      <c:valAx>
        <c:axId val="466522880"/>
        <c:scaling>
          <c:orientation val="minMax"/>
          <c:min val="30"/>
        </c:scaling>
        <c:axPos val="l"/>
        <c:numFmt formatCode="General" sourceLinked="1"/>
        <c:majorTickMark val="in"/>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344960"/>
        <c:crosses val="autoZero"/>
        <c:crossBetween val="between"/>
      </c:valAx>
      <c:spPr>
        <a:noFill/>
        <a:ln>
          <a:noFill/>
        </a:ln>
        <a:effectLst/>
      </c:spPr>
    </c:plotArea>
    <c:legend>
      <c:legendPos val="r"/>
      <c:layout>
        <c:manualLayout>
          <c:xMode val="edge"/>
          <c:yMode val="edge"/>
          <c:x val="0.31666666666666743"/>
          <c:y val="4.4270559930008724E-2"/>
          <c:w val="0.41680234596082738"/>
          <c:h val="7.812554680664918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noFill/>
      <a:round/>
    </a:ln>
    <a:effectLst/>
  </c:spPr>
  <c:txPr>
    <a:bodyPr/>
    <a:lstStyle/>
    <a:p>
      <a:pPr>
        <a:defRPr/>
      </a:pPr>
      <a:endParaRPr lang="zh-CN"/>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layout>
        <c:manualLayout>
          <c:xMode val="edge"/>
          <c:yMode val="edge"/>
          <c:x val="0.23838210777398752"/>
          <c:y val="2.1715526601520086E-2"/>
        </c:manualLayout>
      </c:layout>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zh-CN"/>
        </a:p>
      </c:txPr>
    </c:title>
    <c:plotArea>
      <c:layout>
        <c:manualLayout>
          <c:layoutTarget val="inner"/>
          <c:xMode val="edge"/>
          <c:yMode val="edge"/>
          <c:x val="0.11204835551907785"/>
          <c:y val="6.2975027144408363E-2"/>
          <c:w val="0.87163832533962571"/>
          <c:h val="0.77729901026215531"/>
        </c:manualLayout>
      </c:layout>
      <c:lineChart>
        <c:grouping val="standard"/>
        <c:ser>
          <c:idx val="0"/>
          <c:order val="0"/>
          <c:tx>
            <c:strRef>
              <c:f>Wind资讯!$J$1</c:f>
              <c:strCache>
                <c:ptCount val="1"/>
                <c:pt idx="0">
                  <c:v>经营活动产生的现金流量净额/负债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Wind资讯!$A$2:$A$8</c:f>
              <c:strCache>
                <c:ptCount val="7"/>
                <c:pt idx="0">
                  <c:v>2009H1</c:v>
                </c:pt>
                <c:pt idx="1">
                  <c:v>2010H1</c:v>
                </c:pt>
                <c:pt idx="2">
                  <c:v>2011H1</c:v>
                </c:pt>
                <c:pt idx="3">
                  <c:v>2012H1</c:v>
                </c:pt>
                <c:pt idx="4">
                  <c:v>2013H1</c:v>
                </c:pt>
                <c:pt idx="5">
                  <c:v>2014H1</c:v>
                </c:pt>
                <c:pt idx="6">
                  <c:v>2015H1</c:v>
                </c:pt>
              </c:strCache>
            </c:strRef>
          </c:cat>
          <c:val>
            <c:numRef>
              <c:f>Wind资讯!$J$2:$J$8</c:f>
              <c:numCache>
                <c:formatCode>General</c:formatCode>
                <c:ptCount val="7"/>
                <c:pt idx="0">
                  <c:v>0.20790000000000025</c:v>
                </c:pt>
                <c:pt idx="1">
                  <c:v>0.15100000000000022</c:v>
                </c:pt>
                <c:pt idx="2">
                  <c:v>0.2031</c:v>
                </c:pt>
                <c:pt idx="3">
                  <c:v>0.1124</c:v>
                </c:pt>
                <c:pt idx="4">
                  <c:v>0.05</c:v>
                </c:pt>
                <c:pt idx="5">
                  <c:v>4.5800000000000014E-2</c:v>
                </c:pt>
                <c:pt idx="6">
                  <c:v>3.4500000000000003E-2</c:v>
                </c:pt>
              </c:numCache>
            </c:numRef>
          </c:val>
        </c:ser>
        <c:marker val="1"/>
        <c:axId val="466587008"/>
        <c:axId val="466605568"/>
      </c:lineChart>
      <c:catAx>
        <c:axId val="466587008"/>
        <c:scaling>
          <c:orientation val="minMax"/>
        </c:scaling>
        <c:axPos val="b"/>
        <c:numFmt formatCode="General" sourceLinked="1"/>
        <c:maj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66605568"/>
        <c:crosses val="autoZero"/>
        <c:auto val="1"/>
        <c:lblAlgn val="ctr"/>
        <c:lblOffset val="100"/>
      </c:catAx>
      <c:valAx>
        <c:axId val="466605568"/>
        <c:scaling>
          <c:orientation val="minMax"/>
        </c:scaling>
        <c:axPos val="l"/>
        <c:numFmt formatCode="General" sourceLinked="1"/>
        <c:majorTickMark val="in"/>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58700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dLbl>
              <c:idx val="0"/>
              <c:layout>
                <c:manualLayout>
                  <c:x val="3.4232188367758293E-2"/>
                  <c:y val="3.090855303901617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BC0647C-A846-41B7-8563-58E9E288793C}" type="CATEGORYNAME">
                      <a:rPr lang="zh-CN" altLang="en-US"/>
                      <a:pPr>
                        <a:defRPr sz="900" b="0" i="0" u="none" strike="noStrike" kern="1200" baseline="0">
                          <a:solidFill>
                            <a:schemeClr val="tx1">
                              <a:lumMod val="75000"/>
                              <a:lumOff val="25000"/>
                            </a:schemeClr>
                          </a:solidFill>
                          <a:latin typeface="+mn-lt"/>
                          <a:ea typeface="+mn-ea"/>
                          <a:cs typeface="+mn-cs"/>
                        </a:defRPr>
                      </a:pPr>
                      <a:t>[类别名称]</a:t>
                    </a:fld>
                    <a:r>
                      <a:rPr lang="en-US" altLang="zh-CN" sz="800" b="0" i="0" u="none" strike="noStrike" kern="1200" baseline="0">
                        <a:solidFill>
                          <a:sysClr val="windowText" lastClr="000000">
                            <a:lumMod val="75000"/>
                            <a:lumOff val="25000"/>
                          </a:sysClr>
                        </a:solidFill>
                      </a:rPr>
                      <a:t>,</a:t>
                    </a:r>
                  </a:p>
                </c:rich>
              </c:tx>
              <c:spPr>
                <a:noFill/>
                <a:ln>
                  <a:noFill/>
                </a:ln>
                <a:effectLst/>
              </c:spPr>
              <c:showVal val="1"/>
              <c:showCatName val="1"/>
              <c:extLst>
                <c:ext xmlns:c15="http://schemas.microsoft.com/office/drawing/2012/chart" uri="{CE6537A1-D6FC-4f65-9D91-7224C49458BB}">
                  <c15:layout>
                    <c:manualLayout>
                      <c:w val="0.24780212256076686"/>
                      <c:h val="0.53019662921348309"/>
                    </c:manualLayout>
                  </c15:layout>
                  <c15:dlblFieldTable/>
                  <c15:showDataLabelsRange val="0"/>
                </c:ext>
              </c:extLst>
            </c:dLbl>
            <c:dLbl>
              <c:idx val="1"/>
              <c:layout>
                <c:manualLayout>
                  <c:x val="-5.9777340332458483E-2"/>
                  <c:y val="-0.18951151939340921"/>
                </c:manualLayout>
              </c:layout>
              <c:tx>
                <c:rich>
                  <a:bodyPr/>
                  <a:lstStyle/>
                  <a:p>
                    <a:fld id="{671D31A9-3405-4A56-A1A8-AF7D802F8961}" type="CATEGORYNAME">
                      <a:rPr lang="zh-CN" altLang="en-US"/>
                      <a:pPr/>
                      <a:t>[类别名称]</a:t>
                    </a:fld>
                    <a:r>
                      <a:rPr lang="en-US" altLang="zh-CN" baseline="0"/>
                      <a:t>, </a:t>
                    </a:r>
                    <a:fld id="{7CAE0974-5676-492B-931E-CB158797C111}" type="VALUE">
                      <a:rPr lang="en-US" altLang="zh-CN" baseline="0"/>
                      <a:pPr/>
                      <a:t>[值]</a:t>
                    </a:fld>
                    <a:r>
                      <a:rPr lang="zh-CN" altLang="en-US" baseline="0"/>
                      <a:t>亿</a:t>
                    </a:r>
                  </a:p>
                </c:rich>
              </c:tx>
              <c:showVal val="1"/>
              <c:showCatName val="1"/>
              <c:extLst>
                <c:ext xmlns:c15="http://schemas.microsoft.com/office/drawing/2012/chart" uri="{CE6537A1-D6FC-4f65-9D91-7224C49458BB}">
                  <c15:dlblFieldTable/>
                  <c15:showDataLabelsRange val="0"/>
                </c:ext>
              </c:extLst>
            </c:dLbl>
            <c:dLbl>
              <c:idx val="2"/>
              <c:layout>
                <c:manualLayout>
                  <c:x val="-0.11814434520812779"/>
                  <c:y val="5.2667462243023806E-3"/>
                </c:manualLayout>
              </c:layout>
              <c:tx>
                <c:rich>
                  <a:bodyPr/>
                  <a:lstStyle/>
                  <a:p>
                    <a:fld id="{2B6DAD0F-3B18-441A-95A9-148E36954563}" type="CATEGORYNAME">
                      <a:rPr lang="zh-CN" altLang="en-US"/>
                      <a:pPr/>
                      <a:t>[类别名称]</a:t>
                    </a:fld>
                    <a:r>
                      <a:rPr lang="en-US" altLang="zh-CN" baseline="0"/>
                      <a:t>, </a:t>
                    </a:r>
                    <a:fld id="{FA773062-8D99-4A41-95D1-20703F96796C}" type="VALUE">
                      <a:rPr lang="en-US" altLang="zh-CN" baseline="0"/>
                      <a:pPr/>
                      <a:t>[值]</a:t>
                    </a:fld>
                    <a:r>
                      <a:rPr lang="zh-CN" altLang="en-US" baseline="0"/>
                      <a:t>亿</a:t>
                    </a:r>
                  </a:p>
                </c:rich>
              </c:tx>
              <c:showVal val="1"/>
              <c:showCatName val="1"/>
              <c:extLst>
                <c:ext xmlns:c15="http://schemas.microsoft.com/office/drawing/2012/chart" uri="{CE6537A1-D6FC-4f65-9D91-7224C49458BB}">
                  <c15:layout>
                    <c:manualLayout>
                      <c:w val="0.28545044001852704"/>
                      <c:h val="0.2633424812126496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产能结构!$D$3:$D$5</c:f>
              <c:strCache>
                <c:ptCount val="3"/>
                <c:pt idx="0">
                  <c:v>新建改建煤矿14.96亿，其中约8亿吨属于未经核准的违规项目</c:v>
                </c:pt>
                <c:pt idx="1">
                  <c:v>正常生产及改造煤矿</c:v>
                </c:pt>
                <c:pt idx="2">
                  <c:v>停产煤矿</c:v>
                </c:pt>
              </c:strCache>
            </c:strRef>
          </c:cat>
          <c:val>
            <c:numRef>
              <c:f>产能结构!$E$3:$E$5</c:f>
              <c:numCache>
                <c:formatCode>General</c:formatCode>
                <c:ptCount val="3"/>
                <c:pt idx="0">
                  <c:v>14.96</c:v>
                </c:pt>
                <c:pt idx="1">
                  <c:v>39</c:v>
                </c:pt>
                <c:pt idx="2">
                  <c:v>3.08</c:v>
                </c:pt>
              </c:numCache>
            </c:numRef>
          </c:val>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lineChart>
        <c:grouping val="standard"/>
        <c:ser>
          <c:idx val="0"/>
          <c:order val="0"/>
          <c:dPt>
            <c:idx val="8"/>
            <c:marker>
              <c:spPr>
                <a:solidFill>
                  <a:schemeClr val="accent2">
                    <a:lumMod val="75000"/>
                  </a:schemeClr>
                </a:solidFill>
              </c:spPr>
            </c:marker>
          </c:dPt>
          <c:dPt>
            <c:idx val="24"/>
            <c:marker>
              <c:spPr>
                <a:solidFill>
                  <a:schemeClr val="accent2">
                    <a:lumMod val="75000"/>
                  </a:schemeClr>
                </a:solidFill>
              </c:spPr>
            </c:marker>
          </c:dPt>
          <c:dLbls>
            <c:dLbl>
              <c:idx val="8"/>
              <c:dLblPos val="b"/>
              <c:showVal val="1"/>
              <c:extLst>
                <c:ext xmlns:c15="http://schemas.microsoft.com/office/drawing/2012/chart" uri="{CE6537A1-D6FC-4f65-9D91-7224C49458BB}"/>
              </c:extLst>
            </c:dLbl>
            <c:dLbl>
              <c:idx val="24"/>
              <c:dLblPos val="b"/>
              <c:showVal val="1"/>
              <c:extLst>
                <c:ext xmlns:c15="http://schemas.microsoft.com/office/drawing/2012/chart" uri="{CE6537A1-D6FC-4f65-9D91-7224C49458BB}"/>
              </c:extLst>
            </c:dLbl>
            <c:delete val="1"/>
            <c:numFmt formatCode="0.00%" sourceLinked="0"/>
            <c:spPr>
              <a:noFill/>
              <a:ln>
                <a:noFill/>
              </a:ln>
              <a:effectLst/>
            </c:spPr>
            <c:extLst>
              <c:ext xmlns:c15="http://schemas.microsoft.com/office/drawing/2012/chart" uri="{CE6537A1-D6FC-4f65-9D91-7224C49458BB}">
                <c15:showLeaderLines val="0"/>
              </c:ext>
            </c:extLst>
          </c:dLbls>
          <c:cat>
            <c:numRef>
              <c:f>Sheet1!$S$68:$S$92</c:f>
              <c:numCache>
                <c:formatCode>yyyy;@</c:formatCode>
                <c:ptCount val="25"/>
                <c:pt idx="0">
                  <c:v>33603</c:v>
                </c:pt>
                <c:pt idx="1">
                  <c:v>33969</c:v>
                </c:pt>
                <c:pt idx="2">
                  <c:v>34334</c:v>
                </c:pt>
                <c:pt idx="3">
                  <c:v>34699</c:v>
                </c:pt>
                <c:pt idx="4">
                  <c:v>35064</c:v>
                </c:pt>
                <c:pt idx="5">
                  <c:v>35430</c:v>
                </c:pt>
                <c:pt idx="6">
                  <c:v>35795</c:v>
                </c:pt>
                <c:pt idx="7">
                  <c:v>36160</c:v>
                </c:pt>
                <c:pt idx="8">
                  <c:v>36525</c:v>
                </c:pt>
                <c:pt idx="9">
                  <c:v>36891</c:v>
                </c:pt>
                <c:pt idx="10">
                  <c:v>37256</c:v>
                </c:pt>
                <c:pt idx="11">
                  <c:v>37621</c:v>
                </c:pt>
                <c:pt idx="12">
                  <c:v>37986</c:v>
                </c:pt>
                <c:pt idx="13">
                  <c:v>38352</c:v>
                </c:pt>
                <c:pt idx="14">
                  <c:v>38717</c:v>
                </c:pt>
                <c:pt idx="15">
                  <c:v>39082</c:v>
                </c:pt>
                <c:pt idx="16">
                  <c:v>39447</c:v>
                </c:pt>
                <c:pt idx="17">
                  <c:v>39813</c:v>
                </c:pt>
                <c:pt idx="18">
                  <c:v>40178</c:v>
                </c:pt>
                <c:pt idx="19">
                  <c:v>40543</c:v>
                </c:pt>
                <c:pt idx="20">
                  <c:v>40908</c:v>
                </c:pt>
                <c:pt idx="21">
                  <c:v>41274</c:v>
                </c:pt>
                <c:pt idx="22">
                  <c:v>41639</c:v>
                </c:pt>
                <c:pt idx="23">
                  <c:v>42004</c:v>
                </c:pt>
                <c:pt idx="24">
                  <c:v>42369</c:v>
                </c:pt>
              </c:numCache>
            </c:numRef>
          </c:cat>
          <c:val>
            <c:numRef>
              <c:f>Sheet1!$T$68:$T$92</c:f>
              <c:numCache>
                <c:formatCode>General</c:formatCode>
                <c:ptCount val="25"/>
                <c:pt idx="0">
                  <c:v>9.3000000000000208E-2</c:v>
                </c:pt>
                <c:pt idx="1">
                  <c:v>0.14300000000000004</c:v>
                </c:pt>
                <c:pt idx="2">
                  <c:v>0.13900000000000001</c:v>
                </c:pt>
                <c:pt idx="3">
                  <c:v>0.13100000000000001</c:v>
                </c:pt>
                <c:pt idx="4">
                  <c:v>0.11</c:v>
                </c:pt>
                <c:pt idx="5">
                  <c:v>9.9000000000000046E-2</c:v>
                </c:pt>
                <c:pt idx="6">
                  <c:v>9.2000000000000026E-2</c:v>
                </c:pt>
                <c:pt idx="7">
                  <c:v>7.8000000000000014E-2</c:v>
                </c:pt>
                <c:pt idx="8">
                  <c:v>7.5999999999999998E-2</c:v>
                </c:pt>
                <c:pt idx="9">
                  <c:v>8.4000000000000047E-2</c:v>
                </c:pt>
                <c:pt idx="10">
                  <c:v>8.3000000000000046E-2</c:v>
                </c:pt>
                <c:pt idx="11">
                  <c:v>9.1000000000000025E-2</c:v>
                </c:pt>
                <c:pt idx="12">
                  <c:v>0.1</c:v>
                </c:pt>
                <c:pt idx="13">
                  <c:v>0.10099999999999998</c:v>
                </c:pt>
                <c:pt idx="14">
                  <c:v>0.113</c:v>
                </c:pt>
                <c:pt idx="15">
                  <c:v>0.127</c:v>
                </c:pt>
                <c:pt idx="16">
                  <c:v>0.14200000000000004</c:v>
                </c:pt>
                <c:pt idx="17">
                  <c:v>9.6000000000000002E-2</c:v>
                </c:pt>
                <c:pt idx="18">
                  <c:v>9.2000000000000026E-2</c:v>
                </c:pt>
                <c:pt idx="19">
                  <c:v>0.10600000000000002</c:v>
                </c:pt>
                <c:pt idx="20">
                  <c:v>9.5000000000000043E-2</c:v>
                </c:pt>
                <c:pt idx="21">
                  <c:v>7.6999999999999999E-2</c:v>
                </c:pt>
                <c:pt idx="22">
                  <c:v>7.6999999999999999E-2</c:v>
                </c:pt>
                <c:pt idx="23">
                  <c:v>7.3000000000000009E-2</c:v>
                </c:pt>
                <c:pt idx="24">
                  <c:v>6.9000000000000034E-2</c:v>
                </c:pt>
              </c:numCache>
            </c:numRef>
          </c:val>
        </c:ser>
        <c:marker val="1"/>
        <c:axId val="466674048"/>
        <c:axId val="466675584"/>
      </c:lineChart>
      <c:dateAx>
        <c:axId val="466674048"/>
        <c:scaling>
          <c:orientation val="minMax"/>
        </c:scaling>
        <c:axPos val="b"/>
        <c:numFmt formatCode="yyyy;@" sourceLinked="1"/>
        <c:tickLblPos val="nextTo"/>
        <c:crossAx val="466675584"/>
        <c:crosses val="autoZero"/>
        <c:auto val="1"/>
        <c:lblOffset val="100"/>
        <c:baseTimeUnit val="years"/>
      </c:dateAx>
      <c:valAx>
        <c:axId val="466675584"/>
        <c:scaling>
          <c:orientation val="minMax"/>
        </c:scaling>
        <c:axPos val="l"/>
        <c:numFmt formatCode="0%" sourceLinked="0"/>
        <c:tickLblPos val="nextTo"/>
        <c:crossAx val="466674048"/>
        <c:crosses val="autoZero"/>
        <c:crossBetween val="between"/>
      </c:valAx>
    </c:plotArea>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barChart>
        <c:barDir val="col"/>
        <c:grouping val="clustered"/>
        <c:ser>
          <c:idx val="0"/>
          <c:order val="0"/>
          <c:tx>
            <c:strRef>
              <c:f>水泥工业概述!$R$23</c:f>
              <c:strCache>
                <c:ptCount val="1"/>
                <c:pt idx="0">
                  <c:v>水泥产量（亿吨）</c:v>
                </c:pt>
              </c:strCache>
            </c:strRef>
          </c:tx>
          <c:cat>
            <c:numRef>
              <c:f>水泥工业概述!$Q$24:$Q$48</c:f>
              <c:numCache>
                <c:formatCode>yyyy;@</c:formatCode>
                <c:ptCount val="25"/>
                <c:pt idx="0">
                  <c:v>33603</c:v>
                </c:pt>
                <c:pt idx="1">
                  <c:v>33969</c:v>
                </c:pt>
                <c:pt idx="2">
                  <c:v>34334</c:v>
                </c:pt>
                <c:pt idx="3">
                  <c:v>34699</c:v>
                </c:pt>
                <c:pt idx="4">
                  <c:v>35064</c:v>
                </c:pt>
                <c:pt idx="5">
                  <c:v>35430</c:v>
                </c:pt>
                <c:pt idx="6">
                  <c:v>35795</c:v>
                </c:pt>
                <c:pt idx="7">
                  <c:v>36160</c:v>
                </c:pt>
                <c:pt idx="8">
                  <c:v>36525</c:v>
                </c:pt>
                <c:pt idx="9">
                  <c:v>36891</c:v>
                </c:pt>
                <c:pt idx="10">
                  <c:v>37256</c:v>
                </c:pt>
                <c:pt idx="11">
                  <c:v>37621</c:v>
                </c:pt>
                <c:pt idx="12">
                  <c:v>37986</c:v>
                </c:pt>
                <c:pt idx="13">
                  <c:v>38352</c:v>
                </c:pt>
                <c:pt idx="14">
                  <c:v>38717</c:v>
                </c:pt>
                <c:pt idx="15">
                  <c:v>39082</c:v>
                </c:pt>
                <c:pt idx="16">
                  <c:v>39447</c:v>
                </c:pt>
                <c:pt idx="17">
                  <c:v>39813</c:v>
                </c:pt>
                <c:pt idx="18">
                  <c:v>40178</c:v>
                </c:pt>
                <c:pt idx="19">
                  <c:v>40543</c:v>
                </c:pt>
                <c:pt idx="20">
                  <c:v>40908</c:v>
                </c:pt>
                <c:pt idx="21">
                  <c:v>41274</c:v>
                </c:pt>
                <c:pt idx="22">
                  <c:v>41639</c:v>
                </c:pt>
                <c:pt idx="23">
                  <c:v>42004</c:v>
                </c:pt>
                <c:pt idx="24">
                  <c:v>42369</c:v>
                </c:pt>
              </c:numCache>
            </c:numRef>
          </c:cat>
          <c:val>
            <c:numRef>
              <c:f>水泥工业概述!$R$24:$R$48</c:f>
              <c:numCache>
                <c:formatCode>General</c:formatCode>
                <c:ptCount val="25"/>
                <c:pt idx="0">
                  <c:v>2.5261</c:v>
                </c:pt>
                <c:pt idx="1">
                  <c:v>3.0821999999999998</c:v>
                </c:pt>
                <c:pt idx="2">
                  <c:v>3.6787999999999998</c:v>
                </c:pt>
                <c:pt idx="3">
                  <c:v>4.2118000000000002</c:v>
                </c:pt>
                <c:pt idx="4">
                  <c:v>4.7560589999999996</c:v>
                </c:pt>
                <c:pt idx="5">
                  <c:v>4.9118900000000014</c:v>
                </c:pt>
                <c:pt idx="6">
                  <c:v>5.1173799999999945</c:v>
                </c:pt>
                <c:pt idx="7">
                  <c:v>5.3599999999999985</c:v>
                </c:pt>
                <c:pt idx="8">
                  <c:v>5.73</c:v>
                </c:pt>
                <c:pt idx="9">
                  <c:v>5.9700000000000024</c:v>
                </c:pt>
                <c:pt idx="10">
                  <c:v>6.6103990000000001</c:v>
                </c:pt>
                <c:pt idx="11">
                  <c:v>7.25</c:v>
                </c:pt>
                <c:pt idx="12">
                  <c:v>8.6208109999999998</c:v>
                </c:pt>
                <c:pt idx="13">
                  <c:v>9.6681990000000013</c:v>
                </c:pt>
                <c:pt idx="14">
                  <c:v>10.688478999999999</c:v>
                </c:pt>
                <c:pt idx="15">
                  <c:v>12.367648000000004</c:v>
                </c:pt>
                <c:pt idx="16">
                  <c:v>13.611725</c:v>
                </c:pt>
                <c:pt idx="17">
                  <c:v>14.235573</c:v>
                </c:pt>
                <c:pt idx="18">
                  <c:v>16.439778</c:v>
                </c:pt>
                <c:pt idx="19">
                  <c:v>18.819117000000031</c:v>
                </c:pt>
                <c:pt idx="20">
                  <c:v>20.992585999999989</c:v>
                </c:pt>
                <c:pt idx="21">
                  <c:v>22.098407999999989</c:v>
                </c:pt>
                <c:pt idx="22">
                  <c:v>24.192389000000002</c:v>
                </c:pt>
                <c:pt idx="23">
                  <c:v>24.920707999999955</c:v>
                </c:pt>
                <c:pt idx="24">
                  <c:v>23.479599999999959</c:v>
                </c:pt>
              </c:numCache>
            </c:numRef>
          </c:val>
        </c:ser>
        <c:axId val="466811520"/>
        <c:axId val="466899328"/>
      </c:barChart>
      <c:lineChart>
        <c:grouping val="standard"/>
        <c:ser>
          <c:idx val="1"/>
          <c:order val="1"/>
          <c:tx>
            <c:strRef>
              <c:f>水泥工业概述!$S$23</c:f>
              <c:strCache>
                <c:ptCount val="1"/>
                <c:pt idx="0">
                  <c:v>增速（右轴）</c:v>
                </c:pt>
              </c:strCache>
            </c:strRef>
          </c:tx>
          <c:marker>
            <c:symbol val="none"/>
          </c:marker>
          <c:cat>
            <c:numRef>
              <c:f>水泥工业概述!$Q$24:$Q$48</c:f>
              <c:numCache>
                <c:formatCode>yyyy;@</c:formatCode>
                <c:ptCount val="25"/>
                <c:pt idx="0">
                  <c:v>33603</c:v>
                </c:pt>
                <c:pt idx="1">
                  <c:v>33969</c:v>
                </c:pt>
                <c:pt idx="2">
                  <c:v>34334</c:v>
                </c:pt>
                <c:pt idx="3">
                  <c:v>34699</c:v>
                </c:pt>
                <c:pt idx="4">
                  <c:v>35064</c:v>
                </c:pt>
                <c:pt idx="5">
                  <c:v>35430</c:v>
                </c:pt>
                <c:pt idx="6">
                  <c:v>35795</c:v>
                </c:pt>
                <c:pt idx="7">
                  <c:v>36160</c:v>
                </c:pt>
                <c:pt idx="8">
                  <c:v>36525</c:v>
                </c:pt>
                <c:pt idx="9">
                  <c:v>36891</c:v>
                </c:pt>
                <c:pt idx="10">
                  <c:v>37256</c:v>
                </c:pt>
                <c:pt idx="11">
                  <c:v>37621</c:v>
                </c:pt>
                <c:pt idx="12">
                  <c:v>37986</c:v>
                </c:pt>
                <c:pt idx="13">
                  <c:v>38352</c:v>
                </c:pt>
                <c:pt idx="14">
                  <c:v>38717</c:v>
                </c:pt>
                <c:pt idx="15">
                  <c:v>39082</c:v>
                </c:pt>
                <c:pt idx="16">
                  <c:v>39447</c:v>
                </c:pt>
                <c:pt idx="17">
                  <c:v>39813</c:v>
                </c:pt>
                <c:pt idx="18">
                  <c:v>40178</c:v>
                </c:pt>
                <c:pt idx="19">
                  <c:v>40543</c:v>
                </c:pt>
                <c:pt idx="20">
                  <c:v>40908</c:v>
                </c:pt>
                <c:pt idx="21">
                  <c:v>41274</c:v>
                </c:pt>
                <c:pt idx="22">
                  <c:v>41639</c:v>
                </c:pt>
                <c:pt idx="23">
                  <c:v>42004</c:v>
                </c:pt>
                <c:pt idx="24">
                  <c:v>42369</c:v>
                </c:pt>
              </c:numCache>
            </c:numRef>
          </c:cat>
          <c:val>
            <c:numRef>
              <c:f>水泥工业概述!$S$24:$S$48</c:f>
              <c:numCache>
                <c:formatCode>General</c:formatCode>
                <c:ptCount val="25"/>
                <c:pt idx="0">
                  <c:v>0.20456821324686494</c:v>
                </c:pt>
                <c:pt idx="1">
                  <c:v>0.22014172043862068</c:v>
                </c:pt>
                <c:pt idx="2">
                  <c:v>0.19356303938745087</c:v>
                </c:pt>
                <c:pt idx="3">
                  <c:v>0.14488420137001196</c:v>
                </c:pt>
                <c:pt idx="4">
                  <c:v>0.1292224227171283</c:v>
                </c:pt>
                <c:pt idx="5">
                  <c:v>3.2764732313034908E-2</c:v>
                </c:pt>
                <c:pt idx="6">
                  <c:v>4.1835220251267874E-2</c:v>
                </c:pt>
                <c:pt idx="7">
                  <c:v>4.741097983733885E-2</c:v>
                </c:pt>
                <c:pt idx="8">
                  <c:v>6.9029850746268662E-2</c:v>
                </c:pt>
                <c:pt idx="9">
                  <c:v>4.1884816753926704E-2</c:v>
                </c:pt>
                <c:pt idx="10">
                  <c:v>0.10726951423785606</c:v>
                </c:pt>
                <c:pt idx="11">
                  <c:v>9.6756791836619768E-2</c:v>
                </c:pt>
                <c:pt idx="12">
                  <c:v>0.18907737931034491</c:v>
                </c:pt>
                <c:pt idx="13">
                  <c:v>0.12149529783218779</c:v>
                </c:pt>
                <c:pt idx="14">
                  <c:v>0.10552947865471106</c:v>
                </c:pt>
                <c:pt idx="15">
                  <c:v>0.15710083726599483</c:v>
                </c:pt>
                <c:pt idx="16">
                  <c:v>0.10059123610245056</c:v>
                </c:pt>
                <c:pt idx="17">
                  <c:v>4.5831663510686724E-2</c:v>
                </c:pt>
                <c:pt idx="18">
                  <c:v>0.15483781369390601</c:v>
                </c:pt>
                <c:pt idx="19">
                  <c:v>0.14473060402640511</c:v>
                </c:pt>
                <c:pt idx="20">
                  <c:v>0.11549261317627176</c:v>
                </c:pt>
                <c:pt idx="21">
                  <c:v>5.2676787890734496E-2</c:v>
                </c:pt>
                <c:pt idx="22">
                  <c:v>9.4757097434349499E-2</c:v>
                </c:pt>
                <c:pt idx="23">
                  <c:v>3.0105294685861681E-2</c:v>
                </c:pt>
                <c:pt idx="24">
                  <c:v>-5.7827731058042363E-2</c:v>
                </c:pt>
              </c:numCache>
            </c:numRef>
          </c:val>
        </c:ser>
        <c:marker val="1"/>
        <c:axId val="466902400"/>
        <c:axId val="466900864"/>
      </c:lineChart>
      <c:dateAx>
        <c:axId val="466811520"/>
        <c:scaling>
          <c:orientation val="minMax"/>
        </c:scaling>
        <c:axPos val="b"/>
        <c:numFmt formatCode="yyyy;@" sourceLinked="1"/>
        <c:tickLblPos val="nextTo"/>
        <c:crossAx val="466899328"/>
        <c:crosses val="autoZero"/>
        <c:auto val="1"/>
        <c:lblOffset val="100"/>
        <c:baseTimeUnit val="years"/>
      </c:dateAx>
      <c:valAx>
        <c:axId val="466899328"/>
        <c:scaling>
          <c:orientation val="minMax"/>
        </c:scaling>
        <c:axPos val="l"/>
        <c:numFmt formatCode="General" sourceLinked="1"/>
        <c:tickLblPos val="nextTo"/>
        <c:crossAx val="466811520"/>
        <c:crosses val="autoZero"/>
        <c:crossBetween val="between"/>
      </c:valAx>
      <c:valAx>
        <c:axId val="466900864"/>
        <c:scaling>
          <c:orientation val="minMax"/>
        </c:scaling>
        <c:axPos val="r"/>
        <c:numFmt formatCode="0%" sourceLinked="0"/>
        <c:tickLblPos val="nextTo"/>
        <c:crossAx val="466902400"/>
        <c:crosses val="max"/>
        <c:crossBetween val="between"/>
      </c:valAx>
      <c:dateAx>
        <c:axId val="466902400"/>
        <c:scaling>
          <c:orientation val="minMax"/>
        </c:scaling>
        <c:delete val="1"/>
        <c:axPos val="b"/>
        <c:numFmt formatCode="yyyy;@" sourceLinked="1"/>
        <c:tickLblPos val="none"/>
        <c:crossAx val="466900864"/>
        <c:crosses val="autoZero"/>
        <c:auto val="1"/>
        <c:lblOffset val="100"/>
        <c:baseTimeUnit val="years"/>
      </c:dateAx>
      <c:spPr>
        <a:noFill/>
        <a:ln w="25400">
          <a:noFill/>
        </a:ln>
      </c:spPr>
    </c:plotArea>
    <c:legend>
      <c:legendPos val="b"/>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barChart>
        <c:barDir val="col"/>
        <c:grouping val="clustered"/>
        <c:ser>
          <c:idx val="0"/>
          <c:order val="0"/>
          <c:tx>
            <c:strRef>
              <c:f>Sheet1!$F$59</c:f>
              <c:strCache>
                <c:ptCount val="1"/>
                <c:pt idx="0">
                  <c:v>熟料总产能（亿吨）</c:v>
                </c:pt>
              </c:strCache>
            </c:strRef>
          </c:tx>
          <c:cat>
            <c:numRef>
              <c:f>Sheet1!$E$60:$E$69</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Sheet1!$F$60:$F$69</c:f>
              <c:numCache>
                <c:formatCode>###,###,###,###,##0.00_ </c:formatCode>
                <c:ptCount val="10"/>
                <c:pt idx="0">
                  <c:v>5.1566999999999998</c:v>
                </c:pt>
                <c:pt idx="1">
                  <c:v>6.1352000000000002</c:v>
                </c:pt>
                <c:pt idx="2">
                  <c:v>7.5686400000000003</c:v>
                </c:pt>
                <c:pt idx="3">
                  <c:v>9.5859000000000005</c:v>
                </c:pt>
                <c:pt idx="4">
                  <c:v>12.6</c:v>
                </c:pt>
                <c:pt idx="5">
                  <c:v>14</c:v>
                </c:pt>
                <c:pt idx="6">
                  <c:v>16</c:v>
                </c:pt>
                <c:pt idx="7">
                  <c:v>17</c:v>
                </c:pt>
                <c:pt idx="8">
                  <c:v>17.7</c:v>
                </c:pt>
                <c:pt idx="9">
                  <c:v>18.100000000000001</c:v>
                </c:pt>
              </c:numCache>
            </c:numRef>
          </c:val>
        </c:ser>
        <c:axId val="467182336"/>
        <c:axId val="467183872"/>
      </c:barChart>
      <c:lineChart>
        <c:grouping val="standard"/>
        <c:ser>
          <c:idx val="1"/>
          <c:order val="1"/>
          <c:tx>
            <c:strRef>
              <c:f>Sheet1!$G$59</c:f>
              <c:strCache>
                <c:ptCount val="1"/>
                <c:pt idx="0">
                  <c:v>增速（右轴）</c:v>
                </c:pt>
              </c:strCache>
            </c:strRef>
          </c:tx>
          <c:marker>
            <c:symbol val="none"/>
          </c:marker>
          <c:cat>
            <c:numRef>
              <c:f>Sheet1!$E$60:$E$69</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Sheet1!$G$60:$G$69</c:f>
              <c:numCache>
                <c:formatCode>General</c:formatCode>
                <c:ptCount val="10"/>
                <c:pt idx="1">
                  <c:v>0.18975313669594943</c:v>
                </c:pt>
                <c:pt idx="2">
                  <c:v>0.23364193506324171</c:v>
                </c:pt>
                <c:pt idx="3">
                  <c:v>0.2665287290715373</c:v>
                </c:pt>
                <c:pt idx="4">
                  <c:v>0.3144305698995411</c:v>
                </c:pt>
                <c:pt idx="5">
                  <c:v>0.11111111111111116</c:v>
                </c:pt>
                <c:pt idx="6">
                  <c:v>0.14285714285714327</c:v>
                </c:pt>
                <c:pt idx="7">
                  <c:v>6.25E-2</c:v>
                </c:pt>
                <c:pt idx="8">
                  <c:v>4.1176470588235294E-2</c:v>
                </c:pt>
                <c:pt idx="9">
                  <c:v>2.2598870056497293E-2</c:v>
                </c:pt>
              </c:numCache>
            </c:numRef>
          </c:val>
        </c:ser>
        <c:marker val="1"/>
        <c:axId val="467193856"/>
        <c:axId val="467195392"/>
      </c:lineChart>
      <c:catAx>
        <c:axId val="467182336"/>
        <c:scaling>
          <c:orientation val="minMax"/>
        </c:scaling>
        <c:axPos val="b"/>
        <c:numFmt formatCode="General" sourceLinked="1"/>
        <c:tickLblPos val="nextTo"/>
        <c:crossAx val="467183872"/>
        <c:crosses val="autoZero"/>
        <c:auto val="1"/>
        <c:lblAlgn val="ctr"/>
        <c:lblOffset val="100"/>
      </c:catAx>
      <c:valAx>
        <c:axId val="467183872"/>
        <c:scaling>
          <c:orientation val="minMax"/>
        </c:scaling>
        <c:axPos val="l"/>
        <c:numFmt formatCode="#,##0_);[Red]\(#,##0\)" sourceLinked="0"/>
        <c:tickLblPos val="nextTo"/>
        <c:crossAx val="467182336"/>
        <c:crosses val="autoZero"/>
        <c:crossBetween val="between"/>
      </c:valAx>
      <c:catAx>
        <c:axId val="467193856"/>
        <c:scaling>
          <c:orientation val="minMax"/>
        </c:scaling>
        <c:delete val="1"/>
        <c:axPos val="b"/>
        <c:numFmt formatCode="General" sourceLinked="1"/>
        <c:tickLblPos val="none"/>
        <c:crossAx val="467195392"/>
        <c:crosses val="autoZero"/>
        <c:auto val="1"/>
        <c:lblAlgn val="ctr"/>
        <c:lblOffset val="100"/>
      </c:catAx>
      <c:valAx>
        <c:axId val="467195392"/>
        <c:scaling>
          <c:orientation val="minMax"/>
        </c:scaling>
        <c:axPos val="r"/>
        <c:numFmt formatCode="0%" sourceLinked="0"/>
        <c:tickLblPos val="nextTo"/>
        <c:crossAx val="467193856"/>
        <c:crosses val="max"/>
        <c:crossBetween val="between"/>
      </c:valAx>
    </c:plotArea>
    <c:legend>
      <c:legendPos val="b"/>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任务二、三!$C$22</c:f>
              <c:strCache>
                <c:ptCount val="1"/>
                <c:pt idx="0">
                  <c:v>淘汰落后产能 （万吨）</c:v>
                </c:pt>
              </c:strCache>
            </c:strRef>
          </c:tx>
          <c:cat>
            <c:strRef>
              <c:f>任务二、三!$B$23:$B$27</c:f>
              <c:strCache>
                <c:ptCount val="5"/>
                <c:pt idx="0">
                  <c:v>2011</c:v>
                </c:pt>
                <c:pt idx="1">
                  <c:v>2012</c:v>
                </c:pt>
                <c:pt idx="2">
                  <c:v>2013</c:v>
                </c:pt>
                <c:pt idx="3">
                  <c:v>2014</c:v>
                </c:pt>
                <c:pt idx="4">
                  <c:v>2015E</c:v>
                </c:pt>
              </c:strCache>
            </c:strRef>
          </c:cat>
          <c:val>
            <c:numRef>
              <c:f>任务二、三!$C$23:$C$27</c:f>
              <c:numCache>
                <c:formatCode>General</c:formatCode>
                <c:ptCount val="5"/>
                <c:pt idx="0">
                  <c:v>15497</c:v>
                </c:pt>
                <c:pt idx="1">
                  <c:v>25829</c:v>
                </c:pt>
                <c:pt idx="2">
                  <c:v>10578</c:v>
                </c:pt>
                <c:pt idx="3">
                  <c:v>8124.6</c:v>
                </c:pt>
                <c:pt idx="4">
                  <c:v>5000</c:v>
                </c:pt>
              </c:numCache>
            </c:numRef>
          </c:val>
        </c:ser>
        <c:axId val="467211008"/>
        <c:axId val="467212544"/>
      </c:barChart>
      <c:catAx>
        <c:axId val="467211008"/>
        <c:scaling>
          <c:orientation val="minMax"/>
        </c:scaling>
        <c:axPos val="b"/>
        <c:numFmt formatCode="General" sourceLinked="0"/>
        <c:tickLblPos val="nextTo"/>
        <c:crossAx val="467212544"/>
        <c:crosses val="autoZero"/>
        <c:auto val="1"/>
        <c:lblAlgn val="ctr"/>
        <c:lblOffset val="100"/>
      </c:catAx>
      <c:valAx>
        <c:axId val="467212544"/>
        <c:scaling>
          <c:orientation val="minMax"/>
        </c:scaling>
        <c:axPos val="l"/>
        <c:numFmt formatCode="General" sourceLinked="1"/>
        <c:tickLblPos val="nextTo"/>
        <c:crossAx val="467211008"/>
        <c:crosses val="autoZero"/>
        <c:crossBetween val="between"/>
      </c:valAx>
    </c:plotArea>
    <c:legend>
      <c:legendPos val="b"/>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barChart>
        <c:barDir val="col"/>
        <c:grouping val="clustered"/>
        <c:ser>
          <c:idx val="0"/>
          <c:order val="0"/>
          <c:spPr>
            <a:solidFill>
              <a:schemeClr val="accent1"/>
            </a:solidFill>
          </c:spPr>
          <c:cat>
            <c:strRef>
              <c:f>Sheet1!$P$3:$P$31</c:f>
              <c:strCache>
                <c:ptCount val="29"/>
                <c:pt idx="0">
                  <c:v>山西</c:v>
                </c:pt>
                <c:pt idx="1">
                  <c:v>新疆</c:v>
                </c:pt>
                <c:pt idx="2">
                  <c:v>内蒙古</c:v>
                </c:pt>
                <c:pt idx="3">
                  <c:v>辽宁</c:v>
                </c:pt>
                <c:pt idx="4">
                  <c:v>河北</c:v>
                </c:pt>
                <c:pt idx="5">
                  <c:v>黑龙江</c:v>
                </c:pt>
                <c:pt idx="6">
                  <c:v>宁夏</c:v>
                </c:pt>
                <c:pt idx="7">
                  <c:v>天津</c:v>
                </c:pt>
                <c:pt idx="8">
                  <c:v>云南</c:v>
                </c:pt>
                <c:pt idx="9">
                  <c:v>山东</c:v>
                </c:pt>
                <c:pt idx="10">
                  <c:v>上海</c:v>
                </c:pt>
                <c:pt idx="11">
                  <c:v>贵州</c:v>
                </c:pt>
                <c:pt idx="12">
                  <c:v>四川</c:v>
                </c:pt>
                <c:pt idx="13">
                  <c:v>河南</c:v>
                </c:pt>
                <c:pt idx="14">
                  <c:v>青海</c:v>
                </c:pt>
                <c:pt idx="15">
                  <c:v>江苏</c:v>
                </c:pt>
                <c:pt idx="16">
                  <c:v>陕西</c:v>
                </c:pt>
                <c:pt idx="17">
                  <c:v>甘肃</c:v>
                </c:pt>
                <c:pt idx="18">
                  <c:v>湖北</c:v>
                </c:pt>
                <c:pt idx="19">
                  <c:v>湖南</c:v>
                </c:pt>
                <c:pt idx="20">
                  <c:v>浙江</c:v>
                </c:pt>
                <c:pt idx="21">
                  <c:v>海南</c:v>
                </c:pt>
                <c:pt idx="22">
                  <c:v>广东</c:v>
                </c:pt>
                <c:pt idx="23">
                  <c:v>重庆</c:v>
                </c:pt>
                <c:pt idx="24">
                  <c:v>江西</c:v>
                </c:pt>
                <c:pt idx="25">
                  <c:v>福建</c:v>
                </c:pt>
                <c:pt idx="26">
                  <c:v>吉林</c:v>
                </c:pt>
                <c:pt idx="27">
                  <c:v>安徽</c:v>
                </c:pt>
                <c:pt idx="28">
                  <c:v>广西</c:v>
                </c:pt>
              </c:strCache>
            </c:strRef>
          </c:cat>
          <c:val>
            <c:numRef>
              <c:f>Sheet1!$Q$3:$Q$31</c:f>
              <c:numCache>
                <c:formatCode>General</c:formatCode>
                <c:ptCount val="29"/>
                <c:pt idx="0">
                  <c:v>0.35525171405541239</c:v>
                </c:pt>
                <c:pt idx="1">
                  <c:v>0.35750798812203088</c:v>
                </c:pt>
                <c:pt idx="2">
                  <c:v>0.36414822361443111</c:v>
                </c:pt>
                <c:pt idx="3">
                  <c:v>0.45333694477284336</c:v>
                </c:pt>
                <c:pt idx="4">
                  <c:v>0.4923394884327143</c:v>
                </c:pt>
                <c:pt idx="5">
                  <c:v>0.53064186949097913</c:v>
                </c:pt>
                <c:pt idx="6">
                  <c:v>0.59946481964340925</c:v>
                </c:pt>
                <c:pt idx="7">
                  <c:v>0.62992645161290362</c:v>
                </c:pt>
                <c:pt idx="8">
                  <c:v>0.66981761739688928</c:v>
                </c:pt>
                <c:pt idx="9">
                  <c:v>0.67344080441361343</c:v>
                </c:pt>
                <c:pt idx="10">
                  <c:v>0.69261505376344212</c:v>
                </c:pt>
                <c:pt idx="11">
                  <c:v>0.69724510785459171</c:v>
                </c:pt>
                <c:pt idx="12">
                  <c:v>0.71113507724865965</c:v>
                </c:pt>
                <c:pt idx="13">
                  <c:v>0.71772617059806065</c:v>
                </c:pt>
                <c:pt idx="14">
                  <c:v>0.76986424423963162</c:v>
                </c:pt>
                <c:pt idx="15">
                  <c:v>0.78189856675814695</c:v>
                </c:pt>
                <c:pt idx="16">
                  <c:v>0.78773037642445065</c:v>
                </c:pt>
                <c:pt idx="17">
                  <c:v>0.79607500035396561</c:v>
                </c:pt>
                <c:pt idx="18">
                  <c:v>0.8043449296736096</c:v>
                </c:pt>
                <c:pt idx="19">
                  <c:v>0.80908512627375895</c:v>
                </c:pt>
                <c:pt idx="20">
                  <c:v>0.87169757467144693</c:v>
                </c:pt>
                <c:pt idx="21">
                  <c:v>0.8749927598566305</c:v>
                </c:pt>
                <c:pt idx="22">
                  <c:v>0.88370247657626499</c:v>
                </c:pt>
                <c:pt idx="23">
                  <c:v>0.89406179053017365</c:v>
                </c:pt>
                <c:pt idx="24">
                  <c:v>0.91177665025771704</c:v>
                </c:pt>
                <c:pt idx="25">
                  <c:v>0.92174352520408964</c:v>
                </c:pt>
                <c:pt idx="26">
                  <c:v>0.92741795538620786</c:v>
                </c:pt>
                <c:pt idx="27">
                  <c:v>0.9857739854794435</c:v>
                </c:pt>
                <c:pt idx="28">
                  <c:v>0.98840624384676523</c:v>
                </c:pt>
              </c:numCache>
            </c:numRef>
          </c:val>
        </c:ser>
        <c:axId val="398850304"/>
        <c:axId val="467312640"/>
      </c:barChart>
      <c:lineChart>
        <c:grouping val="standard"/>
        <c:ser>
          <c:idx val="1"/>
          <c:order val="1"/>
          <c:spPr>
            <a:ln w="28575">
              <a:solidFill>
                <a:srgbClr val="C00000"/>
              </a:solidFill>
              <a:prstDash val="solid"/>
            </a:ln>
          </c:spPr>
          <c:marker>
            <c:symbol val="none"/>
          </c:marker>
          <c:cat>
            <c:strRef>
              <c:f>Sheet1!$P$3:$P$31</c:f>
              <c:strCache>
                <c:ptCount val="29"/>
                <c:pt idx="0">
                  <c:v>山西</c:v>
                </c:pt>
                <c:pt idx="1">
                  <c:v>新疆</c:v>
                </c:pt>
                <c:pt idx="2">
                  <c:v>内蒙古</c:v>
                </c:pt>
                <c:pt idx="3">
                  <c:v>辽宁</c:v>
                </c:pt>
                <c:pt idx="4">
                  <c:v>河北</c:v>
                </c:pt>
                <c:pt idx="5">
                  <c:v>黑龙江</c:v>
                </c:pt>
                <c:pt idx="6">
                  <c:v>宁夏</c:v>
                </c:pt>
                <c:pt idx="7">
                  <c:v>天津</c:v>
                </c:pt>
                <c:pt idx="8">
                  <c:v>云南</c:v>
                </c:pt>
                <c:pt idx="9">
                  <c:v>山东</c:v>
                </c:pt>
                <c:pt idx="10">
                  <c:v>上海</c:v>
                </c:pt>
                <c:pt idx="11">
                  <c:v>贵州</c:v>
                </c:pt>
                <c:pt idx="12">
                  <c:v>四川</c:v>
                </c:pt>
                <c:pt idx="13">
                  <c:v>河南</c:v>
                </c:pt>
                <c:pt idx="14">
                  <c:v>青海</c:v>
                </c:pt>
                <c:pt idx="15">
                  <c:v>江苏</c:v>
                </c:pt>
                <c:pt idx="16">
                  <c:v>陕西</c:v>
                </c:pt>
                <c:pt idx="17">
                  <c:v>甘肃</c:v>
                </c:pt>
                <c:pt idx="18">
                  <c:v>湖北</c:v>
                </c:pt>
                <c:pt idx="19">
                  <c:v>湖南</c:v>
                </c:pt>
                <c:pt idx="20">
                  <c:v>浙江</c:v>
                </c:pt>
                <c:pt idx="21">
                  <c:v>海南</c:v>
                </c:pt>
                <c:pt idx="22">
                  <c:v>广东</c:v>
                </c:pt>
                <c:pt idx="23">
                  <c:v>重庆</c:v>
                </c:pt>
                <c:pt idx="24">
                  <c:v>江西</c:v>
                </c:pt>
                <c:pt idx="25">
                  <c:v>福建</c:v>
                </c:pt>
                <c:pt idx="26">
                  <c:v>吉林</c:v>
                </c:pt>
                <c:pt idx="27">
                  <c:v>安徽</c:v>
                </c:pt>
                <c:pt idx="28">
                  <c:v>广西</c:v>
                </c:pt>
              </c:strCache>
            </c:strRef>
          </c:cat>
          <c:val>
            <c:numRef>
              <c:f>Sheet1!$R$3:$R$31</c:f>
              <c:numCache>
                <c:formatCode>General</c:formatCode>
                <c:ptCount val="29"/>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numCache>
            </c:numRef>
          </c:val>
        </c:ser>
        <c:ser>
          <c:idx val="2"/>
          <c:order val="2"/>
          <c:spPr>
            <a:ln w="28575">
              <a:solidFill>
                <a:schemeClr val="tx1"/>
              </a:solidFill>
              <a:prstDash val="solid"/>
            </a:ln>
          </c:spPr>
          <c:marker>
            <c:symbol val="none"/>
          </c:marker>
          <c:trendline>
            <c:trendlineType val="linear"/>
          </c:trendline>
          <c:cat>
            <c:strRef>
              <c:f>Sheet1!$P$3:$P$31</c:f>
              <c:strCache>
                <c:ptCount val="29"/>
                <c:pt idx="0">
                  <c:v>山西</c:v>
                </c:pt>
                <c:pt idx="1">
                  <c:v>新疆</c:v>
                </c:pt>
                <c:pt idx="2">
                  <c:v>内蒙古</c:v>
                </c:pt>
                <c:pt idx="3">
                  <c:v>辽宁</c:v>
                </c:pt>
                <c:pt idx="4">
                  <c:v>河北</c:v>
                </c:pt>
                <c:pt idx="5">
                  <c:v>黑龙江</c:v>
                </c:pt>
                <c:pt idx="6">
                  <c:v>宁夏</c:v>
                </c:pt>
                <c:pt idx="7">
                  <c:v>天津</c:v>
                </c:pt>
                <c:pt idx="8">
                  <c:v>云南</c:v>
                </c:pt>
                <c:pt idx="9">
                  <c:v>山东</c:v>
                </c:pt>
                <c:pt idx="10">
                  <c:v>上海</c:v>
                </c:pt>
                <c:pt idx="11">
                  <c:v>贵州</c:v>
                </c:pt>
                <c:pt idx="12">
                  <c:v>四川</c:v>
                </c:pt>
                <c:pt idx="13">
                  <c:v>河南</c:v>
                </c:pt>
                <c:pt idx="14">
                  <c:v>青海</c:v>
                </c:pt>
                <c:pt idx="15">
                  <c:v>江苏</c:v>
                </c:pt>
                <c:pt idx="16">
                  <c:v>陕西</c:v>
                </c:pt>
                <c:pt idx="17">
                  <c:v>甘肃</c:v>
                </c:pt>
                <c:pt idx="18">
                  <c:v>湖北</c:v>
                </c:pt>
                <c:pt idx="19">
                  <c:v>湖南</c:v>
                </c:pt>
                <c:pt idx="20">
                  <c:v>浙江</c:v>
                </c:pt>
                <c:pt idx="21">
                  <c:v>海南</c:v>
                </c:pt>
                <c:pt idx="22">
                  <c:v>广东</c:v>
                </c:pt>
                <c:pt idx="23">
                  <c:v>重庆</c:v>
                </c:pt>
                <c:pt idx="24">
                  <c:v>江西</c:v>
                </c:pt>
                <c:pt idx="25">
                  <c:v>福建</c:v>
                </c:pt>
                <c:pt idx="26">
                  <c:v>吉林</c:v>
                </c:pt>
                <c:pt idx="27">
                  <c:v>安徽</c:v>
                </c:pt>
                <c:pt idx="28">
                  <c:v>广西</c:v>
                </c:pt>
              </c:strCache>
            </c:strRef>
          </c:cat>
          <c:val>
            <c:numRef>
              <c:f>Sheet1!$S$3:$S$31</c:f>
              <c:numCache>
                <c:formatCode>General</c:formatCode>
                <c:ptCount val="29"/>
                <c:pt idx="0">
                  <c:v>0.67000000000000148</c:v>
                </c:pt>
                <c:pt idx="1">
                  <c:v>0.67000000000000148</c:v>
                </c:pt>
                <c:pt idx="2">
                  <c:v>0.67000000000000148</c:v>
                </c:pt>
                <c:pt idx="3">
                  <c:v>0.67000000000000148</c:v>
                </c:pt>
                <c:pt idx="4">
                  <c:v>0.67000000000000148</c:v>
                </c:pt>
                <c:pt idx="5">
                  <c:v>0.67000000000000148</c:v>
                </c:pt>
                <c:pt idx="6">
                  <c:v>0.67000000000000148</c:v>
                </c:pt>
                <c:pt idx="7">
                  <c:v>0.67000000000000148</c:v>
                </c:pt>
                <c:pt idx="8">
                  <c:v>0.67000000000000148</c:v>
                </c:pt>
                <c:pt idx="9">
                  <c:v>0.67000000000000148</c:v>
                </c:pt>
                <c:pt idx="10">
                  <c:v>0.67000000000000148</c:v>
                </c:pt>
                <c:pt idx="11">
                  <c:v>0.67000000000000148</c:v>
                </c:pt>
                <c:pt idx="12">
                  <c:v>0.67000000000000148</c:v>
                </c:pt>
                <c:pt idx="13">
                  <c:v>0.67000000000000148</c:v>
                </c:pt>
                <c:pt idx="14">
                  <c:v>0.67000000000000148</c:v>
                </c:pt>
                <c:pt idx="15">
                  <c:v>0.67000000000000148</c:v>
                </c:pt>
                <c:pt idx="16">
                  <c:v>0.67000000000000148</c:v>
                </c:pt>
                <c:pt idx="17">
                  <c:v>0.67000000000000148</c:v>
                </c:pt>
                <c:pt idx="18">
                  <c:v>0.67000000000000148</c:v>
                </c:pt>
                <c:pt idx="19">
                  <c:v>0.67000000000000148</c:v>
                </c:pt>
                <c:pt idx="20">
                  <c:v>0.67000000000000148</c:v>
                </c:pt>
                <c:pt idx="21">
                  <c:v>0.67000000000000148</c:v>
                </c:pt>
                <c:pt idx="22">
                  <c:v>0.67000000000000148</c:v>
                </c:pt>
                <c:pt idx="23">
                  <c:v>0.67000000000000148</c:v>
                </c:pt>
                <c:pt idx="24">
                  <c:v>0.67000000000000148</c:v>
                </c:pt>
                <c:pt idx="25">
                  <c:v>0.67000000000000148</c:v>
                </c:pt>
                <c:pt idx="26">
                  <c:v>0.67000000000000148</c:v>
                </c:pt>
                <c:pt idx="27">
                  <c:v>0.67000000000000148</c:v>
                </c:pt>
                <c:pt idx="28">
                  <c:v>0.67000000000000148</c:v>
                </c:pt>
              </c:numCache>
            </c:numRef>
          </c:val>
        </c:ser>
        <c:marker val="1"/>
        <c:axId val="467315712"/>
        <c:axId val="467314176"/>
      </c:lineChart>
      <c:catAx>
        <c:axId val="398850304"/>
        <c:scaling>
          <c:orientation val="minMax"/>
        </c:scaling>
        <c:axPos val="b"/>
        <c:numFmt formatCode="General" sourceLinked="0"/>
        <c:tickLblPos val="nextTo"/>
        <c:crossAx val="467312640"/>
        <c:crosses val="autoZero"/>
        <c:auto val="1"/>
        <c:lblAlgn val="ctr"/>
        <c:lblOffset val="100"/>
      </c:catAx>
      <c:valAx>
        <c:axId val="467312640"/>
        <c:scaling>
          <c:orientation val="minMax"/>
          <c:max val="1"/>
          <c:min val="0.30000000000000032"/>
        </c:scaling>
        <c:axPos val="l"/>
        <c:numFmt formatCode="0%" sourceLinked="0"/>
        <c:tickLblPos val="nextTo"/>
        <c:crossAx val="398850304"/>
        <c:crosses val="autoZero"/>
        <c:crossBetween val="between"/>
      </c:valAx>
      <c:valAx>
        <c:axId val="467314176"/>
        <c:scaling>
          <c:orientation val="minMax"/>
          <c:max val="1"/>
          <c:min val="0.30000000000000032"/>
        </c:scaling>
        <c:delete val="1"/>
        <c:axPos val="r"/>
        <c:numFmt formatCode="General" sourceLinked="1"/>
        <c:tickLblPos val="none"/>
        <c:crossAx val="467315712"/>
        <c:crosses val="max"/>
        <c:crossBetween val="between"/>
      </c:valAx>
      <c:catAx>
        <c:axId val="467315712"/>
        <c:scaling>
          <c:orientation val="minMax"/>
        </c:scaling>
        <c:delete val="1"/>
        <c:axPos val="b"/>
        <c:numFmt formatCode="General" sourceLinked="1"/>
        <c:tickLblPos val="none"/>
        <c:crossAx val="467314176"/>
        <c:crosses val="autoZero"/>
        <c:auto val="1"/>
        <c:lblAlgn val="ctr"/>
        <c:lblOffset val="100"/>
      </c:catAx>
    </c:plotArea>
    <c:plotVisOnly val="1"/>
    <c:dispBlanksAs val="gap"/>
  </c:chart>
  <c:spPr>
    <a:ln>
      <a:noFill/>
    </a:ln>
  </c:spPr>
  <c:externalData r:id="rId2"/>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lineChart>
        <c:grouping val="standard"/>
        <c:ser>
          <c:idx val="0"/>
          <c:order val="0"/>
          <c:tx>
            <c:strRef>
              <c:f>我国销售毛利率!$I$3</c:f>
              <c:strCache>
                <c:ptCount val="1"/>
                <c:pt idx="0">
                  <c:v>水泥制造</c:v>
                </c:pt>
              </c:strCache>
            </c:strRef>
          </c:tx>
          <c:marker>
            <c:symbol val="none"/>
          </c:marker>
          <c:cat>
            <c:numRef>
              <c:f>我国销售毛利率!$H$4:$H$50</c:f>
              <c:numCache>
                <c:formatCode>m/d/yyyy</c:formatCode>
                <c:ptCount val="47"/>
                <c:pt idx="0">
                  <c:v>38077</c:v>
                </c:pt>
                <c:pt idx="1">
                  <c:v>38168</c:v>
                </c:pt>
                <c:pt idx="2">
                  <c:v>38260</c:v>
                </c:pt>
                <c:pt idx="3">
                  <c:v>38352</c:v>
                </c:pt>
                <c:pt idx="4">
                  <c:v>38442</c:v>
                </c:pt>
                <c:pt idx="5">
                  <c:v>38533</c:v>
                </c:pt>
                <c:pt idx="6">
                  <c:v>38625</c:v>
                </c:pt>
                <c:pt idx="7">
                  <c:v>38717</c:v>
                </c:pt>
                <c:pt idx="8">
                  <c:v>38807</c:v>
                </c:pt>
                <c:pt idx="9">
                  <c:v>38898</c:v>
                </c:pt>
                <c:pt idx="10">
                  <c:v>38990</c:v>
                </c:pt>
                <c:pt idx="11">
                  <c:v>39082</c:v>
                </c:pt>
                <c:pt idx="12">
                  <c:v>39141</c:v>
                </c:pt>
                <c:pt idx="13">
                  <c:v>39233</c:v>
                </c:pt>
                <c:pt idx="14">
                  <c:v>39325</c:v>
                </c:pt>
                <c:pt idx="15">
                  <c:v>39416</c:v>
                </c:pt>
                <c:pt idx="16">
                  <c:v>39507</c:v>
                </c:pt>
                <c:pt idx="17">
                  <c:v>39599</c:v>
                </c:pt>
                <c:pt idx="18">
                  <c:v>39691</c:v>
                </c:pt>
                <c:pt idx="19">
                  <c:v>39782</c:v>
                </c:pt>
                <c:pt idx="20">
                  <c:v>39872</c:v>
                </c:pt>
                <c:pt idx="21">
                  <c:v>39964</c:v>
                </c:pt>
                <c:pt idx="22">
                  <c:v>40056</c:v>
                </c:pt>
                <c:pt idx="23">
                  <c:v>40147</c:v>
                </c:pt>
                <c:pt idx="24">
                  <c:v>40237</c:v>
                </c:pt>
                <c:pt idx="25">
                  <c:v>40329</c:v>
                </c:pt>
                <c:pt idx="26">
                  <c:v>40421</c:v>
                </c:pt>
                <c:pt idx="27">
                  <c:v>40512</c:v>
                </c:pt>
                <c:pt idx="28">
                  <c:v>40602</c:v>
                </c:pt>
                <c:pt idx="29">
                  <c:v>40694</c:v>
                </c:pt>
                <c:pt idx="30">
                  <c:v>40786</c:v>
                </c:pt>
                <c:pt idx="31">
                  <c:v>40877</c:v>
                </c:pt>
                <c:pt idx="32">
                  <c:v>40968</c:v>
                </c:pt>
                <c:pt idx="33">
                  <c:v>41060</c:v>
                </c:pt>
                <c:pt idx="34">
                  <c:v>41152</c:v>
                </c:pt>
                <c:pt idx="35">
                  <c:v>41243</c:v>
                </c:pt>
                <c:pt idx="36">
                  <c:v>41333</c:v>
                </c:pt>
                <c:pt idx="37">
                  <c:v>41425</c:v>
                </c:pt>
                <c:pt idx="38">
                  <c:v>41517</c:v>
                </c:pt>
                <c:pt idx="39">
                  <c:v>41608</c:v>
                </c:pt>
                <c:pt idx="40">
                  <c:v>41698</c:v>
                </c:pt>
                <c:pt idx="41">
                  <c:v>41790</c:v>
                </c:pt>
                <c:pt idx="42">
                  <c:v>41882</c:v>
                </c:pt>
                <c:pt idx="43">
                  <c:v>41973</c:v>
                </c:pt>
                <c:pt idx="44">
                  <c:v>42063</c:v>
                </c:pt>
                <c:pt idx="45">
                  <c:v>42155</c:v>
                </c:pt>
                <c:pt idx="46">
                  <c:v>42247</c:v>
                </c:pt>
              </c:numCache>
            </c:numRef>
          </c:cat>
          <c:val>
            <c:numRef>
              <c:f>我国销售毛利率!$I$4:$I$50</c:f>
              <c:numCache>
                <c:formatCode>General</c:formatCode>
                <c:ptCount val="47"/>
                <c:pt idx="0">
                  <c:v>0.20590000000000031</c:v>
                </c:pt>
                <c:pt idx="1">
                  <c:v>0.18960000000000021</c:v>
                </c:pt>
                <c:pt idx="2">
                  <c:v>0.15940000000000037</c:v>
                </c:pt>
                <c:pt idx="3">
                  <c:v>0.14019999999999999</c:v>
                </c:pt>
                <c:pt idx="4">
                  <c:v>0.11900000000000002</c:v>
                </c:pt>
                <c:pt idx="5">
                  <c:v>0.12560000000000002</c:v>
                </c:pt>
                <c:pt idx="6">
                  <c:v>0.14219999999999999</c:v>
                </c:pt>
                <c:pt idx="7">
                  <c:v>0.13919999999999999</c:v>
                </c:pt>
                <c:pt idx="8">
                  <c:v>0.13100000000000001</c:v>
                </c:pt>
                <c:pt idx="9">
                  <c:v>0.14000000000000001</c:v>
                </c:pt>
                <c:pt idx="10">
                  <c:v>0.13730000000000001</c:v>
                </c:pt>
                <c:pt idx="11">
                  <c:v>0.16200000000000001</c:v>
                </c:pt>
                <c:pt idx="12">
                  <c:v>0.13519999999999999</c:v>
                </c:pt>
                <c:pt idx="13">
                  <c:v>0.14450000000000021</c:v>
                </c:pt>
                <c:pt idx="14">
                  <c:v>0.15160000000000001</c:v>
                </c:pt>
                <c:pt idx="15">
                  <c:v>0.17760000000000001</c:v>
                </c:pt>
                <c:pt idx="16">
                  <c:v>0.14340000000000031</c:v>
                </c:pt>
                <c:pt idx="17">
                  <c:v>0.15640000000000043</c:v>
                </c:pt>
                <c:pt idx="18">
                  <c:v>0.1696</c:v>
                </c:pt>
                <c:pt idx="19">
                  <c:v>0.13320000000000001</c:v>
                </c:pt>
                <c:pt idx="20">
                  <c:v>0.12869999999999998</c:v>
                </c:pt>
                <c:pt idx="21">
                  <c:v>0.16219999999999998</c:v>
                </c:pt>
                <c:pt idx="22">
                  <c:v>0.1555000000000003</c:v>
                </c:pt>
                <c:pt idx="23">
                  <c:v>0.17430000000000001</c:v>
                </c:pt>
                <c:pt idx="24">
                  <c:v>0.14590000000000031</c:v>
                </c:pt>
                <c:pt idx="25">
                  <c:v>0.14850000000000024</c:v>
                </c:pt>
                <c:pt idx="26">
                  <c:v>0.15200000000000027</c:v>
                </c:pt>
                <c:pt idx="27">
                  <c:v>0.18480000000000021</c:v>
                </c:pt>
                <c:pt idx="28">
                  <c:v>0.18050000000000024</c:v>
                </c:pt>
                <c:pt idx="29">
                  <c:v>0.20730000000000001</c:v>
                </c:pt>
                <c:pt idx="30">
                  <c:v>0.20130000000000001</c:v>
                </c:pt>
                <c:pt idx="31">
                  <c:v>0.19170000000000001</c:v>
                </c:pt>
                <c:pt idx="32">
                  <c:v>0.1341</c:v>
                </c:pt>
                <c:pt idx="33">
                  <c:v>0.14500000000000021</c:v>
                </c:pt>
                <c:pt idx="34">
                  <c:v>0.15590000000000043</c:v>
                </c:pt>
                <c:pt idx="35">
                  <c:v>0.18250000000000027</c:v>
                </c:pt>
                <c:pt idx="36">
                  <c:v>0.13390000000000021</c:v>
                </c:pt>
                <c:pt idx="37">
                  <c:v>0.14940000000000034</c:v>
                </c:pt>
                <c:pt idx="38">
                  <c:v>0.15930000000000027</c:v>
                </c:pt>
                <c:pt idx="39">
                  <c:v>0.19070000000000001</c:v>
                </c:pt>
                <c:pt idx="40">
                  <c:v>0.17200000000000001</c:v>
                </c:pt>
                <c:pt idx="41">
                  <c:v>0.16260000000000002</c:v>
                </c:pt>
                <c:pt idx="42">
                  <c:v>0.15700000000000031</c:v>
                </c:pt>
                <c:pt idx="43">
                  <c:v>0.17400000000000004</c:v>
                </c:pt>
                <c:pt idx="44">
                  <c:v>0.13489999999999999</c:v>
                </c:pt>
                <c:pt idx="45">
                  <c:v>0.12390000000000002</c:v>
                </c:pt>
                <c:pt idx="46">
                  <c:v>0.12359999999999999</c:v>
                </c:pt>
              </c:numCache>
            </c:numRef>
          </c:val>
        </c:ser>
        <c:ser>
          <c:idx val="1"/>
          <c:order val="1"/>
          <c:tx>
            <c:strRef>
              <c:f>我国销售毛利率!$J$3</c:f>
              <c:strCache>
                <c:ptCount val="1"/>
                <c:pt idx="0">
                  <c:v>煤炭开采</c:v>
                </c:pt>
              </c:strCache>
            </c:strRef>
          </c:tx>
          <c:marker>
            <c:symbol val="none"/>
          </c:marker>
          <c:cat>
            <c:numRef>
              <c:f>我国销售毛利率!$H$4:$H$50</c:f>
              <c:numCache>
                <c:formatCode>m/d/yyyy</c:formatCode>
                <c:ptCount val="47"/>
                <c:pt idx="0">
                  <c:v>38077</c:v>
                </c:pt>
                <c:pt idx="1">
                  <c:v>38168</c:v>
                </c:pt>
                <c:pt idx="2">
                  <c:v>38260</c:v>
                </c:pt>
                <c:pt idx="3">
                  <c:v>38352</c:v>
                </c:pt>
                <c:pt idx="4">
                  <c:v>38442</c:v>
                </c:pt>
                <c:pt idx="5">
                  <c:v>38533</c:v>
                </c:pt>
                <c:pt idx="6">
                  <c:v>38625</c:v>
                </c:pt>
                <c:pt idx="7">
                  <c:v>38717</c:v>
                </c:pt>
                <c:pt idx="8">
                  <c:v>38807</c:v>
                </c:pt>
                <c:pt idx="9">
                  <c:v>38898</c:v>
                </c:pt>
                <c:pt idx="10">
                  <c:v>38990</c:v>
                </c:pt>
                <c:pt idx="11">
                  <c:v>39082</c:v>
                </c:pt>
                <c:pt idx="12">
                  <c:v>39141</c:v>
                </c:pt>
                <c:pt idx="13">
                  <c:v>39233</c:v>
                </c:pt>
                <c:pt idx="14">
                  <c:v>39325</c:v>
                </c:pt>
                <c:pt idx="15">
                  <c:v>39416</c:v>
                </c:pt>
                <c:pt idx="16">
                  <c:v>39507</c:v>
                </c:pt>
                <c:pt idx="17">
                  <c:v>39599</c:v>
                </c:pt>
                <c:pt idx="18">
                  <c:v>39691</c:v>
                </c:pt>
                <c:pt idx="19">
                  <c:v>39782</c:v>
                </c:pt>
                <c:pt idx="20">
                  <c:v>39872</c:v>
                </c:pt>
                <c:pt idx="21">
                  <c:v>39964</c:v>
                </c:pt>
                <c:pt idx="22">
                  <c:v>40056</c:v>
                </c:pt>
                <c:pt idx="23">
                  <c:v>40147</c:v>
                </c:pt>
                <c:pt idx="24">
                  <c:v>40237</c:v>
                </c:pt>
                <c:pt idx="25">
                  <c:v>40329</c:v>
                </c:pt>
                <c:pt idx="26">
                  <c:v>40421</c:v>
                </c:pt>
                <c:pt idx="27">
                  <c:v>40512</c:v>
                </c:pt>
                <c:pt idx="28">
                  <c:v>40602</c:v>
                </c:pt>
                <c:pt idx="29">
                  <c:v>40694</c:v>
                </c:pt>
                <c:pt idx="30">
                  <c:v>40786</c:v>
                </c:pt>
                <c:pt idx="31">
                  <c:v>40877</c:v>
                </c:pt>
                <c:pt idx="32">
                  <c:v>40968</c:v>
                </c:pt>
                <c:pt idx="33">
                  <c:v>41060</c:v>
                </c:pt>
                <c:pt idx="34">
                  <c:v>41152</c:v>
                </c:pt>
                <c:pt idx="35">
                  <c:v>41243</c:v>
                </c:pt>
                <c:pt idx="36">
                  <c:v>41333</c:v>
                </c:pt>
                <c:pt idx="37">
                  <c:v>41425</c:v>
                </c:pt>
                <c:pt idx="38">
                  <c:v>41517</c:v>
                </c:pt>
                <c:pt idx="39">
                  <c:v>41608</c:v>
                </c:pt>
                <c:pt idx="40">
                  <c:v>41698</c:v>
                </c:pt>
                <c:pt idx="41">
                  <c:v>41790</c:v>
                </c:pt>
                <c:pt idx="42">
                  <c:v>41882</c:v>
                </c:pt>
                <c:pt idx="43">
                  <c:v>41973</c:v>
                </c:pt>
                <c:pt idx="44">
                  <c:v>42063</c:v>
                </c:pt>
                <c:pt idx="45">
                  <c:v>42155</c:v>
                </c:pt>
                <c:pt idx="46">
                  <c:v>42247</c:v>
                </c:pt>
              </c:numCache>
            </c:numRef>
          </c:cat>
          <c:val>
            <c:numRef>
              <c:f>我国销售毛利率!$J$4:$J$50</c:f>
              <c:numCache>
                <c:formatCode>General</c:formatCode>
                <c:ptCount val="47"/>
                <c:pt idx="0">
                  <c:v>0.32430000000000087</c:v>
                </c:pt>
                <c:pt idx="1">
                  <c:v>0.33950000000000075</c:v>
                </c:pt>
                <c:pt idx="2">
                  <c:v>0.31830000000000086</c:v>
                </c:pt>
                <c:pt idx="3">
                  <c:v>0.31720000000000032</c:v>
                </c:pt>
                <c:pt idx="4">
                  <c:v>0.33820000000000056</c:v>
                </c:pt>
                <c:pt idx="5">
                  <c:v>0.33490000000000092</c:v>
                </c:pt>
                <c:pt idx="6">
                  <c:v>0.29370000000000002</c:v>
                </c:pt>
                <c:pt idx="7">
                  <c:v>0.29820000000000002</c:v>
                </c:pt>
                <c:pt idx="8">
                  <c:v>0.29830000000000062</c:v>
                </c:pt>
                <c:pt idx="9">
                  <c:v>0.29000000000000031</c:v>
                </c:pt>
                <c:pt idx="10">
                  <c:v>0.2782</c:v>
                </c:pt>
                <c:pt idx="11">
                  <c:v>0.29540000000000038</c:v>
                </c:pt>
                <c:pt idx="12">
                  <c:v>0.29510000000000008</c:v>
                </c:pt>
                <c:pt idx="13">
                  <c:v>0.27090000000000031</c:v>
                </c:pt>
                <c:pt idx="14">
                  <c:v>0.28340000000000032</c:v>
                </c:pt>
                <c:pt idx="15">
                  <c:v>0.30020000000000002</c:v>
                </c:pt>
                <c:pt idx="16">
                  <c:v>0.29780000000000062</c:v>
                </c:pt>
                <c:pt idx="17">
                  <c:v>0.30730000000000074</c:v>
                </c:pt>
                <c:pt idx="18">
                  <c:v>0.34030000000000032</c:v>
                </c:pt>
                <c:pt idx="19">
                  <c:v>0.31130000000000063</c:v>
                </c:pt>
                <c:pt idx="20">
                  <c:v>0.28420000000000001</c:v>
                </c:pt>
                <c:pt idx="21">
                  <c:v>0.28000000000000008</c:v>
                </c:pt>
                <c:pt idx="22">
                  <c:v>0.27360000000000001</c:v>
                </c:pt>
                <c:pt idx="23">
                  <c:v>0.27530000000000032</c:v>
                </c:pt>
                <c:pt idx="24">
                  <c:v>0.28280000000000038</c:v>
                </c:pt>
                <c:pt idx="25">
                  <c:v>0.30020000000000002</c:v>
                </c:pt>
                <c:pt idx="26">
                  <c:v>0.28400000000000031</c:v>
                </c:pt>
                <c:pt idx="27">
                  <c:v>0.28310000000000002</c:v>
                </c:pt>
                <c:pt idx="28">
                  <c:v>0.27510000000000001</c:v>
                </c:pt>
                <c:pt idx="29">
                  <c:v>0.27690000000000031</c:v>
                </c:pt>
                <c:pt idx="30">
                  <c:v>0.254</c:v>
                </c:pt>
                <c:pt idx="31">
                  <c:v>0.2631</c:v>
                </c:pt>
                <c:pt idx="32">
                  <c:v>0.26600000000000001</c:v>
                </c:pt>
                <c:pt idx="33">
                  <c:v>0.24100000000000021</c:v>
                </c:pt>
                <c:pt idx="34">
                  <c:v>0.21570000000000031</c:v>
                </c:pt>
                <c:pt idx="35">
                  <c:v>0.22969999999999999</c:v>
                </c:pt>
                <c:pt idx="36">
                  <c:v>0.21380000000000021</c:v>
                </c:pt>
                <c:pt idx="37">
                  <c:v>0.18920000000000034</c:v>
                </c:pt>
                <c:pt idx="38">
                  <c:v>0.18010000000000001</c:v>
                </c:pt>
                <c:pt idx="39">
                  <c:v>0.1993</c:v>
                </c:pt>
                <c:pt idx="40">
                  <c:v>0.19269999999999998</c:v>
                </c:pt>
                <c:pt idx="41">
                  <c:v>0.15850000000000031</c:v>
                </c:pt>
                <c:pt idx="42">
                  <c:v>0.15770000000000034</c:v>
                </c:pt>
                <c:pt idx="43">
                  <c:v>0.16880000000000001</c:v>
                </c:pt>
                <c:pt idx="44">
                  <c:v>0.16420000000000001</c:v>
                </c:pt>
                <c:pt idx="45">
                  <c:v>0.15310000000000001</c:v>
                </c:pt>
                <c:pt idx="46">
                  <c:v>0.14190000000000028</c:v>
                </c:pt>
              </c:numCache>
            </c:numRef>
          </c:val>
        </c:ser>
        <c:ser>
          <c:idx val="2"/>
          <c:order val="2"/>
          <c:tx>
            <c:strRef>
              <c:f>我国销售毛利率!$K$3</c:f>
              <c:strCache>
                <c:ptCount val="1"/>
                <c:pt idx="0">
                  <c:v>炼钢</c:v>
                </c:pt>
              </c:strCache>
            </c:strRef>
          </c:tx>
          <c:marker>
            <c:symbol val="none"/>
          </c:marker>
          <c:cat>
            <c:numRef>
              <c:f>我国销售毛利率!$H$4:$H$50</c:f>
              <c:numCache>
                <c:formatCode>m/d/yyyy</c:formatCode>
                <c:ptCount val="47"/>
                <c:pt idx="0">
                  <c:v>38077</c:v>
                </c:pt>
                <c:pt idx="1">
                  <c:v>38168</c:v>
                </c:pt>
                <c:pt idx="2">
                  <c:v>38260</c:v>
                </c:pt>
                <c:pt idx="3">
                  <c:v>38352</c:v>
                </c:pt>
                <c:pt idx="4">
                  <c:v>38442</c:v>
                </c:pt>
                <c:pt idx="5">
                  <c:v>38533</c:v>
                </c:pt>
                <c:pt idx="6">
                  <c:v>38625</c:v>
                </c:pt>
                <c:pt idx="7">
                  <c:v>38717</c:v>
                </c:pt>
                <c:pt idx="8">
                  <c:v>38807</c:v>
                </c:pt>
                <c:pt idx="9">
                  <c:v>38898</c:v>
                </c:pt>
                <c:pt idx="10">
                  <c:v>38990</c:v>
                </c:pt>
                <c:pt idx="11">
                  <c:v>39082</c:v>
                </c:pt>
                <c:pt idx="12">
                  <c:v>39141</c:v>
                </c:pt>
                <c:pt idx="13">
                  <c:v>39233</c:v>
                </c:pt>
                <c:pt idx="14">
                  <c:v>39325</c:v>
                </c:pt>
                <c:pt idx="15">
                  <c:v>39416</c:v>
                </c:pt>
                <c:pt idx="16">
                  <c:v>39507</c:v>
                </c:pt>
                <c:pt idx="17">
                  <c:v>39599</c:v>
                </c:pt>
                <c:pt idx="18">
                  <c:v>39691</c:v>
                </c:pt>
                <c:pt idx="19">
                  <c:v>39782</c:v>
                </c:pt>
                <c:pt idx="20">
                  <c:v>39872</c:v>
                </c:pt>
                <c:pt idx="21">
                  <c:v>39964</c:v>
                </c:pt>
                <c:pt idx="22">
                  <c:v>40056</c:v>
                </c:pt>
                <c:pt idx="23">
                  <c:v>40147</c:v>
                </c:pt>
                <c:pt idx="24">
                  <c:v>40237</c:v>
                </c:pt>
                <c:pt idx="25">
                  <c:v>40329</c:v>
                </c:pt>
                <c:pt idx="26">
                  <c:v>40421</c:v>
                </c:pt>
                <c:pt idx="27">
                  <c:v>40512</c:v>
                </c:pt>
                <c:pt idx="28">
                  <c:v>40602</c:v>
                </c:pt>
                <c:pt idx="29">
                  <c:v>40694</c:v>
                </c:pt>
                <c:pt idx="30">
                  <c:v>40786</c:v>
                </c:pt>
                <c:pt idx="31">
                  <c:v>40877</c:v>
                </c:pt>
                <c:pt idx="32">
                  <c:v>40968</c:v>
                </c:pt>
                <c:pt idx="33">
                  <c:v>41060</c:v>
                </c:pt>
                <c:pt idx="34">
                  <c:v>41152</c:v>
                </c:pt>
                <c:pt idx="35">
                  <c:v>41243</c:v>
                </c:pt>
                <c:pt idx="36">
                  <c:v>41333</c:v>
                </c:pt>
                <c:pt idx="37">
                  <c:v>41425</c:v>
                </c:pt>
                <c:pt idx="38">
                  <c:v>41517</c:v>
                </c:pt>
                <c:pt idx="39">
                  <c:v>41608</c:v>
                </c:pt>
                <c:pt idx="40">
                  <c:v>41698</c:v>
                </c:pt>
                <c:pt idx="41">
                  <c:v>41790</c:v>
                </c:pt>
                <c:pt idx="42">
                  <c:v>41882</c:v>
                </c:pt>
                <c:pt idx="43">
                  <c:v>41973</c:v>
                </c:pt>
                <c:pt idx="44">
                  <c:v>42063</c:v>
                </c:pt>
                <c:pt idx="45">
                  <c:v>42155</c:v>
                </c:pt>
                <c:pt idx="46">
                  <c:v>42247</c:v>
                </c:pt>
              </c:numCache>
            </c:numRef>
          </c:cat>
          <c:val>
            <c:numRef>
              <c:f>我国销售毛利率!$K$4:$K$50</c:f>
              <c:numCache>
                <c:formatCode>General</c:formatCode>
                <c:ptCount val="47"/>
                <c:pt idx="0">
                  <c:v>0.15980000000000028</c:v>
                </c:pt>
                <c:pt idx="1">
                  <c:v>0.13419999999999999</c:v>
                </c:pt>
                <c:pt idx="2">
                  <c:v>0.1313</c:v>
                </c:pt>
                <c:pt idx="3">
                  <c:v>0.13700000000000001</c:v>
                </c:pt>
                <c:pt idx="4">
                  <c:v>0.10859999999999999</c:v>
                </c:pt>
                <c:pt idx="5">
                  <c:v>0.10760000000000014</c:v>
                </c:pt>
                <c:pt idx="6">
                  <c:v>7.0999999999999994E-2</c:v>
                </c:pt>
                <c:pt idx="7">
                  <c:v>8.2100000000000006E-2</c:v>
                </c:pt>
                <c:pt idx="8">
                  <c:v>6.5599999999999992E-2</c:v>
                </c:pt>
                <c:pt idx="9">
                  <c:v>0.1104</c:v>
                </c:pt>
                <c:pt idx="10">
                  <c:v>0.10420000000000014</c:v>
                </c:pt>
                <c:pt idx="11">
                  <c:v>9.69E-2</c:v>
                </c:pt>
                <c:pt idx="12">
                  <c:v>9.2600000000000002E-2</c:v>
                </c:pt>
                <c:pt idx="13">
                  <c:v>0.10560000000000012</c:v>
                </c:pt>
                <c:pt idx="14">
                  <c:v>0.10369999999999999</c:v>
                </c:pt>
                <c:pt idx="15">
                  <c:v>0.13450000000000001</c:v>
                </c:pt>
                <c:pt idx="16">
                  <c:v>8.6700000000000041E-2</c:v>
                </c:pt>
                <c:pt idx="17">
                  <c:v>6.0299999999999999E-2</c:v>
                </c:pt>
                <c:pt idx="18">
                  <c:v>0.15060000000000001</c:v>
                </c:pt>
                <c:pt idx="19">
                  <c:v>-3.9000000000000014E-2</c:v>
                </c:pt>
                <c:pt idx="20">
                  <c:v>5.3099999999999994E-2</c:v>
                </c:pt>
                <c:pt idx="21">
                  <c:v>3.7599999999999995E-2</c:v>
                </c:pt>
                <c:pt idx="22">
                  <c:v>7.3099999999999998E-2</c:v>
                </c:pt>
                <c:pt idx="23">
                  <c:v>6.3899999999999998E-2</c:v>
                </c:pt>
                <c:pt idx="24">
                  <c:v>5.2200000000000003E-2</c:v>
                </c:pt>
                <c:pt idx="25">
                  <c:v>5.4600000000000003E-2</c:v>
                </c:pt>
                <c:pt idx="26">
                  <c:v>2.9900000000000006E-2</c:v>
                </c:pt>
                <c:pt idx="27">
                  <c:v>3.9399999999999998E-2</c:v>
                </c:pt>
                <c:pt idx="28">
                  <c:v>5.4400000000000108E-2</c:v>
                </c:pt>
                <c:pt idx="29">
                  <c:v>7.290000000000002E-2</c:v>
                </c:pt>
                <c:pt idx="30">
                  <c:v>5.3400000000000003E-2</c:v>
                </c:pt>
                <c:pt idx="31">
                  <c:v>7.51E-2</c:v>
                </c:pt>
                <c:pt idx="32">
                  <c:v>4.9800000000000108E-2</c:v>
                </c:pt>
                <c:pt idx="33">
                  <c:v>5.5300000000000085E-2</c:v>
                </c:pt>
                <c:pt idx="34">
                  <c:v>3.4099999999999998E-2</c:v>
                </c:pt>
                <c:pt idx="35">
                  <c:v>6.6199999999999995E-2</c:v>
                </c:pt>
                <c:pt idx="36">
                  <c:v>5.4900000000000032E-2</c:v>
                </c:pt>
                <c:pt idx="37">
                  <c:v>4.7100000000000003E-2</c:v>
                </c:pt>
                <c:pt idx="38">
                  <c:v>5.3099999999999994E-2</c:v>
                </c:pt>
                <c:pt idx="39">
                  <c:v>-1.8000000000000039E-3</c:v>
                </c:pt>
                <c:pt idx="40">
                  <c:v>5.0500000000000003E-2</c:v>
                </c:pt>
                <c:pt idx="41">
                  <c:v>5.6599999999999998E-2</c:v>
                </c:pt>
                <c:pt idx="42">
                  <c:v>6.8099999999999994E-2</c:v>
                </c:pt>
                <c:pt idx="43">
                  <c:v>6.2600000000000003E-2</c:v>
                </c:pt>
                <c:pt idx="44">
                  <c:v>6.4300000000000135E-2</c:v>
                </c:pt>
                <c:pt idx="45">
                  <c:v>6.3E-2</c:v>
                </c:pt>
                <c:pt idx="46">
                  <c:v>4.6400000000000004E-2</c:v>
                </c:pt>
              </c:numCache>
            </c:numRef>
          </c:val>
        </c:ser>
        <c:marker val="1"/>
        <c:axId val="467404672"/>
        <c:axId val="467406208"/>
      </c:lineChart>
      <c:dateAx>
        <c:axId val="467404672"/>
        <c:scaling>
          <c:orientation val="minMax"/>
        </c:scaling>
        <c:axPos val="b"/>
        <c:numFmt formatCode="m/d/yyyy" sourceLinked="1"/>
        <c:tickLblPos val="nextTo"/>
        <c:txPr>
          <a:bodyPr rot="-2700000" vert="horz"/>
          <a:lstStyle/>
          <a:p>
            <a:pPr>
              <a:defRPr sz="700"/>
            </a:pPr>
            <a:endParaRPr lang="zh-CN"/>
          </a:p>
        </c:txPr>
        <c:crossAx val="467406208"/>
        <c:crosses val="autoZero"/>
        <c:auto val="1"/>
        <c:lblOffset val="100"/>
        <c:baseTimeUnit val="months"/>
      </c:dateAx>
      <c:valAx>
        <c:axId val="467406208"/>
        <c:scaling>
          <c:orientation val="minMax"/>
          <c:min val="0"/>
        </c:scaling>
        <c:axPos val="l"/>
        <c:numFmt formatCode="0%" sourceLinked="0"/>
        <c:tickLblPos val="nextTo"/>
        <c:crossAx val="467404672"/>
        <c:crosses val="autoZero"/>
        <c:crossBetween val="between"/>
      </c:valAx>
      <c:spPr>
        <a:noFill/>
        <a:ln w="25400">
          <a:noFill/>
        </a:ln>
      </c:spPr>
    </c:plotArea>
    <c:legend>
      <c:legendPos val="b"/>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Sheet3!$B$4</c:f>
              <c:strCache>
                <c:ptCount val="1"/>
                <c:pt idx="0">
                  <c:v>2014</c:v>
                </c:pt>
              </c:strCache>
            </c:strRef>
          </c:tx>
          <c:spPr>
            <a:solidFill>
              <a:schemeClr val="accent1"/>
            </a:solidFill>
            <a:ln>
              <a:noFill/>
            </a:ln>
            <a:effectLst/>
          </c:spPr>
          <c:cat>
            <c:strRef>
              <c:f>Sheet3!$C$3:$J$3</c:f>
              <c:strCache>
                <c:ptCount val="8"/>
                <c:pt idx="0">
                  <c:v>中国</c:v>
                </c:pt>
                <c:pt idx="1">
                  <c:v>欧洲</c:v>
                </c:pt>
                <c:pt idx="2">
                  <c:v>海湾</c:v>
                </c:pt>
                <c:pt idx="3">
                  <c:v>北美洲</c:v>
                </c:pt>
                <c:pt idx="4">
                  <c:v>亚洲(不含中国)</c:v>
                </c:pt>
                <c:pt idx="5">
                  <c:v>大洋洲</c:v>
                </c:pt>
                <c:pt idx="6">
                  <c:v>非洲</c:v>
                </c:pt>
                <c:pt idx="7">
                  <c:v>南美洲</c:v>
                </c:pt>
              </c:strCache>
            </c:strRef>
          </c:cat>
          <c:val>
            <c:numRef>
              <c:f>Sheet3!$C$4:$J$4</c:f>
              <c:numCache>
                <c:formatCode>###,###,###,###,##0.00_ </c:formatCode>
                <c:ptCount val="8"/>
                <c:pt idx="0">
                  <c:v>21757</c:v>
                </c:pt>
                <c:pt idx="1">
                  <c:v>7279</c:v>
                </c:pt>
                <c:pt idx="2">
                  <c:v>4833</c:v>
                </c:pt>
                <c:pt idx="3">
                  <c:v>4576</c:v>
                </c:pt>
                <c:pt idx="4">
                  <c:v>2429</c:v>
                </c:pt>
                <c:pt idx="5">
                  <c:v>2035</c:v>
                </c:pt>
                <c:pt idx="6">
                  <c:v>1745</c:v>
                </c:pt>
                <c:pt idx="7">
                  <c:v>1530</c:v>
                </c:pt>
              </c:numCache>
            </c:numRef>
          </c:val>
        </c:ser>
        <c:gapWidth val="182"/>
        <c:axId val="461972224"/>
        <c:axId val="465274752"/>
      </c:barChart>
      <c:catAx>
        <c:axId val="46197222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5274752"/>
        <c:crosses val="autoZero"/>
        <c:auto val="1"/>
        <c:lblAlgn val="ctr"/>
        <c:lblOffset val="100"/>
      </c:catAx>
      <c:valAx>
        <c:axId val="465274752"/>
        <c:scaling>
          <c:orientation val="minMax"/>
        </c:scaling>
        <c:axPos val="t"/>
        <c:majorGridlines>
          <c:spPr>
            <a:ln w="9525" cap="flat" cmpd="sng" algn="ctr">
              <a:solidFill>
                <a:schemeClr val="tx1">
                  <a:lumMod val="15000"/>
                  <a:lumOff val="85000"/>
                </a:schemeClr>
              </a:solidFill>
              <a:round/>
            </a:ln>
            <a:effectLst/>
          </c:spPr>
        </c:majorGridlines>
        <c:numFmt formatCode="General"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972224"/>
        <c:crosses val="autoZero"/>
        <c:crossBetween val="between"/>
        <c:dispUnits>
          <c:builtInUnit val="thousands"/>
        </c:dispUnits>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lineChart>
        <c:grouping val="standard"/>
        <c:ser>
          <c:idx val="0"/>
          <c:order val="0"/>
          <c:tx>
            <c:strRef>
              <c:f>Sheet1!$Q$2</c:f>
              <c:strCache>
                <c:ptCount val="1"/>
                <c:pt idx="0">
                  <c:v>水泥制造</c:v>
                </c:pt>
              </c:strCache>
            </c:strRef>
          </c:tx>
          <c:marker>
            <c:symbol val="none"/>
          </c:marker>
          <c:cat>
            <c:numRef>
              <c:f>Sheet1!$P$3:$P$109</c:f>
              <c:numCache>
                <c:formatCode>m/d/yyyy</c:formatCode>
                <c:ptCount val="107"/>
                <c:pt idx="0">
                  <c:v>37925</c:v>
                </c:pt>
                <c:pt idx="1">
                  <c:v>37955</c:v>
                </c:pt>
                <c:pt idx="2">
                  <c:v>37986</c:v>
                </c:pt>
                <c:pt idx="3">
                  <c:v>38046</c:v>
                </c:pt>
                <c:pt idx="4">
                  <c:v>38077</c:v>
                </c:pt>
                <c:pt idx="5">
                  <c:v>38107</c:v>
                </c:pt>
                <c:pt idx="6">
                  <c:v>38138</c:v>
                </c:pt>
                <c:pt idx="7">
                  <c:v>38168</c:v>
                </c:pt>
                <c:pt idx="8">
                  <c:v>38199</c:v>
                </c:pt>
                <c:pt idx="9">
                  <c:v>38230</c:v>
                </c:pt>
                <c:pt idx="10">
                  <c:v>38260</c:v>
                </c:pt>
                <c:pt idx="11">
                  <c:v>38291</c:v>
                </c:pt>
                <c:pt idx="12">
                  <c:v>38321</c:v>
                </c:pt>
                <c:pt idx="13">
                  <c:v>38352</c:v>
                </c:pt>
                <c:pt idx="14">
                  <c:v>38411</c:v>
                </c:pt>
                <c:pt idx="15">
                  <c:v>38442</c:v>
                </c:pt>
                <c:pt idx="16">
                  <c:v>38472</c:v>
                </c:pt>
                <c:pt idx="17">
                  <c:v>38503</c:v>
                </c:pt>
                <c:pt idx="18">
                  <c:v>38533</c:v>
                </c:pt>
                <c:pt idx="19">
                  <c:v>38564</c:v>
                </c:pt>
                <c:pt idx="20">
                  <c:v>38595</c:v>
                </c:pt>
                <c:pt idx="21">
                  <c:v>38625</c:v>
                </c:pt>
                <c:pt idx="22">
                  <c:v>38656</c:v>
                </c:pt>
                <c:pt idx="23">
                  <c:v>38686</c:v>
                </c:pt>
                <c:pt idx="24">
                  <c:v>38717</c:v>
                </c:pt>
                <c:pt idx="25">
                  <c:v>38776</c:v>
                </c:pt>
                <c:pt idx="26">
                  <c:v>38807</c:v>
                </c:pt>
                <c:pt idx="27">
                  <c:v>38837</c:v>
                </c:pt>
                <c:pt idx="28">
                  <c:v>38868</c:v>
                </c:pt>
                <c:pt idx="29">
                  <c:v>38898</c:v>
                </c:pt>
                <c:pt idx="30">
                  <c:v>38929</c:v>
                </c:pt>
                <c:pt idx="31">
                  <c:v>38960</c:v>
                </c:pt>
                <c:pt idx="32">
                  <c:v>38990</c:v>
                </c:pt>
                <c:pt idx="33">
                  <c:v>39021</c:v>
                </c:pt>
                <c:pt idx="34">
                  <c:v>39051</c:v>
                </c:pt>
                <c:pt idx="35">
                  <c:v>39082</c:v>
                </c:pt>
                <c:pt idx="36">
                  <c:v>39141</c:v>
                </c:pt>
                <c:pt idx="37">
                  <c:v>39233</c:v>
                </c:pt>
                <c:pt idx="38">
                  <c:v>39325</c:v>
                </c:pt>
                <c:pt idx="39">
                  <c:v>39416</c:v>
                </c:pt>
                <c:pt idx="40">
                  <c:v>39507</c:v>
                </c:pt>
                <c:pt idx="41">
                  <c:v>39599</c:v>
                </c:pt>
                <c:pt idx="42">
                  <c:v>39691</c:v>
                </c:pt>
                <c:pt idx="43">
                  <c:v>39782</c:v>
                </c:pt>
                <c:pt idx="44">
                  <c:v>39872</c:v>
                </c:pt>
                <c:pt idx="45">
                  <c:v>39964</c:v>
                </c:pt>
                <c:pt idx="46">
                  <c:v>40056</c:v>
                </c:pt>
                <c:pt idx="47">
                  <c:v>40147</c:v>
                </c:pt>
                <c:pt idx="48">
                  <c:v>40237</c:v>
                </c:pt>
                <c:pt idx="49">
                  <c:v>40329</c:v>
                </c:pt>
                <c:pt idx="50">
                  <c:v>40421</c:v>
                </c:pt>
                <c:pt idx="51">
                  <c:v>40512</c:v>
                </c:pt>
                <c:pt idx="52">
                  <c:v>40602</c:v>
                </c:pt>
                <c:pt idx="53">
                  <c:v>40633</c:v>
                </c:pt>
                <c:pt idx="54">
                  <c:v>40663</c:v>
                </c:pt>
                <c:pt idx="55">
                  <c:v>40694</c:v>
                </c:pt>
                <c:pt idx="56">
                  <c:v>40724</c:v>
                </c:pt>
                <c:pt idx="57">
                  <c:v>40755</c:v>
                </c:pt>
                <c:pt idx="58">
                  <c:v>40786</c:v>
                </c:pt>
                <c:pt idx="59">
                  <c:v>40816</c:v>
                </c:pt>
                <c:pt idx="60">
                  <c:v>40847</c:v>
                </c:pt>
                <c:pt idx="61">
                  <c:v>40877</c:v>
                </c:pt>
                <c:pt idx="62">
                  <c:v>40908</c:v>
                </c:pt>
                <c:pt idx="63">
                  <c:v>40968</c:v>
                </c:pt>
                <c:pt idx="64">
                  <c:v>40999</c:v>
                </c:pt>
                <c:pt idx="65">
                  <c:v>41029</c:v>
                </c:pt>
                <c:pt idx="66">
                  <c:v>41060</c:v>
                </c:pt>
                <c:pt idx="67">
                  <c:v>41090</c:v>
                </c:pt>
                <c:pt idx="68">
                  <c:v>41121</c:v>
                </c:pt>
                <c:pt idx="69">
                  <c:v>41152</c:v>
                </c:pt>
                <c:pt idx="70">
                  <c:v>41182</c:v>
                </c:pt>
                <c:pt idx="71">
                  <c:v>41213</c:v>
                </c:pt>
                <c:pt idx="72">
                  <c:v>41243</c:v>
                </c:pt>
                <c:pt idx="73">
                  <c:v>41274</c:v>
                </c:pt>
                <c:pt idx="74">
                  <c:v>41333</c:v>
                </c:pt>
                <c:pt idx="75">
                  <c:v>41364</c:v>
                </c:pt>
                <c:pt idx="76">
                  <c:v>41394</c:v>
                </c:pt>
                <c:pt idx="77">
                  <c:v>41425</c:v>
                </c:pt>
                <c:pt idx="78">
                  <c:v>41455</c:v>
                </c:pt>
                <c:pt idx="79">
                  <c:v>41486</c:v>
                </c:pt>
                <c:pt idx="80">
                  <c:v>41517</c:v>
                </c:pt>
                <c:pt idx="81">
                  <c:v>41547</c:v>
                </c:pt>
                <c:pt idx="82">
                  <c:v>41578</c:v>
                </c:pt>
                <c:pt idx="83">
                  <c:v>41608</c:v>
                </c:pt>
                <c:pt idx="84">
                  <c:v>41639</c:v>
                </c:pt>
                <c:pt idx="85">
                  <c:v>41698</c:v>
                </c:pt>
                <c:pt idx="86">
                  <c:v>41729</c:v>
                </c:pt>
                <c:pt idx="87">
                  <c:v>41759</c:v>
                </c:pt>
                <c:pt idx="88">
                  <c:v>41790</c:v>
                </c:pt>
                <c:pt idx="89">
                  <c:v>41820</c:v>
                </c:pt>
                <c:pt idx="90">
                  <c:v>41851</c:v>
                </c:pt>
                <c:pt idx="91">
                  <c:v>41882</c:v>
                </c:pt>
                <c:pt idx="92">
                  <c:v>41912</c:v>
                </c:pt>
                <c:pt idx="93">
                  <c:v>41943</c:v>
                </c:pt>
                <c:pt idx="94">
                  <c:v>41973</c:v>
                </c:pt>
                <c:pt idx="95">
                  <c:v>42004</c:v>
                </c:pt>
                <c:pt idx="96">
                  <c:v>42063</c:v>
                </c:pt>
                <c:pt idx="97">
                  <c:v>42094</c:v>
                </c:pt>
                <c:pt idx="98">
                  <c:v>42124</c:v>
                </c:pt>
                <c:pt idx="99">
                  <c:v>42155</c:v>
                </c:pt>
                <c:pt idx="100">
                  <c:v>42185</c:v>
                </c:pt>
                <c:pt idx="101">
                  <c:v>42216</c:v>
                </c:pt>
                <c:pt idx="102">
                  <c:v>42247</c:v>
                </c:pt>
                <c:pt idx="103">
                  <c:v>42277</c:v>
                </c:pt>
                <c:pt idx="104">
                  <c:v>42308</c:v>
                </c:pt>
                <c:pt idx="105">
                  <c:v>42338</c:v>
                </c:pt>
                <c:pt idx="106">
                  <c:v>42369</c:v>
                </c:pt>
              </c:numCache>
            </c:numRef>
          </c:cat>
          <c:val>
            <c:numRef>
              <c:f>Sheet1!$Q$3:$Q$109</c:f>
              <c:numCache>
                <c:formatCode>General</c:formatCode>
                <c:ptCount val="107"/>
                <c:pt idx="0">
                  <c:v>4.4630029780738323E-2</c:v>
                </c:pt>
                <c:pt idx="1">
                  <c:v>5.3033882052151954E-2</c:v>
                </c:pt>
                <c:pt idx="2">
                  <c:v>6.1480052554085229E-2</c:v>
                </c:pt>
                <c:pt idx="3">
                  <c:v>6.4038537287846503E-2</c:v>
                </c:pt>
                <c:pt idx="4">
                  <c:v>6.9574152175811796E-2</c:v>
                </c:pt>
                <c:pt idx="5">
                  <c:v>7.5328274456277503E-2</c:v>
                </c:pt>
                <c:pt idx="6">
                  <c:v>7.6324882512326719E-2</c:v>
                </c:pt>
                <c:pt idx="7">
                  <c:v>7.4572183841890627E-2</c:v>
                </c:pt>
                <c:pt idx="8">
                  <c:v>7.0063821949570337E-2</c:v>
                </c:pt>
                <c:pt idx="9">
                  <c:v>6.5115491310314799E-2</c:v>
                </c:pt>
                <c:pt idx="10">
                  <c:v>6.4172420096937022E-2</c:v>
                </c:pt>
                <c:pt idx="11">
                  <c:v>6.2529863756980233E-2</c:v>
                </c:pt>
                <c:pt idx="12">
                  <c:v>6.0791084234059149E-2</c:v>
                </c:pt>
                <c:pt idx="13">
                  <c:v>5.9491577439702917E-2</c:v>
                </c:pt>
                <c:pt idx="14">
                  <c:v>-1.6134068892020351E-2</c:v>
                </c:pt>
                <c:pt idx="15">
                  <c:v>-7.7802986705258845E-3</c:v>
                </c:pt>
                <c:pt idx="16">
                  <c:v>-1.1878846475218544E-3</c:v>
                </c:pt>
                <c:pt idx="17">
                  <c:v>8.1190562066635035E-3</c:v>
                </c:pt>
                <c:pt idx="18">
                  <c:v>1.5688104307809345E-2</c:v>
                </c:pt>
                <c:pt idx="19">
                  <c:v>1.7592913455272096E-2</c:v>
                </c:pt>
                <c:pt idx="20">
                  <c:v>1.753415625084917E-2</c:v>
                </c:pt>
                <c:pt idx="21">
                  <c:v>1.9554806511061885E-2</c:v>
                </c:pt>
                <c:pt idx="22">
                  <c:v>2.1789547159584852E-2</c:v>
                </c:pt>
                <c:pt idx="23">
                  <c:v>2.5670910345944566E-2</c:v>
                </c:pt>
                <c:pt idx="24">
                  <c:v>3.086151008277619E-2</c:v>
                </c:pt>
                <c:pt idx="25">
                  <c:v>-1.4831613508457246E-3</c:v>
                </c:pt>
                <c:pt idx="26">
                  <c:v>9.7855060157561683E-3</c:v>
                </c:pt>
                <c:pt idx="27">
                  <c:v>1.7750074180666309E-2</c:v>
                </c:pt>
                <c:pt idx="28">
                  <c:v>2.4634776285823404E-2</c:v>
                </c:pt>
                <c:pt idx="29">
                  <c:v>3.1726496679357535E-2</c:v>
                </c:pt>
                <c:pt idx="30">
                  <c:v>3.3373061099139852E-2</c:v>
                </c:pt>
                <c:pt idx="31">
                  <c:v>3.4453072872444722E-2</c:v>
                </c:pt>
                <c:pt idx="32">
                  <c:v>3.7026985402500455E-2</c:v>
                </c:pt>
                <c:pt idx="33">
                  <c:v>3.9718680965455617E-2</c:v>
                </c:pt>
                <c:pt idx="34">
                  <c:v>4.2673970224913392E-2</c:v>
                </c:pt>
                <c:pt idx="35">
                  <c:v>4.6745343859443324E-2</c:v>
                </c:pt>
                <c:pt idx="36">
                  <c:v>2.0512764615541263E-2</c:v>
                </c:pt>
                <c:pt idx="37">
                  <c:v>3.9392400596366159E-2</c:v>
                </c:pt>
                <c:pt idx="38">
                  <c:v>5.1301492635014892E-2</c:v>
                </c:pt>
                <c:pt idx="39">
                  <c:v>5.8964643990528399E-2</c:v>
                </c:pt>
                <c:pt idx="40">
                  <c:v>2.7690050779356802E-2</c:v>
                </c:pt>
                <c:pt idx="41">
                  <c:v>5.2349474610036341E-2</c:v>
                </c:pt>
                <c:pt idx="42">
                  <c:v>6.2912623378026819E-2</c:v>
                </c:pt>
                <c:pt idx="43">
                  <c:v>6.1762885328514802E-2</c:v>
                </c:pt>
                <c:pt idx="44">
                  <c:v>2.2274573439396896E-2</c:v>
                </c:pt>
                <c:pt idx="45">
                  <c:v>5.4732561945643042E-2</c:v>
                </c:pt>
                <c:pt idx="46">
                  <c:v>6.509603643135127E-2</c:v>
                </c:pt>
                <c:pt idx="47">
                  <c:v>7.312979867733467E-2</c:v>
                </c:pt>
                <c:pt idx="48">
                  <c:v>3.7595786281860041E-2</c:v>
                </c:pt>
                <c:pt idx="49">
                  <c:v>5.7094785409525492E-2</c:v>
                </c:pt>
                <c:pt idx="50">
                  <c:v>6.4447720632387573E-2</c:v>
                </c:pt>
                <c:pt idx="51">
                  <c:v>7.826815925702589E-2</c:v>
                </c:pt>
                <c:pt idx="52">
                  <c:v>7.8570023902824013E-2</c:v>
                </c:pt>
                <c:pt idx="53">
                  <c:v>8.9407599429894763E-2</c:v>
                </c:pt>
                <c:pt idx="54">
                  <c:v>9.8676814734673615E-2</c:v>
                </c:pt>
                <c:pt idx="55">
                  <c:v>0.10866139110392957</c:v>
                </c:pt>
                <c:pt idx="56">
                  <c:v>0.11178623468691221</c:v>
                </c:pt>
                <c:pt idx="57">
                  <c:v>0.11327123875428002</c:v>
                </c:pt>
                <c:pt idx="58">
                  <c:v>0.11295920245157302</c:v>
                </c:pt>
                <c:pt idx="59">
                  <c:v>0.11277425810553512</c:v>
                </c:pt>
                <c:pt idx="60">
                  <c:v>0.11315955326512589</c:v>
                </c:pt>
                <c:pt idx="61">
                  <c:v>0.11201478236800259</c:v>
                </c:pt>
                <c:pt idx="62">
                  <c:v>0.11085836051155915</c:v>
                </c:pt>
                <c:pt idx="63">
                  <c:v>2.1605791141389191E-2</c:v>
                </c:pt>
                <c:pt idx="64">
                  <c:v>3.3428879270325701E-2</c:v>
                </c:pt>
                <c:pt idx="65">
                  <c:v>3.9113414714470586E-2</c:v>
                </c:pt>
                <c:pt idx="66">
                  <c:v>4.7319963428363407E-2</c:v>
                </c:pt>
                <c:pt idx="67">
                  <c:v>5.5787147635048523E-2</c:v>
                </c:pt>
                <c:pt idx="68">
                  <c:v>5.5173588854017894E-2</c:v>
                </c:pt>
                <c:pt idx="69">
                  <c:v>5.5207267560628472E-2</c:v>
                </c:pt>
                <c:pt idx="70">
                  <c:v>5.6936569457063428E-2</c:v>
                </c:pt>
                <c:pt idx="71">
                  <c:v>6.1181857947964095E-2</c:v>
                </c:pt>
                <c:pt idx="72">
                  <c:v>6.6288403659350278E-2</c:v>
                </c:pt>
                <c:pt idx="73">
                  <c:v>7.4425814838058921E-2</c:v>
                </c:pt>
                <c:pt idx="74">
                  <c:v>8.542860281983769E-3</c:v>
                </c:pt>
                <c:pt idx="75">
                  <c:v>2.1332660992259351E-2</c:v>
                </c:pt>
                <c:pt idx="76">
                  <c:v>3.233489579355283E-2</c:v>
                </c:pt>
                <c:pt idx="77">
                  <c:v>4.4934075958130378E-2</c:v>
                </c:pt>
                <c:pt idx="78">
                  <c:v>5.2237455695984147E-2</c:v>
                </c:pt>
                <c:pt idx="79">
                  <c:v>5.5568786141045455E-2</c:v>
                </c:pt>
                <c:pt idx="80">
                  <c:v>5.9666311413107978E-2</c:v>
                </c:pt>
                <c:pt idx="81">
                  <c:v>6.278111591916348E-2</c:v>
                </c:pt>
                <c:pt idx="82">
                  <c:v>6.8278263488304056E-2</c:v>
                </c:pt>
                <c:pt idx="83">
                  <c:v>7.4595424328827195E-2</c:v>
                </c:pt>
                <c:pt idx="84">
                  <c:v>7.8956645567408001E-2</c:v>
                </c:pt>
                <c:pt idx="85">
                  <c:v>4.3068951536257519E-2</c:v>
                </c:pt>
                <c:pt idx="86">
                  <c:v>5.1858176841142432E-2</c:v>
                </c:pt>
                <c:pt idx="87">
                  <c:v>6.1992261279112122E-2</c:v>
                </c:pt>
                <c:pt idx="88">
                  <c:v>7.0613607173239432E-2</c:v>
                </c:pt>
                <c:pt idx="89">
                  <c:v>7.4608154106623401E-2</c:v>
                </c:pt>
                <c:pt idx="90">
                  <c:v>7.4752932688149934E-2</c:v>
                </c:pt>
                <c:pt idx="91">
                  <c:v>7.3947657545643183E-2</c:v>
                </c:pt>
                <c:pt idx="92">
                  <c:v>7.4643829194024028E-2</c:v>
                </c:pt>
                <c:pt idx="93">
                  <c:v>7.6649414819423597E-2</c:v>
                </c:pt>
                <c:pt idx="94">
                  <c:v>7.8021622385659295E-2</c:v>
                </c:pt>
                <c:pt idx="95">
                  <c:v>7.9676460380556174E-2</c:v>
                </c:pt>
                <c:pt idx="96">
                  <c:v>7.224451403087845E-4</c:v>
                </c:pt>
                <c:pt idx="97">
                  <c:v>1.8226496496248846E-2</c:v>
                </c:pt>
                <c:pt idx="98">
                  <c:v>2.3534551202792579E-2</c:v>
                </c:pt>
                <c:pt idx="99">
                  <c:v>2.8057268789470798E-2</c:v>
                </c:pt>
                <c:pt idx="100">
                  <c:v>3.2004583192924221E-2</c:v>
                </c:pt>
                <c:pt idx="101">
                  <c:v>2.9998321518564158E-2</c:v>
                </c:pt>
                <c:pt idx="102">
                  <c:v>2.7575196521741615E-2</c:v>
                </c:pt>
                <c:pt idx="103">
                  <c:v>2.8458081748114598E-2</c:v>
                </c:pt>
                <c:pt idx="104">
                  <c:v>3.0763934718612995E-2</c:v>
                </c:pt>
              </c:numCache>
            </c:numRef>
          </c:val>
        </c:ser>
        <c:ser>
          <c:idx val="1"/>
          <c:order val="1"/>
          <c:tx>
            <c:strRef>
              <c:f>Sheet1!$R$2</c:f>
              <c:strCache>
                <c:ptCount val="1"/>
                <c:pt idx="0">
                  <c:v>煤炭开采</c:v>
                </c:pt>
              </c:strCache>
            </c:strRef>
          </c:tx>
          <c:marker>
            <c:symbol val="none"/>
          </c:marker>
          <c:cat>
            <c:numRef>
              <c:f>Sheet1!$P$3:$P$109</c:f>
              <c:numCache>
                <c:formatCode>m/d/yyyy</c:formatCode>
                <c:ptCount val="107"/>
                <c:pt idx="0">
                  <c:v>37925</c:v>
                </c:pt>
                <c:pt idx="1">
                  <c:v>37955</c:v>
                </c:pt>
                <c:pt idx="2">
                  <c:v>37986</c:v>
                </c:pt>
                <c:pt idx="3">
                  <c:v>38046</c:v>
                </c:pt>
                <c:pt idx="4">
                  <c:v>38077</c:v>
                </c:pt>
                <c:pt idx="5">
                  <c:v>38107</c:v>
                </c:pt>
                <c:pt idx="6">
                  <c:v>38138</c:v>
                </c:pt>
                <c:pt idx="7">
                  <c:v>38168</c:v>
                </c:pt>
                <c:pt idx="8">
                  <c:v>38199</c:v>
                </c:pt>
                <c:pt idx="9">
                  <c:v>38230</c:v>
                </c:pt>
                <c:pt idx="10">
                  <c:v>38260</c:v>
                </c:pt>
                <c:pt idx="11">
                  <c:v>38291</c:v>
                </c:pt>
                <c:pt idx="12">
                  <c:v>38321</c:v>
                </c:pt>
                <c:pt idx="13">
                  <c:v>38352</c:v>
                </c:pt>
                <c:pt idx="14">
                  <c:v>38411</c:v>
                </c:pt>
                <c:pt idx="15">
                  <c:v>38442</c:v>
                </c:pt>
                <c:pt idx="16">
                  <c:v>38472</c:v>
                </c:pt>
                <c:pt idx="17">
                  <c:v>38503</c:v>
                </c:pt>
                <c:pt idx="18">
                  <c:v>38533</c:v>
                </c:pt>
                <c:pt idx="19">
                  <c:v>38564</c:v>
                </c:pt>
                <c:pt idx="20">
                  <c:v>38595</c:v>
                </c:pt>
                <c:pt idx="21">
                  <c:v>38625</c:v>
                </c:pt>
                <c:pt idx="22">
                  <c:v>38656</c:v>
                </c:pt>
                <c:pt idx="23">
                  <c:v>38686</c:v>
                </c:pt>
                <c:pt idx="24">
                  <c:v>38717</c:v>
                </c:pt>
                <c:pt idx="25">
                  <c:v>38776</c:v>
                </c:pt>
                <c:pt idx="26">
                  <c:v>38807</c:v>
                </c:pt>
                <c:pt idx="27">
                  <c:v>38837</c:v>
                </c:pt>
                <c:pt idx="28">
                  <c:v>38868</c:v>
                </c:pt>
                <c:pt idx="29">
                  <c:v>38898</c:v>
                </c:pt>
                <c:pt idx="30">
                  <c:v>38929</c:v>
                </c:pt>
                <c:pt idx="31">
                  <c:v>38960</c:v>
                </c:pt>
                <c:pt idx="32">
                  <c:v>38990</c:v>
                </c:pt>
                <c:pt idx="33">
                  <c:v>39021</c:v>
                </c:pt>
                <c:pt idx="34">
                  <c:v>39051</c:v>
                </c:pt>
                <c:pt idx="35">
                  <c:v>39082</c:v>
                </c:pt>
                <c:pt idx="36">
                  <c:v>39141</c:v>
                </c:pt>
                <c:pt idx="37">
                  <c:v>39233</c:v>
                </c:pt>
                <c:pt idx="38">
                  <c:v>39325</c:v>
                </c:pt>
                <c:pt idx="39">
                  <c:v>39416</c:v>
                </c:pt>
                <c:pt idx="40">
                  <c:v>39507</c:v>
                </c:pt>
                <c:pt idx="41">
                  <c:v>39599</c:v>
                </c:pt>
                <c:pt idx="42">
                  <c:v>39691</c:v>
                </c:pt>
                <c:pt idx="43">
                  <c:v>39782</c:v>
                </c:pt>
                <c:pt idx="44">
                  <c:v>39872</c:v>
                </c:pt>
                <c:pt idx="45">
                  <c:v>39964</c:v>
                </c:pt>
                <c:pt idx="46">
                  <c:v>40056</c:v>
                </c:pt>
                <c:pt idx="47">
                  <c:v>40147</c:v>
                </c:pt>
                <c:pt idx="48">
                  <c:v>40237</c:v>
                </c:pt>
                <c:pt idx="49">
                  <c:v>40329</c:v>
                </c:pt>
                <c:pt idx="50">
                  <c:v>40421</c:v>
                </c:pt>
                <c:pt idx="51">
                  <c:v>40512</c:v>
                </c:pt>
                <c:pt idx="52">
                  <c:v>40602</c:v>
                </c:pt>
                <c:pt idx="53">
                  <c:v>40633</c:v>
                </c:pt>
                <c:pt idx="54">
                  <c:v>40663</c:v>
                </c:pt>
                <c:pt idx="55">
                  <c:v>40694</c:v>
                </c:pt>
                <c:pt idx="56">
                  <c:v>40724</c:v>
                </c:pt>
                <c:pt idx="57">
                  <c:v>40755</c:v>
                </c:pt>
                <c:pt idx="58">
                  <c:v>40786</c:v>
                </c:pt>
                <c:pt idx="59">
                  <c:v>40816</c:v>
                </c:pt>
                <c:pt idx="60">
                  <c:v>40847</c:v>
                </c:pt>
                <c:pt idx="61">
                  <c:v>40877</c:v>
                </c:pt>
                <c:pt idx="62">
                  <c:v>40908</c:v>
                </c:pt>
                <c:pt idx="63">
                  <c:v>40968</c:v>
                </c:pt>
                <c:pt idx="64">
                  <c:v>40999</c:v>
                </c:pt>
                <c:pt idx="65">
                  <c:v>41029</c:v>
                </c:pt>
                <c:pt idx="66">
                  <c:v>41060</c:v>
                </c:pt>
                <c:pt idx="67">
                  <c:v>41090</c:v>
                </c:pt>
                <c:pt idx="68">
                  <c:v>41121</c:v>
                </c:pt>
                <c:pt idx="69">
                  <c:v>41152</c:v>
                </c:pt>
                <c:pt idx="70">
                  <c:v>41182</c:v>
                </c:pt>
                <c:pt idx="71">
                  <c:v>41213</c:v>
                </c:pt>
                <c:pt idx="72">
                  <c:v>41243</c:v>
                </c:pt>
                <c:pt idx="73">
                  <c:v>41274</c:v>
                </c:pt>
                <c:pt idx="74">
                  <c:v>41333</c:v>
                </c:pt>
                <c:pt idx="75">
                  <c:v>41364</c:v>
                </c:pt>
                <c:pt idx="76">
                  <c:v>41394</c:v>
                </c:pt>
                <c:pt idx="77">
                  <c:v>41425</c:v>
                </c:pt>
                <c:pt idx="78">
                  <c:v>41455</c:v>
                </c:pt>
                <c:pt idx="79">
                  <c:v>41486</c:v>
                </c:pt>
                <c:pt idx="80">
                  <c:v>41517</c:v>
                </c:pt>
                <c:pt idx="81">
                  <c:v>41547</c:v>
                </c:pt>
                <c:pt idx="82">
                  <c:v>41578</c:v>
                </c:pt>
                <c:pt idx="83">
                  <c:v>41608</c:v>
                </c:pt>
                <c:pt idx="84">
                  <c:v>41639</c:v>
                </c:pt>
                <c:pt idx="85">
                  <c:v>41698</c:v>
                </c:pt>
                <c:pt idx="86">
                  <c:v>41729</c:v>
                </c:pt>
                <c:pt idx="87">
                  <c:v>41759</c:v>
                </c:pt>
                <c:pt idx="88">
                  <c:v>41790</c:v>
                </c:pt>
                <c:pt idx="89">
                  <c:v>41820</c:v>
                </c:pt>
                <c:pt idx="90">
                  <c:v>41851</c:v>
                </c:pt>
                <c:pt idx="91">
                  <c:v>41882</c:v>
                </c:pt>
                <c:pt idx="92">
                  <c:v>41912</c:v>
                </c:pt>
                <c:pt idx="93">
                  <c:v>41943</c:v>
                </c:pt>
                <c:pt idx="94">
                  <c:v>41973</c:v>
                </c:pt>
                <c:pt idx="95">
                  <c:v>42004</c:v>
                </c:pt>
                <c:pt idx="96">
                  <c:v>42063</c:v>
                </c:pt>
                <c:pt idx="97">
                  <c:v>42094</c:v>
                </c:pt>
                <c:pt idx="98">
                  <c:v>42124</c:v>
                </c:pt>
                <c:pt idx="99">
                  <c:v>42155</c:v>
                </c:pt>
                <c:pt idx="100">
                  <c:v>42185</c:v>
                </c:pt>
                <c:pt idx="101">
                  <c:v>42216</c:v>
                </c:pt>
                <c:pt idx="102">
                  <c:v>42247</c:v>
                </c:pt>
                <c:pt idx="103">
                  <c:v>42277</c:v>
                </c:pt>
                <c:pt idx="104">
                  <c:v>42308</c:v>
                </c:pt>
                <c:pt idx="105">
                  <c:v>42338</c:v>
                </c:pt>
                <c:pt idx="106">
                  <c:v>42369</c:v>
                </c:pt>
              </c:numCache>
            </c:numRef>
          </c:cat>
          <c:val>
            <c:numRef>
              <c:f>Sheet1!$R$3:$R$109</c:f>
              <c:numCache>
                <c:formatCode>General</c:formatCode>
                <c:ptCount val="107"/>
                <c:pt idx="0">
                  <c:v>5.5182796393759129E-2</c:v>
                </c:pt>
                <c:pt idx="1">
                  <c:v>5.491321208560318E-2</c:v>
                </c:pt>
                <c:pt idx="2">
                  <c:v>5.6229484823052442E-2</c:v>
                </c:pt>
                <c:pt idx="3">
                  <c:v>6.0658780361743832E-2</c:v>
                </c:pt>
                <c:pt idx="4">
                  <c:v>7.0290068434005523E-2</c:v>
                </c:pt>
                <c:pt idx="5">
                  <c:v>7.5213240050450422E-2</c:v>
                </c:pt>
                <c:pt idx="6">
                  <c:v>7.937714568420691E-2</c:v>
                </c:pt>
                <c:pt idx="7">
                  <c:v>8.1184823477304532E-2</c:v>
                </c:pt>
                <c:pt idx="8">
                  <c:v>8.2238628988099749E-2</c:v>
                </c:pt>
                <c:pt idx="9">
                  <c:v>8.2040363720971343E-2</c:v>
                </c:pt>
                <c:pt idx="10">
                  <c:v>8.1037641046427578E-2</c:v>
                </c:pt>
                <c:pt idx="11">
                  <c:v>8.1753907828465616E-2</c:v>
                </c:pt>
                <c:pt idx="12">
                  <c:v>8.1549440926584546E-2</c:v>
                </c:pt>
                <c:pt idx="13">
                  <c:v>7.9552142811268822E-2</c:v>
                </c:pt>
                <c:pt idx="14">
                  <c:v>9.0082693710882705E-2</c:v>
                </c:pt>
                <c:pt idx="15">
                  <c:v>9.73015056293422E-2</c:v>
                </c:pt>
                <c:pt idx="16">
                  <c:v>9.7089124781200034E-2</c:v>
                </c:pt>
                <c:pt idx="17">
                  <c:v>9.7752257390966713E-2</c:v>
                </c:pt>
                <c:pt idx="18">
                  <c:v>9.8566837148683598E-2</c:v>
                </c:pt>
                <c:pt idx="19">
                  <c:v>9.859767540676026E-2</c:v>
                </c:pt>
                <c:pt idx="20">
                  <c:v>9.8783602556914749E-2</c:v>
                </c:pt>
                <c:pt idx="21">
                  <c:v>9.8483244909157039E-2</c:v>
                </c:pt>
                <c:pt idx="22">
                  <c:v>9.8013786493238789E-2</c:v>
                </c:pt>
                <c:pt idx="23">
                  <c:v>9.6428735121859746E-2</c:v>
                </c:pt>
                <c:pt idx="24">
                  <c:v>9.6012283293476303E-2</c:v>
                </c:pt>
                <c:pt idx="25">
                  <c:v>7.1184346570757256E-2</c:v>
                </c:pt>
                <c:pt idx="26">
                  <c:v>8.2941430584347428E-2</c:v>
                </c:pt>
                <c:pt idx="27">
                  <c:v>8.5992208194160064E-2</c:v>
                </c:pt>
                <c:pt idx="28">
                  <c:v>8.6474156707151931E-2</c:v>
                </c:pt>
                <c:pt idx="29">
                  <c:v>8.8977855645711465E-2</c:v>
                </c:pt>
                <c:pt idx="30">
                  <c:v>8.9631279460533467E-2</c:v>
                </c:pt>
                <c:pt idx="31">
                  <c:v>9.0108828876141217E-2</c:v>
                </c:pt>
                <c:pt idx="32">
                  <c:v>9.1418418371054203E-2</c:v>
                </c:pt>
                <c:pt idx="33">
                  <c:v>9.3187944518050264E-2</c:v>
                </c:pt>
                <c:pt idx="34">
                  <c:v>9.3872732587636287E-2</c:v>
                </c:pt>
                <c:pt idx="35">
                  <c:v>9.5492572561298047E-2</c:v>
                </c:pt>
                <c:pt idx="36">
                  <c:v>8.2456212097039724E-2</c:v>
                </c:pt>
                <c:pt idx="37">
                  <c:v>9.3953022442893858E-2</c:v>
                </c:pt>
                <c:pt idx="38">
                  <c:v>9.6191577929895772E-2</c:v>
                </c:pt>
                <c:pt idx="39">
                  <c:v>0.10421943082099365</c:v>
                </c:pt>
                <c:pt idx="40">
                  <c:v>0.10988596504245755</c:v>
                </c:pt>
                <c:pt idx="41">
                  <c:v>0.12818969940807387</c:v>
                </c:pt>
                <c:pt idx="42">
                  <c:v>0.14662641889788941</c:v>
                </c:pt>
                <c:pt idx="43">
                  <c:v>0.1468326800938124</c:v>
                </c:pt>
                <c:pt idx="44">
                  <c:v>0.10788469014387871</c:v>
                </c:pt>
                <c:pt idx="45">
                  <c:v>0.11715647775330069</c:v>
                </c:pt>
                <c:pt idx="46">
                  <c:v>0.11858209837149734</c:v>
                </c:pt>
                <c:pt idx="47">
                  <c:v>0.11849440279027947</c:v>
                </c:pt>
                <c:pt idx="48">
                  <c:v>0.13502413212262254</c:v>
                </c:pt>
                <c:pt idx="49">
                  <c:v>0.14335991589313771</c:v>
                </c:pt>
                <c:pt idx="50">
                  <c:v>0.14147796162322671</c:v>
                </c:pt>
                <c:pt idx="51">
                  <c:v>0.13850902362596521</c:v>
                </c:pt>
                <c:pt idx="52">
                  <c:v>0.13005781574884837</c:v>
                </c:pt>
                <c:pt idx="53">
                  <c:v>0.13636738131450393</c:v>
                </c:pt>
                <c:pt idx="54">
                  <c:v>0.1387206607081701</c:v>
                </c:pt>
                <c:pt idx="55">
                  <c:v>0.14064654704234095</c:v>
                </c:pt>
                <c:pt idx="56">
                  <c:v>0.13839480383178721</c:v>
                </c:pt>
                <c:pt idx="57">
                  <c:v>0.13350738610353091</c:v>
                </c:pt>
                <c:pt idx="58">
                  <c:v>0.13343829612232885</c:v>
                </c:pt>
                <c:pt idx="59">
                  <c:v>0.13371289757565641</c:v>
                </c:pt>
                <c:pt idx="60">
                  <c:v>0.13130922065540176</c:v>
                </c:pt>
                <c:pt idx="61">
                  <c:v>0.13190194170449576</c:v>
                </c:pt>
                <c:pt idx="62">
                  <c:v>0.13320680181861136</c:v>
                </c:pt>
                <c:pt idx="63">
                  <c:v>0.12042217300250407</c:v>
                </c:pt>
                <c:pt idx="64">
                  <c:v>0.11777451623936754</c:v>
                </c:pt>
                <c:pt idx="65">
                  <c:v>0.11784348682841583</c:v>
                </c:pt>
                <c:pt idx="66">
                  <c:v>0.11681164233905218</c:v>
                </c:pt>
                <c:pt idx="67">
                  <c:v>0.11548914506352442</c:v>
                </c:pt>
                <c:pt idx="68">
                  <c:v>0.11154491185510354</c:v>
                </c:pt>
                <c:pt idx="69">
                  <c:v>0.10584413592563104</c:v>
                </c:pt>
                <c:pt idx="70">
                  <c:v>0.10083354930818329</c:v>
                </c:pt>
                <c:pt idx="71">
                  <c:v>0.10177457805354569</c:v>
                </c:pt>
                <c:pt idx="72">
                  <c:v>0.10250210695082645</c:v>
                </c:pt>
                <c:pt idx="73">
                  <c:v>0.10616468275646261</c:v>
                </c:pt>
                <c:pt idx="74">
                  <c:v>7.7270235272398222E-2</c:v>
                </c:pt>
                <c:pt idx="75">
                  <c:v>7.1465340882315723E-2</c:v>
                </c:pt>
                <c:pt idx="76">
                  <c:v>6.8445611263893022E-2</c:v>
                </c:pt>
                <c:pt idx="77">
                  <c:v>6.89552347323375E-2</c:v>
                </c:pt>
                <c:pt idx="78">
                  <c:v>6.7183366152512414E-2</c:v>
                </c:pt>
                <c:pt idx="79">
                  <c:v>6.4598715597648113E-2</c:v>
                </c:pt>
                <c:pt idx="80">
                  <c:v>6.3210041942980313E-2</c:v>
                </c:pt>
                <c:pt idx="81">
                  <c:v>6.3718156492914499E-2</c:v>
                </c:pt>
                <c:pt idx="82">
                  <c:v>6.4370105816940734E-2</c:v>
                </c:pt>
                <c:pt idx="83">
                  <c:v>6.7110004115373184E-2</c:v>
                </c:pt>
                <c:pt idx="84">
                  <c:v>7.3133359824525901E-2</c:v>
                </c:pt>
                <c:pt idx="85">
                  <c:v>5.0746240824330532E-2</c:v>
                </c:pt>
                <c:pt idx="86">
                  <c:v>4.6084480298470329E-2</c:v>
                </c:pt>
                <c:pt idx="87">
                  <c:v>4.2765763430084959E-2</c:v>
                </c:pt>
                <c:pt idx="88">
                  <c:v>4.2071540537653648E-2</c:v>
                </c:pt>
                <c:pt idx="89">
                  <c:v>4.1191564524064875E-2</c:v>
                </c:pt>
                <c:pt idx="90">
                  <c:v>3.8938913228556492E-2</c:v>
                </c:pt>
                <c:pt idx="91">
                  <c:v>3.6528534781286308E-2</c:v>
                </c:pt>
                <c:pt idx="92">
                  <c:v>3.6213489406234853E-2</c:v>
                </c:pt>
                <c:pt idx="93">
                  <c:v>3.8031385281978559E-2</c:v>
                </c:pt>
                <c:pt idx="94">
                  <c:v>4.0344058550477367E-2</c:v>
                </c:pt>
                <c:pt idx="95">
                  <c:v>4.2218037405094402E-2</c:v>
                </c:pt>
                <c:pt idx="96">
                  <c:v>2.0847629141673891E-2</c:v>
                </c:pt>
                <c:pt idx="97">
                  <c:v>1.9873929321153054E-2</c:v>
                </c:pt>
                <c:pt idx="98">
                  <c:v>1.8865368659829723E-2</c:v>
                </c:pt>
                <c:pt idx="99">
                  <c:v>1.6422524766511144E-2</c:v>
                </c:pt>
                <c:pt idx="100">
                  <c:v>1.5926408882878221E-2</c:v>
                </c:pt>
                <c:pt idx="101">
                  <c:v>1.5778828070449717E-2</c:v>
                </c:pt>
                <c:pt idx="102">
                  <c:v>1.5520269576155333E-2</c:v>
                </c:pt>
                <c:pt idx="103">
                  <c:v>1.5520797929622762E-2</c:v>
                </c:pt>
                <c:pt idx="104">
                  <c:v>1.7274587431515963E-2</c:v>
                </c:pt>
                <c:pt idx="105">
                  <c:v>1.867219006578056E-2</c:v>
                </c:pt>
                <c:pt idx="106">
                  <c:v>1.7635597661923033E-2</c:v>
                </c:pt>
              </c:numCache>
            </c:numRef>
          </c:val>
        </c:ser>
        <c:ser>
          <c:idx val="2"/>
          <c:order val="2"/>
          <c:tx>
            <c:strRef>
              <c:f>Sheet1!$S$2</c:f>
              <c:strCache>
                <c:ptCount val="1"/>
                <c:pt idx="0">
                  <c:v>炼钢</c:v>
                </c:pt>
              </c:strCache>
            </c:strRef>
          </c:tx>
          <c:marker>
            <c:symbol val="none"/>
          </c:marker>
          <c:cat>
            <c:numRef>
              <c:f>Sheet1!$P$3:$P$109</c:f>
              <c:numCache>
                <c:formatCode>m/d/yyyy</c:formatCode>
                <c:ptCount val="107"/>
                <c:pt idx="0">
                  <c:v>37925</c:v>
                </c:pt>
                <c:pt idx="1">
                  <c:v>37955</c:v>
                </c:pt>
                <c:pt idx="2">
                  <c:v>37986</c:v>
                </c:pt>
                <c:pt idx="3">
                  <c:v>38046</c:v>
                </c:pt>
                <c:pt idx="4">
                  <c:v>38077</c:v>
                </c:pt>
                <c:pt idx="5">
                  <c:v>38107</c:v>
                </c:pt>
                <c:pt idx="6">
                  <c:v>38138</c:v>
                </c:pt>
                <c:pt idx="7">
                  <c:v>38168</c:v>
                </c:pt>
                <c:pt idx="8">
                  <c:v>38199</c:v>
                </c:pt>
                <c:pt idx="9">
                  <c:v>38230</c:v>
                </c:pt>
                <c:pt idx="10">
                  <c:v>38260</c:v>
                </c:pt>
                <c:pt idx="11">
                  <c:v>38291</c:v>
                </c:pt>
                <c:pt idx="12">
                  <c:v>38321</c:v>
                </c:pt>
                <c:pt idx="13">
                  <c:v>38352</c:v>
                </c:pt>
                <c:pt idx="14">
                  <c:v>38411</c:v>
                </c:pt>
                <c:pt idx="15">
                  <c:v>38442</c:v>
                </c:pt>
                <c:pt idx="16">
                  <c:v>38472</c:v>
                </c:pt>
                <c:pt idx="17">
                  <c:v>38503</c:v>
                </c:pt>
                <c:pt idx="18">
                  <c:v>38533</c:v>
                </c:pt>
                <c:pt idx="19">
                  <c:v>38564</c:v>
                </c:pt>
                <c:pt idx="20">
                  <c:v>38595</c:v>
                </c:pt>
                <c:pt idx="21">
                  <c:v>38625</c:v>
                </c:pt>
                <c:pt idx="22">
                  <c:v>38656</c:v>
                </c:pt>
                <c:pt idx="23">
                  <c:v>38686</c:v>
                </c:pt>
                <c:pt idx="24">
                  <c:v>38717</c:v>
                </c:pt>
                <c:pt idx="25">
                  <c:v>38776</c:v>
                </c:pt>
                <c:pt idx="26">
                  <c:v>38807</c:v>
                </c:pt>
                <c:pt idx="27">
                  <c:v>38837</c:v>
                </c:pt>
                <c:pt idx="28">
                  <c:v>38868</c:v>
                </c:pt>
                <c:pt idx="29">
                  <c:v>38898</c:v>
                </c:pt>
                <c:pt idx="30">
                  <c:v>38929</c:v>
                </c:pt>
                <c:pt idx="31">
                  <c:v>38960</c:v>
                </c:pt>
                <c:pt idx="32">
                  <c:v>38990</c:v>
                </c:pt>
                <c:pt idx="33">
                  <c:v>39021</c:v>
                </c:pt>
                <c:pt idx="34">
                  <c:v>39051</c:v>
                </c:pt>
                <c:pt idx="35">
                  <c:v>39082</c:v>
                </c:pt>
                <c:pt idx="36">
                  <c:v>39141</c:v>
                </c:pt>
                <c:pt idx="37">
                  <c:v>39233</c:v>
                </c:pt>
                <c:pt idx="38">
                  <c:v>39325</c:v>
                </c:pt>
                <c:pt idx="39">
                  <c:v>39416</c:v>
                </c:pt>
                <c:pt idx="40">
                  <c:v>39507</c:v>
                </c:pt>
                <c:pt idx="41">
                  <c:v>39599</c:v>
                </c:pt>
                <c:pt idx="42">
                  <c:v>39691</c:v>
                </c:pt>
                <c:pt idx="43">
                  <c:v>39782</c:v>
                </c:pt>
                <c:pt idx="44">
                  <c:v>39872</c:v>
                </c:pt>
                <c:pt idx="45">
                  <c:v>39964</c:v>
                </c:pt>
                <c:pt idx="46">
                  <c:v>40056</c:v>
                </c:pt>
                <c:pt idx="47">
                  <c:v>40147</c:v>
                </c:pt>
                <c:pt idx="48">
                  <c:v>40237</c:v>
                </c:pt>
                <c:pt idx="49">
                  <c:v>40329</c:v>
                </c:pt>
                <c:pt idx="50">
                  <c:v>40421</c:v>
                </c:pt>
                <c:pt idx="51">
                  <c:v>40512</c:v>
                </c:pt>
                <c:pt idx="52">
                  <c:v>40602</c:v>
                </c:pt>
                <c:pt idx="53">
                  <c:v>40633</c:v>
                </c:pt>
                <c:pt idx="54">
                  <c:v>40663</c:v>
                </c:pt>
                <c:pt idx="55">
                  <c:v>40694</c:v>
                </c:pt>
                <c:pt idx="56">
                  <c:v>40724</c:v>
                </c:pt>
                <c:pt idx="57">
                  <c:v>40755</c:v>
                </c:pt>
                <c:pt idx="58">
                  <c:v>40786</c:v>
                </c:pt>
                <c:pt idx="59">
                  <c:v>40816</c:v>
                </c:pt>
                <c:pt idx="60">
                  <c:v>40847</c:v>
                </c:pt>
                <c:pt idx="61">
                  <c:v>40877</c:v>
                </c:pt>
                <c:pt idx="62">
                  <c:v>40908</c:v>
                </c:pt>
                <c:pt idx="63">
                  <c:v>40968</c:v>
                </c:pt>
                <c:pt idx="64">
                  <c:v>40999</c:v>
                </c:pt>
                <c:pt idx="65">
                  <c:v>41029</c:v>
                </c:pt>
                <c:pt idx="66">
                  <c:v>41060</c:v>
                </c:pt>
                <c:pt idx="67">
                  <c:v>41090</c:v>
                </c:pt>
                <c:pt idx="68">
                  <c:v>41121</c:v>
                </c:pt>
                <c:pt idx="69">
                  <c:v>41152</c:v>
                </c:pt>
                <c:pt idx="70">
                  <c:v>41182</c:v>
                </c:pt>
                <c:pt idx="71">
                  <c:v>41213</c:v>
                </c:pt>
                <c:pt idx="72">
                  <c:v>41243</c:v>
                </c:pt>
                <c:pt idx="73">
                  <c:v>41274</c:v>
                </c:pt>
                <c:pt idx="74">
                  <c:v>41333</c:v>
                </c:pt>
                <c:pt idx="75">
                  <c:v>41364</c:v>
                </c:pt>
                <c:pt idx="76">
                  <c:v>41394</c:v>
                </c:pt>
                <c:pt idx="77">
                  <c:v>41425</c:v>
                </c:pt>
                <c:pt idx="78">
                  <c:v>41455</c:v>
                </c:pt>
                <c:pt idx="79">
                  <c:v>41486</c:v>
                </c:pt>
                <c:pt idx="80">
                  <c:v>41517</c:v>
                </c:pt>
                <c:pt idx="81">
                  <c:v>41547</c:v>
                </c:pt>
                <c:pt idx="82">
                  <c:v>41578</c:v>
                </c:pt>
                <c:pt idx="83">
                  <c:v>41608</c:v>
                </c:pt>
                <c:pt idx="84">
                  <c:v>41639</c:v>
                </c:pt>
                <c:pt idx="85">
                  <c:v>41698</c:v>
                </c:pt>
                <c:pt idx="86">
                  <c:v>41729</c:v>
                </c:pt>
                <c:pt idx="87">
                  <c:v>41759</c:v>
                </c:pt>
                <c:pt idx="88">
                  <c:v>41790</c:v>
                </c:pt>
                <c:pt idx="89">
                  <c:v>41820</c:v>
                </c:pt>
                <c:pt idx="90">
                  <c:v>41851</c:v>
                </c:pt>
                <c:pt idx="91">
                  <c:v>41882</c:v>
                </c:pt>
                <c:pt idx="92">
                  <c:v>41912</c:v>
                </c:pt>
                <c:pt idx="93">
                  <c:v>41943</c:v>
                </c:pt>
                <c:pt idx="94">
                  <c:v>41973</c:v>
                </c:pt>
                <c:pt idx="95">
                  <c:v>42004</c:v>
                </c:pt>
                <c:pt idx="96">
                  <c:v>42063</c:v>
                </c:pt>
                <c:pt idx="97">
                  <c:v>42094</c:v>
                </c:pt>
                <c:pt idx="98">
                  <c:v>42124</c:v>
                </c:pt>
                <c:pt idx="99">
                  <c:v>42155</c:v>
                </c:pt>
                <c:pt idx="100">
                  <c:v>42185</c:v>
                </c:pt>
                <c:pt idx="101">
                  <c:v>42216</c:v>
                </c:pt>
                <c:pt idx="102">
                  <c:v>42247</c:v>
                </c:pt>
                <c:pt idx="103">
                  <c:v>42277</c:v>
                </c:pt>
                <c:pt idx="104">
                  <c:v>42308</c:v>
                </c:pt>
                <c:pt idx="105">
                  <c:v>42338</c:v>
                </c:pt>
                <c:pt idx="106">
                  <c:v>42369</c:v>
                </c:pt>
              </c:numCache>
            </c:numRef>
          </c:cat>
          <c:val>
            <c:numRef>
              <c:f>Sheet1!$S$3:$S$109</c:f>
              <c:numCache>
                <c:formatCode>General</c:formatCode>
                <c:ptCount val="107"/>
                <c:pt idx="0">
                  <c:v>7.3224897891841334E-2</c:v>
                </c:pt>
                <c:pt idx="1">
                  <c:v>7.18414995644861E-2</c:v>
                </c:pt>
                <c:pt idx="2">
                  <c:v>6.8795222685651372E-2</c:v>
                </c:pt>
                <c:pt idx="3">
                  <c:v>8.0127090361297074E-2</c:v>
                </c:pt>
                <c:pt idx="4">
                  <c:v>8.6564713814046707E-2</c:v>
                </c:pt>
                <c:pt idx="5">
                  <c:v>8.7436394693367281E-2</c:v>
                </c:pt>
                <c:pt idx="6">
                  <c:v>8.2392492407357673E-2</c:v>
                </c:pt>
                <c:pt idx="7">
                  <c:v>7.4875323867606591E-2</c:v>
                </c:pt>
                <c:pt idx="8">
                  <c:v>7.2113670738438593E-2</c:v>
                </c:pt>
                <c:pt idx="9">
                  <c:v>7.2139413298278401E-2</c:v>
                </c:pt>
                <c:pt idx="10">
                  <c:v>7.2139398380573344E-2</c:v>
                </c:pt>
                <c:pt idx="11">
                  <c:v>7.3651866152619108E-2</c:v>
                </c:pt>
                <c:pt idx="12">
                  <c:v>7.4526910346485911E-2</c:v>
                </c:pt>
                <c:pt idx="13">
                  <c:v>7.493972452068752E-2</c:v>
                </c:pt>
                <c:pt idx="14">
                  <c:v>4.9270962691879833E-2</c:v>
                </c:pt>
                <c:pt idx="15">
                  <c:v>5.2752577117625161E-2</c:v>
                </c:pt>
                <c:pt idx="16">
                  <c:v>5.2952196991733966E-2</c:v>
                </c:pt>
                <c:pt idx="17">
                  <c:v>5.4586133131067749E-2</c:v>
                </c:pt>
                <c:pt idx="18">
                  <c:v>5.1489343313469646E-2</c:v>
                </c:pt>
                <c:pt idx="19">
                  <c:v>4.5609759588448505E-2</c:v>
                </c:pt>
                <c:pt idx="20">
                  <c:v>4.6096545191100707E-2</c:v>
                </c:pt>
                <c:pt idx="21">
                  <c:v>4.6243862471674675E-2</c:v>
                </c:pt>
                <c:pt idx="22">
                  <c:v>4.4045717179632515E-2</c:v>
                </c:pt>
                <c:pt idx="23">
                  <c:v>4.2792808349364553E-2</c:v>
                </c:pt>
                <c:pt idx="24">
                  <c:v>4.6083749694260455E-2</c:v>
                </c:pt>
                <c:pt idx="25">
                  <c:v>9.4775458227610489E-3</c:v>
                </c:pt>
                <c:pt idx="26">
                  <c:v>1.6550219765394145E-2</c:v>
                </c:pt>
                <c:pt idx="27">
                  <c:v>2.5696814845483442E-2</c:v>
                </c:pt>
                <c:pt idx="28">
                  <c:v>3.401088810819676E-2</c:v>
                </c:pt>
                <c:pt idx="29">
                  <c:v>4.0949352443996216E-2</c:v>
                </c:pt>
                <c:pt idx="30">
                  <c:v>4.3752146469796985E-2</c:v>
                </c:pt>
                <c:pt idx="31">
                  <c:v>4.4637038819206672E-2</c:v>
                </c:pt>
                <c:pt idx="32">
                  <c:v>4.5770515172735622E-2</c:v>
                </c:pt>
                <c:pt idx="33">
                  <c:v>4.5553722357707313E-2</c:v>
                </c:pt>
                <c:pt idx="34">
                  <c:v>4.4666436891058037E-2</c:v>
                </c:pt>
                <c:pt idx="35">
                  <c:v>4.8514727070524392E-2</c:v>
                </c:pt>
                <c:pt idx="36">
                  <c:v>4.4665362892956549E-2</c:v>
                </c:pt>
                <c:pt idx="37">
                  <c:v>5.4218441351965123E-2</c:v>
                </c:pt>
                <c:pt idx="38">
                  <c:v>5.2400734400227855E-2</c:v>
                </c:pt>
                <c:pt idx="39">
                  <c:v>5.1499449446687072E-2</c:v>
                </c:pt>
                <c:pt idx="40">
                  <c:v>3.6417290206887616E-2</c:v>
                </c:pt>
                <c:pt idx="41">
                  <c:v>4.265505913265074E-2</c:v>
                </c:pt>
                <c:pt idx="42">
                  <c:v>4.3394281936286784E-2</c:v>
                </c:pt>
                <c:pt idx="43">
                  <c:v>3.1371628014687805E-2</c:v>
                </c:pt>
                <c:pt idx="44">
                  <c:v>3.2164335952858257E-3</c:v>
                </c:pt>
                <c:pt idx="45">
                  <c:v>3.7498603695940492E-3</c:v>
                </c:pt>
                <c:pt idx="46">
                  <c:v>1.7312512445678913E-2</c:v>
                </c:pt>
                <c:pt idx="47">
                  <c:v>1.9418679595084663E-2</c:v>
                </c:pt>
                <c:pt idx="48">
                  <c:v>1.9399039864095097E-2</c:v>
                </c:pt>
                <c:pt idx="49">
                  <c:v>2.3180899047763048E-2</c:v>
                </c:pt>
                <c:pt idx="50">
                  <c:v>1.7724312217870748E-2</c:v>
                </c:pt>
                <c:pt idx="51">
                  <c:v>1.7433175754298803E-2</c:v>
                </c:pt>
                <c:pt idx="52">
                  <c:v>1.9542328416082957E-2</c:v>
                </c:pt>
                <c:pt idx="53">
                  <c:v>1.8350622955766501E-2</c:v>
                </c:pt>
                <c:pt idx="54">
                  <c:v>1.941366971177309E-2</c:v>
                </c:pt>
                <c:pt idx="55">
                  <c:v>2.0034136820685281E-2</c:v>
                </c:pt>
                <c:pt idx="56">
                  <c:v>2.1204139335117004E-2</c:v>
                </c:pt>
                <c:pt idx="57">
                  <c:v>2.0262404904599837E-2</c:v>
                </c:pt>
                <c:pt idx="58">
                  <c:v>2.059105581913287E-2</c:v>
                </c:pt>
                <c:pt idx="59">
                  <c:v>2.0306034399031388E-2</c:v>
                </c:pt>
                <c:pt idx="60">
                  <c:v>2.0208648367547617E-2</c:v>
                </c:pt>
                <c:pt idx="61">
                  <c:v>1.8937462369328181E-2</c:v>
                </c:pt>
                <c:pt idx="62">
                  <c:v>2.3576358801880366E-2</c:v>
                </c:pt>
                <c:pt idx="63">
                  <c:v>1.7941232354753681E-3</c:v>
                </c:pt>
                <c:pt idx="64">
                  <c:v>-9.7590314496987548E-4</c:v>
                </c:pt>
                <c:pt idx="65">
                  <c:v>6.8173300015983334E-3</c:v>
                </c:pt>
                <c:pt idx="66">
                  <c:v>7.2981775472515404E-3</c:v>
                </c:pt>
                <c:pt idx="67">
                  <c:v>7.4916081150157177E-3</c:v>
                </c:pt>
                <c:pt idx="68">
                  <c:v>6.7334189217160521E-3</c:v>
                </c:pt>
                <c:pt idx="69">
                  <c:v>3.9691627204398276E-3</c:v>
                </c:pt>
                <c:pt idx="70">
                  <c:v>3.5369999214951453E-3</c:v>
                </c:pt>
                <c:pt idx="71">
                  <c:v>5.0735184294744533E-3</c:v>
                </c:pt>
                <c:pt idx="72">
                  <c:v>6.7186090177410816E-3</c:v>
                </c:pt>
                <c:pt idx="73">
                  <c:v>9.5592925297397491E-3</c:v>
                </c:pt>
                <c:pt idx="74">
                  <c:v>6.9806522323054695E-3</c:v>
                </c:pt>
                <c:pt idx="75">
                  <c:v>5.7285838489662295E-3</c:v>
                </c:pt>
                <c:pt idx="76">
                  <c:v>4.7765203692929133E-3</c:v>
                </c:pt>
                <c:pt idx="77">
                  <c:v>4.2685139722783774E-3</c:v>
                </c:pt>
                <c:pt idx="78">
                  <c:v>4.8221238848639904E-3</c:v>
                </c:pt>
                <c:pt idx="79">
                  <c:v>3.1130889923271089E-3</c:v>
                </c:pt>
                <c:pt idx="80">
                  <c:v>4.8633470611987037E-3</c:v>
                </c:pt>
                <c:pt idx="81">
                  <c:v>5.2879881806702934E-3</c:v>
                </c:pt>
                <c:pt idx="82">
                  <c:v>5.6759340386178725E-3</c:v>
                </c:pt>
                <c:pt idx="83">
                  <c:v>6.6489971672020771E-3</c:v>
                </c:pt>
                <c:pt idx="84">
                  <c:v>8.7240280903532856E-3</c:v>
                </c:pt>
                <c:pt idx="85">
                  <c:v>6.4172206222545933E-4</c:v>
                </c:pt>
                <c:pt idx="86">
                  <c:v>8.4036127889163285E-4</c:v>
                </c:pt>
                <c:pt idx="87">
                  <c:v>3.2325640641520221E-3</c:v>
                </c:pt>
                <c:pt idx="88">
                  <c:v>4.2180811358986207E-3</c:v>
                </c:pt>
                <c:pt idx="89">
                  <c:v>4.2764585326364032E-3</c:v>
                </c:pt>
                <c:pt idx="90">
                  <c:v>5.9308134629407431E-3</c:v>
                </c:pt>
                <c:pt idx="91">
                  <c:v>5.5276183683196402E-3</c:v>
                </c:pt>
                <c:pt idx="92">
                  <c:v>4.7689163074685756E-3</c:v>
                </c:pt>
                <c:pt idx="93">
                  <c:v>5.216779414356369E-3</c:v>
                </c:pt>
                <c:pt idx="94">
                  <c:v>5.8908730512790032E-3</c:v>
                </c:pt>
                <c:pt idx="95">
                  <c:v>6.1433085288509683E-3</c:v>
                </c:pt>
                <c:pt idx="96">
                  <c:v>4.2453098796841294E-3</c:v>
                </c:pt>
                <c:pt idx="97">
                  <c:v>2.6493922151918704E-3</c:v>
                </c:pt>
                <c:pt idx="98">
                  <c:v>3.0620592951686432E-3</c:v>
                </c:pt>
                <c:pt idx="99">
                  <c:v>4.0102730240317045E-3</c:v>
                </c:pt>
                <c:pt idx="100">
                  <c:v>2.8030001478836467E-3</c:v>
                </c:pt>
                <c:pt idx="101">
                  <c:v>2.7199013472390521E-4</c:v>
                </c:pt>
                <c:pt idx="102">
                  <c:v>-3.1141075461040184E-3</c:v>
                </c:pt>
                <c:pt idx="103">
                  <c:v>-7.7705357279094804E-3</c:v>
                </c:pt>
                <c:pt idx="104">
                  <c:v>-1.0544318425627502E-2</c:v>
                </c:pt>
              </c:numCache>
            </c:numRef>
          </c:val>
        </c:ser>
        <c:marker val="1"/>
        <c:axId val="467280256"/>
        <c:axId val="467281792"/>
      </c:lineChart>
      <c:dateAx>
        <c:axId val="467280256"/>
        <c:scaling>
          <c:orientation val="minMax"/>
          <c:min val="37987"/>
        </c:scaling>
        <c:axPos val="b"/>
        <c:numFmt formatCode="m/d/yyyy" sourceLinked="1"/>
        <c:tickLblPos val="nextTo"/>
        <c:txPr>
          <a:bodyPr rot="2700000" vert="horz"/>
          <a:lstStyle/>
          <a:p>
            <a:pPr>
              <a:defRPr sz="700"/>
            </a:pPr>
            <a:endParaRPr lang="zh-CN"/>
          </a:p>
        </c:txPr>
        <c:crossAx val="467281792"/>
        <c:crosses val="autoZero"/>
        <c:auto val="1"/>
        <c:lblOffset val="100"/>
        <c:baseTimeUnit val="months"/>
      </c:dateAx>
      <c:valAx>
        <c:axId val="467281792"/>
        <c:scaling>
          <c:orientation val="minMax"/>
          <c:max val="0.18000000000000024"/>
        </c:scaling>
        <c:axPos val="l"/>
        <c:numFmt formatCode="0%" sourceLinked="0"/>
        <c:tickLblPos val="nextTo"/>
        <c:crossAx val="467280256"/>
        <c:crosses val="autoZero"/>
        <c:crossBetween val="between"/>
      </c:valAx>
    </c:plotArea>
    <c:legend>
      <c:legendPos val="b"/>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任务二、三!$C$22</c:f>
              <c:strCache>
                <c:ptCount val="1"/>
                <c:pt idx="0">
                  <c:v>淘汰落后产能 （万吨）</c:v>
                </c:pt>
              </c:strCache>
            </c:strRef>
          </c:tx>
          <c:cat>
            <c:strRef>
              <c:f>任务二、三!$B$23:$B$27</c:f>
              <c:strCache>
                <c:ptCount val="5"/>
                <c:pt idx="0">
                  <c:v>2011</c:v>
                </c:pt>
                <c:pt idx="1">
                  <c:v>2012</c:v>
                </c:pt>
                <c:pt idx="2">
                  <c:v>2013</c:v>
                </c:pt>
                <c:pt idx="3">
                  <c:v>2014</c:v>
                </c:pt>
                <c:pt idx="4">
                  <c:v>2015E</c:v>
                </c:pt>
              </c:strCache>
            </c:strRef>
          </c:cat>
          <c:val>
            <c:numRef>
              <c:f>任务二、三!$C$23:$C$27</c:f>
              <c:numCache>
                <c:formatCode>General</c:formatCode>
                <c:ptCount val="5"/>
                <c:pt idx="0">
                  <c:v>15497</c:v>
                </c:pt>
                <c:pt idx="1">
                  <c:v>25829</c:v>
                </c:pt>
                <c:pt idx="2">
                  <c:v>10578</c:v>
                </c:pt>
                <c:pt idx="3">
                  <c:v>8124.6</c:v>
                </c:pt>
                <c:pt idx="4">
                  <c:v>5000</c:v>
                </c:pt>
              </c:numCache>
            </c:numRef>
          </c:val>
        </c:ser>
        <c:axId val="467664896"/>
        <c:axId val="467666432"/>
      </c:barChart>
      <c:catAx>
        <c:axId val="467664896"/>
        <c:scaling>
          <c:orientation val="minMax"/>
        </c:scaling>
        <c:axPos val="b"/>
        <c:numFmt formatCode="General" sourceLinked="0"/>
        <c:tickLblPos val="nextTo"/>
        <c:crossAx val="467666432"/>
        <c:crosses val="autoZero"/>
        <c:auto val="1"/>
        <c:lblAlgn val="ctr"/>
        <c:lblOffset val="100"/>
      </c:catAx>
      <c:valAx>
        <c:axId val="467666432"/>
        <c:scaling>
          <c:orientation val="minMax"/>
        </c:scaling>
        <c:axPos val="l"/>
        <c:numFmt formatCode="General" sourceLinked="1"/>
        <c:tickLblPos val="nextTo"/>
        <c:crossAx val="467664896"/>
        <c:crosses val="autoZero"/>
        <c:crossBetween val="between"/>
      </c:valAx>
    </c:plotArea>
    <c:legend>
      <c:legendPos val="b"/>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'CR10'!$T$25</c:f>
              <c:strCache>
                <c:ptCount val="1"/>
                <c:pt idx="0">
                  <c:v>新增新型干法产能（万吨）</c:v>
                </c:pt>
              </c:strCache>
            </c:strRef>
          </c:tx>
          <c:cat>
            <c:numRef>
              <c:f>'CR10'!$S$26:$S$34</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'CR10'!$T$26:$T$34</c:f>
              <c:numCache>
                <c:formatCode>General</c:formatCode>
                <c:ptCount val="9"/>
                <c:pt idx="0">
                  <c:v>9785.0000000000036</c:v>
                </c:pt>
                <c:pt idx="1">
                  <c:v>14334.4</c:v>
                </c:pt>
                <c:pt idx="2">
                  <c:v>20172.600000000002</c:v>
                </c:pt>
                <c:pt idx="3">
                  <c:v>30140.999999999993</c:v>
                </c:pt>
                <c:pt idx="4">
                  <c:v>14000.000000000004</c:v>
                </c:pt>
                <c:pt idx="5">
                  <c:v>20000</c:v>
                </c:pt>
                <c:pt idx="6">
                  <c:v>10000</c:v>
                </c:pt>
                <c:pt idx="7">
                  <c:v>7000</c:v>
                </c:pt>
                <c:pt idx="8">
                  <c:v>4000.0000000000214</c:v>
                </c:pt>
              </c:numCache>
            </c:numRef>
          </c:val>
        </c:ser>
        <c:axId val="467690240"/>
        <c:axId val="467691776"/>
      </c:barChart>
      <c:catAx>
        <c:axId val="467690240"/>
        <c:scaling>
          <c:orientation val="minMax"/>
        </c:scaling>
        <c:axPos val="b"/>
        <c:numFmt formatCode="General" sourceLinked="1"/>
        <c:tickLblPos val="nextTo"/>
        <c:crossAx val="467691776"/>
        <c:crosses val="autoZero"/>
        <c:auto val="1"/>
        <c:lblAlgn val="ctr"/>
        <c:lblOffset val="100"/>
      </c:catAx>
      <c:valAx>
        <c:axId val="467691776"/>
        <c:scaling>
          <c:orientation val="minMax"/>
        </c:scaling>
        <c:axPos val="l"/>
        <c:numFmt formatCode="General" sourceLinked="1"/>
        <c:tickLblPos val="nextTo"/>
        <c:crossAx val="467690240"/>
        <c:crosses val="autoZero"/>
        <c:crossBetween val="between"/>
      </c:valAx>
    </c:plotArea>
    <c:legend>
      <c:legendPos val="b"/>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88723544973586"/>
          <c:y val="8.73873211836175E-2"/>
          <c:w val="0.61582341269841734"/>
          <c:h val="0.91233098177542393"/>
        </c:manualLayout>
      </c:layout>
      <c:pieChart>
        <c:varyColors val="1"/>
        <c:ser>
          <c:idx val="0"/>
          <c:order val="0"/>
          <c:dPt>
            <c:idx val="0"/>
            <c:spPr>
              <a:solidFill>
                <a:schemeClr val="accent1"/>
              </a:solidFill>
              <a:ln w="19050">
                <a:solidFill>
                  <a:schemeClr val="lt1"/>
                </a:solidFill>
              </a:ln>
              <a:effectLst/>
            </c:spPr>
          </c:dPt>
          <c:dPt>
            <c:idx val="1"/>
            <c:spPr>
              <a:solidFill>
                <a:schemeClr val="accent1">
                  <a:lumMod val="60000"/>
                  <a:lumOff val="40000"/>
                </a:schemeClr>
              </a:solidFill>
              <a:ln w="19050">
                <a:solidFill>
                  <a:schemeClr val="lt1"/>
                </a:solidFill>
              </a:ln>
              <a:effectLst/>
            </c:spPr>
          </c:dPt>
          <c:dPt>
            <c:idx val="2"/>
            <c:spPr>
              <a:solidFill>
                <a:schemeClr val="tx2">
                  <a:lumMod val="20000"/>
                  <a:lumOff val="80000"/>
                </a:schemeClr>
              </a:solidFill>
              <a:ln w="19050">
                <a:solidFill>
                  <a:schemeClr val="lt1"/>
                </a:solidFill>
              </a:ln>
              <a:effectLst/>
            </c:spPr>
          </c:dPt>
          <c:dPt>
            <c:idx val="3"/>
            <c:spPr>
              <a:solidFill>
                <a:schemeClr val="accent3">
                  <a:lumMod val="75000"/>
                </a:schemeClr>
              </a:solidFill>
              <a:ln w="19050">
                <a:solidFill>
                  <a:schemeClr val="lt1"/>
                </a:solidFill>
              </a:ln>
              <a:effectLst/>
            </c:spPr>
          </c:dPt>
          <c:dPt>
            <c:idx val="4"/>
            <c:spPr>
              <a:solidFill>
                <a:schemeClr val="accent3">
                  <a:lumMod val="60000"/>
                  <a:lumOff val="40000"/>
                </a:schemeClr>
              </a:solidFill>
              <a:ln w="19050">
                <a:solidFill>
                  <a:schemeClr val="lt1"/>
                </a:solidFill>
              </a:ln>
              <a:effectLst/>
            </c:spPr>
          </c:dPt>
          <c:dPt>
            <c:idx val="5"/>
            <c:spPr>
              <a:solidFill>
                <a:schemeClr val="bg1">
                  <a:lumMod val="75000"/>
                </a:schemeClr>
              </a:solidFill>
              <a:ln w="19050">
                <a:solidFill>
                  <a:schemeClr val="lt1"/>
                </a:solidFill>
              </a:ln>
              <a:effectLst/>
            </c:spPr>
          </c:dPt>
          <c:dPt>
            <c:idx val="6"/>
            <c:spPr>
              <a:solidFill>
                <a:schemeClr val="accent1">
                  <a:lumMod val="80000"/>
                  <a:lumOff val="20000"/>
                </a:schemeClr>
              </a:solidFill>
              <a:ln w="19050">
                <a:solidFill>
                  <a:schemeClr val="lt1"/>
                </a:solidFill>
              </a:ln>
              <a:effectLst/>
            </c:spPr>
          </c:dPt>
          <c:dPt>
            <c:idx val="7"/>
            <c:spPr>
              <a:solidFill>
                <a:schemeClr val="accent3">
                  <a:lumMod val="80000"/>
                  <a:lumOff val="20000"/>
                </a:schemeClr>
              </a:solidFill>
              <a:ln w="19050">
                <a:solidFill>
                  <a:schemeClr val="lt1"/>
                </a:solidFill>
              </a:ln>
              <a:effectLst/>
            </c:spPr>
          </c:dPt>
          <c:dLbls>
            <c:dLbl>
              <c:idx val="5"/>
              <c:layout>
                <c:manualLayout>
                  <c:x val="-4.0959481834682374E-3"/>
                  <c:y val="1.5610365282547653E-3"/>
                </c:manualLayout>
              </c:layout>
              <c:showCatName val="1"/>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zh-CN"/>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用途!$A$4:$A$9</c:f>
              <c:strCache>
                <c:ptCount val="6"/>
                <c:pt idx="0">
                  <c:v>涂料</c:v>
                </c:pt>
                <c:pt idx="1">
                  <c:v>塑料</c:v>
                </c:pt>
                <c:pt idx="2">
                  <c:v>造纸</c:v>
                </c:pt>
                <c:pt idx="3">
                  <c:v>油墨</c:v>
                </c:pt>
                <c:pt idx="4">
                  <c:v>橡胶</c:v>
                </c:pt>
                <c:pt idx="5">
                  <c:v>其他</c:v>
                </c:pt>
              </c:strCache>
            </c:strRef>
          </c:cat>
          <c:val>
            <c:numRef>
              <c:f>用途!$B$4:$B$9</c:f>
              <c:numCache>
                <c:formatCode>0%</c:formatCode>
                <c:ptCount val="6"/>
                <c:pt idx="0">
                  <c:v>0.60000000000000064</c:v>
                </c:pt>
                <c:pt idx="1">
                  <c:v>0.16</c:v>
                </c:pt>
                <c:pt idx="2">
                  <c:v>0.1</c:v>
                </c:pt>
                <c:pt idx="3">
                  <c:v>6.0000000000000032E-2</c:v>
                </c:pt>
                <c:pt idx="4">
                  <c:v>0.05</c:v>
                </c:pt>
                <c:pt idx="5">
                  <c:v>3.0000000000000002E-2</c:v>
                </c:pt>
              </c:numCache>
            </c:numRef>
          </c:val>
        </c:ser>
        <c:dLbls>
          <c:showCatName val="1"/>
          <c:showPercent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9.5111084635632323E-2"/>
          <c:y val="2.7611405575186605E-2"/>
          <c:w val="0.83077785007108085"/>
          <c:h val="0.80842004703115811"/>
        </c:manualLayout>
      </c:layout>
      <c:barChart>
        <c:barDir val="col"/>
        <c:grouping val="clustered"/>
        <c:ser>
          <c:idx val="0"/>
          <c:order val="0"/>
          <c:tx>
            <c:strRef>
              <c:f>产能产量!$C$1</c:f>
              <c:strCache>
                <c:ptCount val="1"/>
                <c:pt idx="0">
                  <c:v>产能</c:v>
                </c:pt>
              </c:strCache>
            </c:strRef>
          </c:tx>
          <c:spPr>
            <a:solidFill>
              <a:schemeClr val="accent1">
                <a:lumMod val="60000"/>
                <a:lumOff val="40000"/>
              </a:schemeClr>
            </a:solidFill>
          </c:spPr>
          <c:cat>
            <c:strRef>
              <c:f>产能产量!$B$12:$B$19</c:f>
              <c:strCache>
                <c:ptCount val="8"/>
                <c:pt idx="0">
                  <c:v>2008</c:v>
                </c:pt>
                <c:pt idx="1">
                  <c:v>2009</c:v>
                </c:pt>
                <c:pt idx="2">
                  <c:v>2010</c:v>
                </c:pt>
                <c:pt idx="3">
                  <c:v>2011</c:v>
                </c:pt>
                <c:pt idx="4">
                  <c:v>2012</c:v>
                </c:pt>
                <c:pt idx="5">
                  <c:v>2013</c:v>
                </c:pt>
                <c:pt idx="6">
                  <c:v>2014</c:v>
                </c:pt>
                <c:pt idx="7">
                  <c:v>2015E</c:v>
                </c:pt>
              </c:strCache>
            </c:strRef>
          </c:cat>
          <c:val>
            <c:numRef>
              <c:f>产能产量!$C$12:$C$19</c:f>
              <c:numCache>
                <c:formatCode>General</c:formatCode>
                <c:ptCount val="8"/>
                <c:pt idx="0">
                  <c:v>145</c:v>
                </c:pt>
                <c:pt idx="1">
                  <c:v>150</c:v>
                </c:pt>
                <c:pt idx="2">
                  <c:v>198</c:v>
                </c:pt>
                <c:pt idx="3">
                  <c:v>262</c:v>
                </c:pt>
                <c:pt idx="4">
                  <c:v>285</c:v>
                </c:pt>
                <c:pt idx="5">
                  <c:v>310</c:v>
                </c:pt>
                <c:pt idx="6">
                  <c:v>344</c:v>
                </c:pt>
                <c:pt idx="7">
                  <c:v>361</c:v>
                </c:pt>
              </c:numCache>
            </c:numRef>
          </c:val>
        </c:ser>
        <c:ser>
          <c:idx val="3"/>
          <c:order val="2"/>
          <c:tx>
            <c:strRef>
              <c:f>产能产量!$E$1</c:f>
              <c:strCache>
                <c:ptCount val="1"/>
                <c:pt idx="0">
                  <c:v>产量</c:v>
                </c:pt>
              </c:strCache>
            </c:strRef>
          </c:tx>
          <c:spPr>
            <a:solidFill>
              <a:schemeClr val="accent2">
                <a:lumMod val="60000"/>
                <a:lumOff val="40000"/>
              </a:schemeClr>
            </a:solidFill>
          </c:spPr>
          <c:cat>
            <c:strRef>
              <c:f>产能产量!$B$12:$B$19</c:f>
              <c:strCache>
                <c:ptCount val="8"/>
                <c:pt idx="0">
                  <c:v>2008</c:v>
                </c:pt>
                <c:pt idx="1">
                  <c:v>2009</c:v>
                </c:pt>
                <c:pt idx="2">
                  <c:v>2010</c:v>
                </c:pt>
                <c:pt idx="3">
                  <c:v>2011</c:v>
                </c:pt>
                <c:pt idx="4">
                  <c:v>2012</c:v>
                </c:pt>
                <c:pt idx="5">
                  <c:v>2013</c:v>
                </c:pt>
                <c:pt idx="6">
                  <c:v>2014</c:v>
                </c:pt>
                <c:pt idx="7">
                  <c:v>2015E</c:v>
                </c:pt>
              </c:strCache>
            </c:strRef>
          </c:cat>
          <c:val>
            <c:numRef>
              <c:f>产能产量!$E$12:$E$19</c:f>
              <c:numCache>
                <c:formatCode>General</c:formatCode>
                <c:ptCount val="8"/>
                <c:pt idx="0">
                  <c:v>79</c:v>
                </c:pt>
                <c:pt idx="1">
                  <c:v>105</c:v>
                </c:pt>
                <c:pt idx="2">
                  <c:v>147</c:v>
                </c:pt>
                <c:pt idx="3">
                  <c:v>181</c:v>
                </c:pt>
                <c:pt idx="4">
                  <c:v>189</c:v>
                </c:pt>
                <c:pt idx="5">
                  <c:v>216</c:v>
                </c:pt>
                <c:pt idx="6">
                  <c:v>247</c:v>
                </c:pt>
                <c:pt idx="7">
                  <c:v>235</c:v>
                </c:pt>
              </c:numCache>
            </c:numRef>
          </c:val>
        </c:ser>
        <c:axId val="467631488"/>
        <c:axId val="467650048"/>
      </c:barChart>
      <c:lineChart>
        <c:grouping val="standard"/>
        <c:ser>
          <c:idx val="1"/>
          <c:order val="1"/>
          <c:tx>
            <c:strRef>
              <c:f>产能产量!$D$1</c:f>
              <c:strCache>
                <c:ptCount val="1"/>
                <c:pt idx="0">
                  <c:v>产能增长率(%右轴)</c:v>
                </c:pt>
              </c:strCache>
            </c:strRef>
          </c:tx>
          <c:spPr>
            <a:ln w="22225">
              <a:solidFill>
                <a:schemeClr val="accent1">
                  <a:lumMod val="75000"/>
                  <a:alpha val="98000"/>
                </a:schemeClr>
              </a:solidFill>
            </a:ln>
          </c:spPr>
          <c:marker>
            <c:spPr>
              <a:solidFill>
                <a:schemeClr val="accent1">
                  <a:lumMod val="75000"/>
                </a:schemeClr>
              </a:solidFill>
              <a:ln>
                <a:solidFill>
                  <a:schemeClr val="accent1">
                    <a:lumMod val="75000"/>
                  </a:schemeClr>
                </a:solidFill>
              </a:ln>
            </c:spPr>
          </c:marker>
          <c:cat>
            <c:strRef>
              <c:f>产能产量!$B$12:$B$19</c:f>
              <c:strCache>
                <c:ptCount val="8"/>
                <c:pt idx="0">
                  <c:v>2008</c:v>
                </c:pt>
                <c:pt idx="1">
                  <c:v>2009</c:v>
                </c:pt>
                <c:pt idx="2">
                  <c:v>2010</c:v>
                </c:pt>
                <c:pt idx="3">
                  <c:v>2011</c:v>
                </c:pt>
                <c:pt idx="4">
                  <c:v>2012</c:v>
                </c:pt>
                <c:pt idx="5">
                  <c:v>2013</c:v>
                </c:pt>
                <c:pt idx="6">
                  <c:v>2014</c:v>
                </c:pt>
                <c:pt idx="7">
                  <c:v>2015E</c:v>
                </c:pt>
              </c:strCache>
            </c:strRef>
          </c:cat>
          <c:val>
            <c:numRef>
              <c:f>产能产量!$D$12:$D$19</c:f>
              <c:numCache>
                <c:formatCode>General</c:formatCode>
                <c:ptCount val="8"/>
                <c:pt idx="0">
                  <c:v>14.173228346456668</c:v>
                </c:pt>
                <c:pt idx="1">
                  <c:v>3.4482758620689742</c:v>
                </c:pt>
                <c:pt idx="2">
                  <c:v>32.000000000000007</c:v>
                </c:pt>
                <c:pt idx="3">
                  <c:v>32.323232323232325</c:v>
                </c:pt>
                <c:pt idx="4">
                  <c:v>8.7786259541984659</c:v>
                </c:pt>
                <c:pt idx="5">
                  <c:v>8.7719298245614059</c:v>
                </c:pt>
                <c:pt idx="6">
                  <c:v>10.96774193548387</c:v>
                </c:pt>
                <c:pt idx="7">
                  <c:v>4.9418604651162914</c:v>
                </c:pt>
              </c:numCache>
            </c:numRef>
          </c:val>
        </c:ser>
        <c:ser>
          <c:idx val="2"/>
          <c:order val="3"/>
          <c:tx>
            <c:strRef>
              <c:f>产能产量!$F$1</c:f>
              <c:strCache>
                <c:ptCount val="1"/>
                <c:pt idx="0">
                  <c:v>产量增长率</c:v>
                </c:pt>
              </c:strCache>
            </c:strRef>
          </c:tx>
          <c:spPr>
            <a:ln w="22225">
              <a:solidFill>
                <a:schemeClr val="accent2"/>
              </a:solidFill>
            </a:ln>
          </c:spPr>
          <c:marker>
            <c:spPr>
              <a:solidFill>
                <a:schemeClr val="accent2"/>
              </a:solidFill>
              <a:ln>
                <a:solidFill>
                  <a:schemeClr val="accent2"/>
                </a:solidFill>
              </a:ln>
            </c:spPr>
          </c:marker>
          <c:cat>
            <c:strRef>
              <c:f>产能产量!$B$12:$B$19</c:f>
              <c:strCache>
                <c:ptCount val="8"/>
                <c:pt idx="0">
                  <c:v>2008</c:v>
                </c:pt>
                <c:pt idx="1">
                  <c:v>2009</c:v>
                </c:pt>
                <c:pt idx="2">
                  <c:v>2010</c:v>
                </c:pt>
                <c:pt idx="3">
                  <c:v>2011</c:v>
                </c:pt>
                <c:pt idx="4">
                  <c:v>2012</c:v>
                </c:pt>
                <c:pt idx="5">
                  <c:v>2013</c:v>
                </c:pt>
                <c:pt idx="6">
                  <c:v>2014</c:v>
                </c:pt>
                <c:pt idx="7">
                  <c:v>2015E</c:v>
                </c:pt>
              </c:strCache>
            </c:strRef>
          </c:cat>
          <c:val>
            <c:numRef>
              <c:f>产能产量!$F$12:$F$19</c:f>
              <c:numCache>
                <c:formatCode>General</c:formatCode>
                <c:ptCount val="8"/>
                <c:pt idx="0">
                  <c:v>-20.999999999999989</c:v>
                </c:pt>
                <c:pt idx="1">
                  <c:v>32.91139240506314</c:v>
                </c:pt>
                <c:pt idx="2">
                  <c:v>40</c:v>
                </c:pt>
                <c:pt idx="3">
                  <c:v>23.129251700680332</c:v>
                </c:pt>
                <c:pt idx="4">
                  <c:v>4.4198895027624419</c:v>
                </c:pt>
                <c:pt idx="5">
                  <c:v>14.285714285714279</c:v>
                </c:pt>
                <c:pt idx="6">
                  <c:v>14.35185185185186</c:v>
                </c:pt>
                <c:pt idx="7">
                  <c:v>-4.8582995951417134</c:v>
                </c:pt>
              </c:numCache>
            </c:numRef>
          </c:val>
        </c:ser>
        <c:ser>
          <c:idx val="4"/>
          <c:order val="4"/>
          <c:tx>
            <c:strRef>
              <c:f>产能产量!$K$1</c:f>
              <c:strCache>
                <c:ptCount val="1"/>
                <c:pt idx="0">
                  <c:v>开工率</c:v>
                </c:pt>
              </c:strCache>
            </c:strRef>
          </c:tx>
          <c:spPr>
            <a:ln w="22225">
              <a:solidFill>
                <a:schemeClr val="accent3"/>
              </a:solidFill>
            </a:ln>
          </c:spPr>
          <c:marker>
            <c:symbol val="circle"/>
            <c:size val="5"/>
            <c:spPr>
              <a:solidFill>
                <a:schemeClr val="accent3"/>
              </a:solidFill>
              <a:ln>
                <a:solidFill>
                  <a:schemeClr val="accent3"/>
                </a:solidFill>
              </a:ln>
            </c:spPr>
          </c:marker>
          <c:cat>
            <c:strRef>
              <c:f>产能产量!$B$12:$B$19</c:f>
              <c:strCache>
                <c:ptCount val="8"/>
                <c:pt idx="0">
                  <c:v>2008</c:v>
                </c:pt>
                <c:pt idx="1">
                  <c:v>2009</c:v>
                </c:pt>
                <c:pt idx="2">
                  <c:v>2010</c:v>
                </c:pt>
                <c:pt idx="3">
                  <c:v>2011</c:v>
                </c:pt>
                <c:pt idx="4">
                  <c:v>2012</c:v>
                </c:pt>
                <c:pt idx="5">
                  <c:v>2013</c:v>
                </c:pt>
                <c:pt idx="6">
                  <c:v>2014</c:v>
                </c:pt>
                <c:pt idx="7">
                  <c:v>2015E</c:v>
                </c:pt>
              </c:strCache>
            </c:strRef>
          </c:cat>
          <c:val>
            <c:numRef>
              <c:f>产能产量!$K$12:$K$19</c:f>
              <c:numCache>
                <c:formatCode>General</c:formatCode>
                <c:ptCount val="8"/>
                <c:pt idx="0">
                  <c:v>58.088235294117652</c:v>
                </c:pt>
                <c:pt idx="1">
                  <c:v>71.186440677966019</c:v>
                </c:pt>
                <c:pt idx="2">
                  <c:v>84.482758620689324</c:v>
                </c:pt>
                <c:pt idx="3">
                  <c:v>78.695652173913018</c:v>
                </c:pt>
                <c:pt idx="4">
                  <c:v>69.104204753199269</c:v>
                </c:pt>
                <c:pt idx="5">
                  <c:v>72.605042016806252</c:v>
                </c:pt>
                <c:pt idx="6">
                  <c:v>75.535168195718654</c:v>
                </c:pt>
                <c:pt idx="7">
                  <c:v>66.666666666666657</c:v>
                </c:pt>
              </c:numCache>
            </c:numRef>
          </c:val>
        </c:ser>
        <c:marker val="1"/>
        <c:axId val="468017920"/>
        <c:axId val="467651584"/>
      </c:lineChart>
      <c:catAx>
        <c:axId val="467631488"/>
        <c:scaling>
          <c:orientation val="minMax"/>
        </c:scaling>
        <c:axPos val="b"/>
        <c:numFmt formatCode="General" sourceLinked="0"/>
        <c:tickLblPos val="nextTo"/>
        <c:spPr>
          <a:ln w="9525">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zh-CN"/>
          </a:p>
        </c:txPr>
        <c:crossAx val="467650048"/>
        <c:crosses val="autoZero"/>
        <c:auto val="1"/>
        <c:lblAlgn val="ctr"/>
        <c:lblOffset val="100"/>
      </c:catAx>
      <c:valAx>
        <c:axId val="467650048"/>
        <c:scaling>
          <c:orientation val="minMax"/>
          <c:max val="360"/>
        </c:scaling>
        <c:axPos val="l"/>
        <c:majorGridlines>
          <c:spPr>
            <a:ln>
              <a:prstDash val="dash"/>
            </a:ln>
          </c:spPr>
        </c:majorGridlines>
        <c:numFmt formatCode="General" sourceLinked="0"/>
        <c:minorTickMark val="out"/>
        <c:tickLblPos val="nextTo"/>
        <c:spPr>
          <a:ln w="9525">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zh-CN"/>
          </a:p>
        </c:txPr>
        <c:crossAx val="467631488"/>
        <c:crosses val="autoZero"/>
        <c:crossBetween val="between"/>
        <c:majorUnit val="60"/>
        <c:minorUnit val="30"/>
      </c:valAx>
      <c:valAx>
        <c:axId val="467651584"/>
        <c:scaling>
          <c:orientation val="minMax"/>
          <c:max val="100"/>
          <c:min val="-20"/>
        </c:scaling>
        <c:axPos val="r"/>
        <c:numFmt formatCode="General" sourceLinked="0"/>
        <c:minorTickMark val="out"/>
        <c:tickLblPos val="nextTo"/>
        <c:spPr>
          <a:ln>
            <a:solidFill>
              <a:schemeClr val="tx1"/>
            </a:solidFill>
          </a:ln>
        </c:spPr>
        <c:crossAx val="468017920"/>
        <c:crosses val="max"/>
        <c:crossBetween val="between"/>
        <c:majorUnit val="20"/>
        <c:minorUnit val="10"/>
      </c:valAx>
      <c:catAx>
        <c:axId val="468017920"/>
        <c:scaling>
          <c:orientation val="minMax"/>
        </c:scaling>
        <c:delete val="1"/>
        <c:axPos val="b"/>
        <c:numFmt formatCode="General" sourceLinked="1"/>
        <c:tickLblPos val="none"/>
        <c:crossAx val="467651584"/>
        <c:crosses val="autoZero"/>
        <c:auto val="1"/>
        <c:lblAlgn val="ctr"/>
        <c:lblOffset val="100"/>
      </c:catAx>
    </c:plotArea>
    <c:legend>
      <c:legendPos val="b"/>
      <c:legendEntry>
        <c:idx val="4"/>
        <c:delete val="1"/>
      </c:legendEntry>
      <c:layout>
        <c:manualLayout>
          <c:xMode val="edge"/>
          <c:yMode val="edge"/>
          <c:x val="0"/>
          <c:y val="0.92490495786792049"/>
          <c:w val="1"/>
          <c:h val="7.5095042132079154E-2"/>
        </c:manualLayout>
      </c:layout>
      <c:txPr>
        <a:bodyPr/>
        <a:lstStyle/>
        <a:p>
          <a:pPr>
            <a:defRPr sz="800"/>
          </a:pPr>
          <a:endParaRPr lang="zh-CN"/>
        </a:p>
      </c:txPr>
    </c:legend>
    <c:plotVisOnly val="1"/>
    <c:dispBlanksAs val="gap"/>
  </c:chart>
  <c:spPr>
    <a:ln>
      <a:noFill/>
    </a:ln>
  </c:spPr>
  <c:txPr>
    <a:bodyPr/>
    <a:lstStyle/>
    <a:p>
      <a:pPr>
        <a:defRPr sz="800">
          <a:latin typeface="仿宋" panose="02010609060101010101" pitchFamily="49" charset="-122"/>
          <a:ea typeface="仿宋" panose="02010609060101010101" pitchFamily="49" charset="-122"/>
        </a:defRPr>
      </a:pPr>
      <a:endParaRPr lang="zh-CN"/>
    </a:p>
  </c:txPr>
  <c:externalData r:id="rId2"/>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8.9681154879759251E-2"/>
          <c:y val="3.1109151479521892E-2"/>
          <c:w val="0.81430923033685365"/>
          <c:h val="0.79659825625738578"/>
        </c:manualLayout>
      </c:layout>
      <c:barChart>
        <c:barDir val="col"/>
        <c:grouping val="clustered"/>
        <c:ser>
          <c:idx val="0"/>
          <c:order val="0"/>
          <c:tx>
            <c:strRef>
              <c:f>产销!$B$27</c:f>
              <c:strCache>
                <c:ptCount val="1"/>
                <c:pt idx="0">
                  <c:v>PTA国内产能(万吨)</c:v>
                </c:pt>
              </c:strCache>
            </c:strRef>
          </c:tx>
          <c:spPr>
            <a:solidFill>
              <a:schemeClr val="accent1">
                <a:lumMod val="60000"/>
                <a:lumOff val="40000"/>
              </a:schemeClr>
            </a:solidFill>
          </c:spPr>
          <c:cat>
            <c:strRef>
              <c:f>产销!$A$42:$A$51</c:f>
              <c:strCache>
                <c:ptCount val="10"/>
                <c:pt idx="0">
                  <c:v>2008</c:v>
                </c:pt>
                <c:pt idx="1">
                  <c:v>2009</c:v>
                </c:pt>
                <c:pt idx="2">
                  <c:v>2010</c:v>
                </c:pt>
                <c:pt idx="3">
                  <c:v>2011</c:v>
                </c:pt>
                <c:pt idx="4">
                  <c:v>2012</c:v>
                </c:pt>
                <c:pt idx="5">
                  <c:v>2013</c:v>
                </c:pt>
                <c:pt idx="6">
                  <c:v>2014</c:v>
                </c:pt>
                <c:pt idx="7">
                  <c:v>2015</c:v>
                </c:pt>
                <c:pt idx="8">
                  <c:v>2016E</c:v>
                </c:pt>
                <c:pt idx="9">
                  <c:v>2017E</c:v>
                </c:pt>
              </c:strCache>
            </c:strRef>
          </c:cat>
          <c:val>
            <c:numRef>
              <c:f>产销!$B$42:$B$51</c:f>
              <c:numCache>
                <c:formatCode>#,##0.00</c:formatCode>
                <c:ptCount val="10"/>
                <c:pt idx="0">
                  <c:v>1256</c:v>
                </c:pt>
                <c:pt idx="1">
                  <c:v>1406</c:v>
                </c:pt>
                <c:pt idx="2">
                  <c:v>1530</c:v>
                </c:pt>
                <c:pt idx="3">
                  <c:v>2006</c:v>
                </c:pt>
                <c:pt idx="4">
                  <c:v>3146</c:v>
                </c:pt>
                <c:pt idx="5">
                  <c:v>3293.5</c:v>
                </c:pt>
                <c:pt idx="6">
                  <c:v>4320</c:v>
                </c:pt>
                <c:pt idx="7">
                  <c:v>4665</c:v>
                </c:pt>
                <c:pt idx="8">
                  <c:v>4985</c:v>
                </c:pt>
                <c:pt idx="9">
                  <c:v>5285</c:v>
                </c:pt>
              </c:numCache>
            </c:numRef>
          </c:val>
        </c:ser>
        <c:axId val="468117376"/>
        <c:axId val="472326144"/>
      </c:barChart>
      <c:lineChart>
        <c:grouping val="standard"/>
        <c:ser>
          <c:idx val="2"/>
          <c:order val="1"/>
          <c:tx>
            <c:strRef>
              <c:f>产销!$C$27</c:f>
              <c:strCache>
                <c:ptCount val="1"/>
                <c:pt idx="0">
                  <c:v>产能增长率</c:v>
                </c:pt>
              </c:strCache>
            </c:strRef>
          </c:tx>
          <c:spPr>
            <a:ln w="19050">
              <a:solidFill>
                <a:schemeClr val="accent1"/>
              </a:solidFill>
            </a:ln>
          </c:spPr>
          <c:marker>
            <c:symbol val="square"/>
            <c:size val="4"/>
            <c:spPr>
              <a:solidFill>
                <a:schemeClr val="accent1"/>
              </a:solidFill>
              <a:ln>
                <a:solidFill>
                  <a:schemeClr val="accent1"/>
                </a:solidFill>
              </a:ln>
            </c:spPr>
          </c:marker>
          <c:cat>
            <c:strRef>
              <c:f>产销!$A$42:$A$51</c:f>
              <c:strCache>
                <c:ptCount val="10"/>
                <c:pt idx="0">
                  <c:v>2008</c:v>
                </c:pt>
                <c:pt idx="1">
                  <c:v>2009</c:v>
                </c:pt>
                <c:pt idx="2">
                  <c:v>2010</c:v>
                </c:pt>
                <c:pt idx="3">
                  <c:v>2011</c:v>
                </c:pt>
                <c:pt idx="4">
                  <c:v>2012</c:v>
                </c:pt>
                <c:pt idx="5">
                  <c:v>2013</c:v>
                </c:pt>
                <c:pt idx="6">
                  <c:v>2014</c:v>
                </c:pt>
                <c:pt idx="7">
                  <c:v>2015</c:v>
                </c:pt>
                <c:pt idx="8">
                  <c:v>2016E</c:v>
                </c:pt>
                <c:pt idx="9">
                  <c:v>2017E</c:v>
                </c:pt>
              </c:strCache>
            </c:strRef>
          </c:cat>
          <c:val>
            <c:numRef>
              <c:f>产销!$C$42:$C$51</c:f>
              <c:numCache>
                <c:formatCode>General</c:formatCode>
                <c:ptCount val="10"/>
                <c:pt idx="0">
                  <c:v>7.7186963979416948E-2</c:v>
                </c:pt>
                <c:pt idx="1">
                  <c:v>0.11942675159235662</c:v>
                </c:pt>
                <c:pt idx="2">
                  <c:v>8.8193456614509294E-2</c:v>
                </c:pt>
                <c:pt idx="3">
                  <c:v>0.31111111111111112</c:v>
                </c:pt>
                <c:pt idx="4">
                  <c:v>0.56829511465603355</c:v>
                </c:pt>
                <c:pt idx="5">
                  <c:v>4.6884933248569703E-2</c:v>
                </c:pt>
                <c:pt idx="6">
                  <c:v>0.31167451039927302</c:v>
                </c:pt>
                <c:pt idx="7">
                  <c:v>7.9861111111111452E-2</c:v>
                </c:pt>
                <c:pt idx="8">
                  <c:v>6.8595927116827521E-2</c:v>
                </c:pt>
                <c:pt idx="9">
                  <c:v>6.0180541624874628E-2</c:v>
                </c:pt>
              </c:numCache>
            </c:numRef>
          </c:val>
        </c:ser>
        <c:marker val="1"/>
        <c:axId val="472329216"/>
        <c:axId val="472327680"/>
      </c:lineChart>
      <c:catAx>
        <c:axId val="468117376"/>
        <c:scaling>
          <c:orientation val="minMax"/>
        </c:scaling>
        <c:axPos val="b"/>
        <c:numFmt formatCode="General" sourceLinked="0"/>
        <c:tickLblPos val="nextTo"/>
        <c:spPr>
          <a:ln w="9525">
            <a:solidFill>
              <a:schemeClr val="tx1"/>
            </a:solidFill>
          </a:ln>
        </c:spPr>
        <c:txPr>
          <a:bodyPr/>
          <a:lstStyle/>
          <a:p>
            <a:pPr>
              <a:defRPr sz="700"/>
            </a:pPr>
            <a:endParaRPr lang="zh-CN"/>
          </a:p>
        </c:txPr>
        <c:crossAx val="472326144"/>
        <c:crosses val="autoZero"/>
        <c:auto val="1"/>
        <c:lblAlgn val="ctr"/>
        <c:lblOffset val="100"/>
      </c:catAx>
      <c:valAx>
        <c:axId val="472326144"/>
        <c:scaling>
          <c:orientation val="minMax"/>
          <c:max val="6000"/>
        </c:scaling>
        <c:axPos val="l"/>
        <c:majorGridlines>
          <c:spPr>
            <a:ln>
              <a:prstDash val="dash"/>
            </a:ln>
          </c:spPr>
        </c:majorGridlines>
        <c:numFmt formatCode="General" sourceLinked="0"/>
        <c:tickLblPos val="nextTo"/>
        <c:spPr>
          <a:ln w="9525">
            <a:solidFill>
              <a:schemeClr val="tx1"/>
            </a:solidFill>
          </a:ln>
        </c:spPr>
        <c:txPr>
          <a:bodyPr/>
          <a:lstStyle/>
          <a:p>
            <a:pPr>
              <a:defRPr sz="700"/>
            </a:pPr>
            <a:endParaRPr lang="zh-CN"/>
          </a:p>
        </c:txPr>
        <c:crossAx val="468117376"/>
        <c:crosses val="autoZero"/>
        <c:crossBetween val="between"/>
        <c:majorUnit val="1000"/>
      </c:valAx>
      <c:valAx>
        <c:axId val="472327680"/>
        <c:scaling>
          <c:orientation val="minMax"/>
          <c:max val="0.60000000000000064"/>
          <c:min val="0"/>
        </c:scaling>
        <c:axPos val="r"/>
        <c:numFmt formatCode="0%" sourceLinked="0"/>
        <c:tickLblPos val="nextTo"/>
        <c:spPr>
          <a:ln w="9525">
            <a:solidFill>
              <a:schemeClr val="tx1"/>
            </a:solidFill>
          </a:ln>
        </c:spPr>
        <c:txPr>
          <a:bodyPr/>
          <a:lstStyle/>
          <a:p>
            <a:pPr>
              <a:defRPr sz="700"/>
            </a:pPr>
            <a:endParaRPr lang="zh-CN"/>
          </a:p>
        </c:txPr>
        <c:crossAx val="472329216"/>
        <c:crosses val="max"/>
        <c:crossBetween val="between"/>
        <c:majorUnit val="0.1"/>
      </c:valAx>
      <c:catAx>
        <c:axId val="472329216"/>
        <c:scaling>
          <c:orientation val="minMax"/>
        </c:scaling>
        <c:delete val="1"/>
        <c:axPos val="b"/>
        <c:numFmt formatCode="General" sourceLinked="1"/>
        <c:tickLblPos val="none"/>
        <c:crossAx val="472327680"/>
        <c:crosses val="autoZero"/>
        <c:auto val="1"/>
        <c:lblAlgn val="ctr"/>
        <c:lblOffset val="100"/>
      </c:catAx>
    </c:plotArea>
    <c:legend>
      <c:legendPos val="b"/>
      <c:layout>
        <c:manualLayout>
          <c:xMode val="edge"/>
          <c:yMode val="edge"/>
          <c:x val="0.10213300653594772"/>
          <c:y val="0.90809572800313565"/>
          <c:w val="0.779132352941178"/>
          <c:h val="9.1904271996864725E-2"/>
        </c:manualLayout>
      </c:layout>
      <c:txPr>
        <a:bodyPr/>
        <a:lstStyle/>
        <a:p>
          <a:pPr>
            <a:defRPr sz="700"/>
          </a:pPr>
          <a:endParaRPr lang="zh-CN"/>
        </a:p>
      </c:txPr>
    </c:legend>
    <c:plotVisOnly val="1"/>
    <c:dispBlanksAs val="gap"/>
  </c:chart>
  <c:spPr>
    <a:ln>
      <a:noFill/>
    </a:ln>
  </c:spPr>
  <c:txPr>
    <a:bodyPr/>
    <a:lstStyle/>
    <a:p>
      <a:pPr>
        <a:defRPr sz="800">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5.3056201827224835E-2"/>
          <c:y val="3.4675136743813652E-2"/>
          <c:w val="0.91924384920634916"/>
          <c:h val="0.78672413793103435"/>
        </c:manualLayout>
      </c:layout>
      <c:lineChart>
        <c:grouping val="standard"/>
        <c:ser>
          <c:idx val="0"/>
          <c:order val="0"/>
          <c:tx>
            <c:strRef>
              <c:f>开工率!$B$1</c:f>
              <c:strCache>
                <c:ptCount val="1"/>
                <c:pt idx="0">
                  <c:v>聚酯工厂负荷率</c:v>
                </c:pt>
              </c:strCache>
            </c:strRef>
          </c:tx>
          <c:spPr>
            <a:ln w="22225">
              <a:solidFill>
                <a:srgbClr val="00B0F0"/>
              </a:solidFill>
            </a:ln>
          </c:spPr>
          <c:marker>
            <c:symbol val="none"/>
          </c:marker>
          <c:cat>
            <c:numRef>
              <c:f>开工率!$A$2:$A$2500</c:f>
              <c:numCache>
                <c:formatCode>yyyy\-mm\-dd;@</c:formatCode>
                <c:ptCount val="2499"/>
                <c:pt idx="0">
                  <c:v>39819</c:v>
                </c:pt>
                <c:pt idx="1">
                  <c:v>39820</c:v>
                </c:pt>
                <c:pt idx="2">
                  <c:v>39821</c:v>
                </c:pt>
                <c:pt idx="3">
                  <c:v>39822</c:v>
                </c:pt>
                <c:pt idx="4">
                  <c:v>39825</c:v>
                </c:pt>
                <c:pt idx="5">
                  <c:v>39826</c:v>
                </c:pt>
                <c:pt idx="6">
                  <c:v>39827</c:v>
                </c:pt>
                <c:pt idx="7">
                  <c:v>39828</c:v>
                </c:pt>
                <c:pt idx="8">
                  <c:v>39829</c:v>
                </c:pt>
                <c:pt idx="9">
                  <c:v>39832</c:v>
                </c:pt>
                <c:pt idx="10">
                  <c:v>39833</c:v>
                </c:pt>
                <c:pt idx="11">
                  <c:v>39846</c:v>
                </c:pt>
                <c:pt idx="12">
                  <c:v>39847</c:v>
                </c:pt>
                <c:pt idx="13">
                  <c:v>39848</c:v>
                </c:pt>
                <c:pt idx="14">
                  <c:v>39849</c:v>
                </c:pt>
                <c:pt idx="15">
                  <c:v>39850</c:v>
                </c:pt>
                <c:pt idx="16">
                  <c:v>39853</c:v>
                </c:pt>
                <c:pt idx="17">
                  <c:v>39854</c:v>
                </c:pt>
                <c:pt idx="18">
                  <c:v>39855</c:v>
                </c:pt>
                <c:pt idx="19">
                  <c:v>39856</c:v>
                </c:pt>
                <c:pt idx="20">
                  <c:v>39857</c:v>
                </c:pt>
                <c:pt idx="21">
                  <c:v>39860</c:v>
                </c:pt>
                <c:pt idx="22">
                  <c:v>39861</c:v>
                </c:pt>
                <c:pt idx="23">
                  <c:v>39862</c:v>
                </c:pt>
                <c:pt idx="24">
                  <c:v>39863</c:v>
                </c:pt>
                <c:pt idx="25">
                  <c:v>39864</c:v>
                </c:pt>
                <c:pt idx="26">
                  <c:v>39867</c:v>
                </c:pt>
                <c:pt idx="27">
                  <c:v>39868</c:v>
                </c:pt>
                <c:pt idx="28">
                  <c:v>39869</c:v>
                </c:pt>
                <c:pt idx="29">
                  <c:v>39870</c:v>
                </c:pt>
                <c:pt idx="30">
                  <c:v>39871</c:v>
                </c:pt>
                <c:pt idx="31">
                  <c:v>39874</c:v>
                </c:pt>
                <c:pt idx="32">
                  <c:v>39875</c:v>
                </c:pt>
                <c:pt idx="33">
                  <c:v>39876</c:v>
                </c:pt>
                <c:pt idx="34">
                  <c:v>39877</c:v>
                </c:pt>
                <c:pt idx="35">
                  <c:v>39878</c:v>
                </c:pt>
                <c:pt idx="36">
                  <c:v>39881</c:v>
                </c:pt>
                <c:pt idx="37">
                  <c:v>39882</c:v>
                </c:pt>
                <c:pt idx="38">
                  <c:v>39883</c:v>
                </c:pt>
                <c:pt idx="39">
                  <c:v>39884</c:v>
                </c:pt>
                <c:pt idx="40">
                  <c:v>39885</c:v>
                </c:pt>
                <c:pt idx="41">
                  <c:v>39888</c:v>
                </c:pt>
                <c:pt idx="42">
                  <c:v>39889</c:v>
                </c:pt>
                <c:pt idx="43">
                  <c:v>39890</c:v>
                </c:pt>
                <c:pt idx="44">
                  <c:v>39891</c:v>
                </c:pt>
                <c:pt idx="45">
                  <c:v>39892</c:v>
                </c:pt>
                <c:pt idx="46">
                  <c:v>39895</c:v>
                </c:pt>
                <c:pt idx="47">
                  <c:v>39896</c:v>
                </c:pt>
                <c:pt idx="48">
                  <c:v>39897</c:v>
                </c:pt>
                <c:pt idx="49">
                  <c:v>39898</c:v>
                </c:pt>
                <c:pt idx="50">
                  <c:v>39899</c:v>
                </c:pt>
                <c:pt idx="51">
                  <c:v>39902</c:v>
                </c:pt>
                <c:pt idx="52">
                  <c:v>39903</c:v>
                </c:pt>
                <c:pt idx="53">
                  <c:v>39904</c:v>
                </c:pt>
                <c:pt idx="54">
                  <c:v>39905</c:v>
                </c:pt>
                <c:pt idx="55">
                  <c:v>39906</c:v>
                </c:pt>
                <c:pt idx="56">
                  <c:v>39910</c:v>
                </c:pt>
                <c:pt idx="57">
                  <c:v>39911</c:v>
                </c:pt>
                <c:pt idx="58">
                  <c:v>39912</c:v>
                </c:pt>
                <c:pt idx="59">
                  <c:v>39913</c:v>
                </c:pt>
                <c:pt idx="60">
                  <c:v>39916</c:v>
                </c:pt>
                <c:pt idx="61">
                  <c:v>39917</c:v>
                </c:pt>
                <c:pt idx="62">
                  <c:v>39918</c:v>
                </c:pt>
                <c:pt idx="63">
                  <c:v>39919</c:v>
                </c:pt>
                <c:pt idx="64">
                  <c:v>39920</c:v>
                </c:pt>
                <c:pt idx="65">
                  <c:v>39923</c:v>
                </c:pt>
                <c:pt idx="66">
                  <c:v>39924</c:v>
                </c:pt>
                <c:pt idx="67">
                  <c:v>39925</c:v>
                </c:pt>
                <c:pt idx="68">
                  <c:v>39926</c:v>
                </c:pt>
                <c:pt idx="69">
                  <c:v>39927</c:v>
                </c:pt>
                <c:pt idx="70">
                  <c:v>39930</c:v>
                </c:pt>
                <c:pt idx="71">
                  <c:v>39931</c:v>
                </c:pt>
                <c:pt idx="72">
                  <c:v>39932</c:v>
                </c:pt>
                <c:pt idx="73">
                  <c:v>39933</c:v>
                </c:pt>
                <c:pt idx="74">
                  <c:v>39937</c:v>
                </c:pt>
                <c:pt idx="75">
                  <c:v>39938</c:v>
                </c:pt>
                <c:pt idx="76">
                  <c:v>39939</c:v>
                </c:pt>
                <c:pt idx="77">
                  <c:v>39940</c:v>
                </c:pt>
                <c:pt idx="78">
                  <c:v>39941</c:v>
                </c:pt>
                <c:pt idx="79">
                  <c:v>39944</c:v>
                </c:pt>
                <c:pt idx="80">
                  <c:v>39945</c:v>
                </c:pt>
                <c:pt idx="81">
                  <c:v>39946</c:v>
                </c:pt>
                <c:pt idx="82">
                  <c:v>39947</c:v>
                </c:pt>
                <c:pt idx="83">
                  <c:v>39948</c:v>
                </c:pt>
                <c:pt idx="84">
                  <c:v>39951</c:v>
                </c:pt>
                <c:pt idx="85">
                  <c:v>39952</c:v>
                </c:pt>
                <c:pt idx="86">
                  <c:v>39953</c:v>
                </c:pt>
                <c:pt idx="87">
                  <c:v>39954</c:v>
                </c:pt>
                <c:pt idx="88">
                  <c:v>39955</c:v>
                </c:pt>
                <c:pt idx="89">
                  <c:v>39958</c:v>
                </c:pt>
                <c:pt idx="90">
                  <c:v>39959</c:v>
                </c:pt>
                <c:pt idx="91">
                  <c:v>39960</c:v>
                </c:pt>
                <c:pt idx="92">
                  <c:v>39965</c:v>
                </c:pt>
                <c:pt idx="93">
                  <c:v>39966</c:v>
                </c:pt>
                <c:pt idx="94">
                  <c:v>39967</c:v>
                </c:pt>
                <c:pt idx="95">
                  <c:v>39968</c:v>
                </c:pt>
                <c:pt idx="96">
                  <c:v>39969</c:v>
                </c:pt>
                <c:pt idx="97">
                  <c:v>39972</c:v>
                </c:pt>
                <c:pt idx="98">
                  <c:v>39973</c:v>
                </c:pt>
                <c:pt idx="99">
                  <c:v>39974</c:v>
                </c:pt>
                <c:pt idx="100">
                  <c:v>39975</c:v>
                </c:pt>
                <c:pt idx="101">
                  <c:v>39976</c:v>
                </c:pt>
                <c:pt idx="102">
                  <c:v>39979</c:v>
                </c:pt>
                <c:pt idx="103">
                  <c:v>39980</c:v>
                </c:pt>
                <c:pt idx="104">
                  <c:v>39981</c:v>
                </c:pt>
                <c:pt idx="105">
                  <c:v>39982</c:v>
                </c:pt>
                <c:pt idx="106">
                  <c:v>39983</c:v>
                </c:pt>
                <c:pt idx="107">
                  <c:v>39986</c:v>
                </c:pt>
                <c:pt idx="108">
                  <c:v>39987</c:v>
                </c:pt>
                <c:pt idx="109">
                  <c:v>39988</c:v>
                </c:pt>
                <c:pt idx="110">
                  <c:v>39989</c:v>
                </c:pt>
                <c:pt idx="111">
                  <c:v>39990</c:v>
                </c:pt>
                <c:pt idx="112">
                  <c:v>39993</c:v>
                </c:pt>
                <c:pt idx="113">
                  <c:v>39994</c:v>
                </c:pt>
                <c:pt idx="114">
                  <c:v>39995</c:v>
                </c:pt>
                <c:pt idx="115">
                  <c:v>39996</c:v>
                </c:pt>
                <c:pt idx="116">
                  <c:v>39997</c:v>
                </c:pt>
                <c:pt idx="117">
                  <c:v>40000</c:v>
                </c:pt>
                <c:pt idx="118">
                  <c:v>40001</c:v>
                </c:pt>
                <c:pt idx="119">
                  <c:v>40002</c:v>
                </c:pt>
                <c:pt idx="120">
                  <c:v>40003</c:v>
                </c:pt>
                <c:pt idx="121">
                  <c:v>40004</c:v>
                </c:pt>
                <c:pt idx="122">
                  <c:v>40007</c:v>
                </c:pt>
                <c:pt idx="123">
                  <c:v>40008</c:v>
                </c:pt>
                <c:pt idx="124">
                  <c:v>40009</c:v>
                </c:pt>
                <c:pt idx="125">
                  <c:v>40010</c:v>
                </c:pt>
                <c:pt idx="126">
                  <c:v>40011</c:v>
                </c:pt>
                <c:pt idx="127">
                  <c:v>40014</c:v>
                </c:pt>
                <c:pt idx="128">
                  <c:v>40015</c:v>
                </c:pt>
                <c:pt idx="129">
                  <c:v>40016</c:v>
                </c:pt>
                <c:pt idx="130">
                  <c:v>40017</c:v>
                </c:pt>
                <c:pt idx="131">
                  <c:v>40018</c:v>
                </c:pt>
                <c:pt idx="132">
                  <c:v>40021</c:v>
                </c:pt>
                <c:pt idx="133">
                  <c:v>40022</c:v>
                </c:pt>
                <c:pt idx="134">
                  <c:v>40023</c:v>
                </c:pt>
                <c:pt idx="135">
                  <c:v>40024</c:v>
                </c:pt>
                <c:pt idx="136">
                  <c:v>40025</c:v>
                </c:pt>
                <c:pt idx="137">
                  <c:v>40028</c:v>
                </c:pt>
                <c:pt idx="138">
                  <c:v>40029</c:v>
                </c:pt>
                <c:pt idx="139">
                  <c:v>40030</c:v>
                </c:pt>
                <c:pt idx="140">
                  <c:v>40031</c:v>
                </c:pt>
                <c:pt idx="141">
                  <c:v>40032</c:v>
                </c:pt>
                <c:pt idx="142">
                  <c:v>40035</c:v>
                </c:pt>
                <c:pt idx="143">
                  <c:v>40036</c:v>
                </c:pt>
                <c:pt idx="144">
                  <c:v>40037</c:v>
                </c:pt>
                <c:pt idx="145">
                  <c:v>40038</c:v>
                </c:pt>
                <c:pt idx="146">
                  <c:v>40039</c:v>
                </c:pt>
                <c:pt idx="147">
                  <c:v>40042</c:v>
                </c:pt>
                <c:pt idx="148">
                  <c:v>40043</c:v>
                </c:pt>
                <c:pt idx="149">
                  <c:v>40044</c:v>
                </c:pt>
                <c:pt idx="150">
                  <c:v>40045</c:v>
                </c:pt>
                <c:pt idx="151">
                  <c:v>40046</c:v>
                </c:pt>
                <c:pt idx="152">
                  <c:v>40049</c:v>
                </c:pt>
                <c:pt idx="153">
                  <c:v>40050</c:v>
                </c:pt>
                <c:pt idx="154">
                  <c:v>40051</c:v>
                </c:pt>
                <c:pt idx="155">
                  <c:v>40052</c:v>
                </c:pt>
                <c:pt idx="156">
                  <c:v>40053</c:v>
                </c:pt>
                <c:pt idx="157">
                  <c:v>40056</c:v>
                </c:pt>
                <c:pt idx="158">
                  <c:v>40057</c:v>
                </c:pt>
                <c:pt idx="159">
                  <c:v>40058</c:v>
                </c:pt>
                <c:pt idx="160">
                  <c:v>40059</c:v>
                </c:pt>
                <c:pt idx="161">
                  <c:v>40060</c:v>
                </c:pt>
                <c:pt idx="162">
                  <c:v>40063</c:v>
                </c:pt>
                <c:pt idx="163">
                  <c:v>40064</c:v>
                </c:pt>
                <c:pt idx="164">
                  <c:v>40065</c:v>
                </c:pt>
                <c:pt idx="165">
                  <c:v>40066</c:v>
                </c:pt>
                <c:pt idx="166">
                  <c:v>40067</c:v>
                </c:pt>
                <c:pt idx="167">
                  <c:v>40070</c:v>
                </c:pt>
                <c:pt idx="168">
                  <c:v>40071</c:v>
                </c:pt>
                <c:pt idx="169">
                  <c:v>40072</c:v>
                </c:pt>
                <c:pt idx="170">
                  <c:v>40073</c:v>
                </c:pt>
                <c:pt idx="171">
                  <c:v>40074</c:v>
                </c:pt>
                <c:pt idx="172">
                  <c:v>40077</c:v>
                </c:pt>
                <c:pt idx="173">
                  <c:v>40078</c:v>
                </c:pt>
                <c:pt idx="174">
                  <c:v>40079</c:v>
                </c:pt>
                <c:pt idx="175">
                  <c:v>40080</c:v>
                </c:pt>
                <c:pt idx="176">
                  <c:v>40081</c:v>
                </c:pt>
                <c:pt idx="177">
                  <c:v>40084</c:v>
                </c:pt>
                <c:pt idx="178">
                  <c:v>40085</c:v>
                </c:pt>
                <c:pt idx="179">
                  <c:v>40086</c:v>
                </c:pt>
                <c:pt idx="180">
                  <c:v>40095</c:v>
                </c:pt>
                <c:pt idx="181">
                  <c:v>40098</c:v>
                </c:pt>
                <c:pt idx="182">
                  <c:v>40099</c:v>
                </c:pt>
                <c:pt idx="183">
                  <c:v>40100</c:v>
                </c:pt>
                <c:pt idx="184">
                  <c:v>40101</c:v>
                </c:pt>
                <c:pt idx="185">
                  <c:v>40102</c:v>
                </c:pt>
                <c:pt idx="186">
                  <c:v>40105</c:v>
                </c:pt>
                <c:pt idx="187">
                  <c:v>40106</c:v>
                </c:pt>
                <c:pt idx="188">
                  <c:v>40107</c:v>
                </c:pt>
                <c:pt idx="189">
                  <c:v>40108</c:v>
                </c:pt>
                <c:pt idx="190">
                  <c:v>40109</c:v>
                </c:pt>
                <c:pt idx="191">
                  <c:v>40112</c:v>
                </c:pt>
                <c:pt idx="192">
                  <c:v>40113</c:v>
                </c:pt>
                <c:pt idx="193">
                  <c:v>40114</c:v>
                </c:pt>
                <c:pt idx="194">
                  <c:v>40115</c:v>
                </c:pt>
                <c:pt idx="195">
                  <c:v>40116</c:v>
                </c:pt>
                <c:pt idx="196">
                  <c:v>40119</c:v>
                </c:pt>
                <c:pt idx="197">
                  <c:v>40120</c:v>
                </c:pt>
                <c:pt idx="198">
                  <c:v>40121</c:v>
                </c:pt>
                <c:pt idx="199">
                  <c:v>40122</c:v>
                </c:pt>
                <c:pt idx="200">
                  <c:v>40123</c:v>
                </c:pt>
                <c:pt idx="201">
                  <c:v>40126</c:v>
                </c:pt>
                <c:pt idx="202">
                  <c:v>40127</c:v>
                </c:pt>
                <c:pt idx="203">
                  <c:v>40128</c:v>
                </c:pt>
                <c:pt idx="204">
                  <c:v>40129</c:v>
                </c:pt>
                <c:pt idx="205">
                  <c:v>40130</c:v>
                </c:pt>
                <c:pt idx="206">
                  <c:v>40133</c:v>
                </c:pt>
                <c:pt idx="207">
                  <c:v>40134</c:v>
                </c:pt>
                <c:pt idx="208">
                  <c:v>40135</c:v>
                </c:pt>
                <c:pt idx="209">
                  <c:v>40136</c:v>
                </c:pt>
                <c:pt idx="210">
                  <c:v>40137</c:v>
                </c:pt>
                <c:pt idx="211">
                  <c:v>40140</c:v>
                </c:pt>
                <c:pt idx="212">
                  <c:v>40141</c:v>
                </c:pt>
                <c:pt idx="213">
                  <c:v>40142</c:v>
                </c:pt>
                <c:pt idx="214">
                  <c:v>40143</c:v>
                </c:pt>
                <c:pt idx="215">
                  <c:v>40144</c:v>
                </c:pt>
                <c:pt idx="216">
                  <c:v>40147</c:v>
                </c:pt>
                <c:pt idx="217">
                  <c:v>40148</c:v>
                </c:pt>
                <c:pt idx="218">
                  <c:v>40149</c:v>
                </c:pt>
                <c:pt idx="219">
                  <c:v>40150</c:v>
                </c:pt>
                <c:pt idx="220">
                  <c:v>40151</c:v>
                </c:pt>
                <c:pt idx="221">
                  <c:v>40154</c:v>
                </c:pt>
                <c:pt idx="222">
                  <c:v>40155</c:v>
                </c:pt>
                <c:pt idx="223">
                  <c:v>40156</c:v>
                </c:pt>
                <c:pt idx="224">
                  <c:v>40157</c:v>
                </c:pt>
                <c:pt idx="225">
                  <c:v>40158</c:v>
                </c:pt>
                <c:pt idx="226">
                  <c:v>40161</c:v>
                </c:pt>
                <c:pt idx="227">
                  <c:v>40162</c:v>
                </c:pt>
                <c:pt idx="228">
                  <c:v>40163</c:v>
                </c:pt>
                <c:pt idx="229">
                  <c:v>40164</c:v>
                </c:pt>
                <c:pt idx="230">
                  <c:v>40165</c:v>
                </c:pt>
                <c:pt idx="231">
                  <c:v>40168</c:v>
                </c:pt>
                <c:pt idx="232">
                  <c:v>40169</c:v>
                </c:pt>
                <c:pt idx="233">
                  <c:v>40170</c:v>
                </c:pt>
                <c:pt idx="234">
                  <c:v>40171</c:v>
                </c:pt>
                <c:pt idx="235">
                  <c:v>40172</c:v>
                </c:pt>
                <c:pt idx="236">
                  <c:v>40175</c:v>
                </c:pt>
                <c:pt idx="237">
                  <c:v>40176</c:v>
                </c:pt>
                <c:pt idx="238">
                  <c:v>40177</c:v>
                </c:pt>
                <c:pt idx="239">
                  <c:v>40182</c:v>
                </c:pt>
                <c:pt idx="240">
                  <c:v>40183</c:v>
                </c:pt>
                <c:pt idx="241">
                  <c:v>40184</c:v>
                </c:pt>
                <c:pt idx="242">
                  <c:v>40185</c:v>
                </c:pt>
                <c:pt idx="243">
                  <c:v>40186</c:v>
                </c:pt>
                <c:pt idx="244">
                  <c:v>40189</c:v>
                </c:pt>
                <c:pt idx="245">
                  <c:v>40190</c:v>
                </c:pt>
                <c:pt idx="246">
                  <c:v>40191</c:v>
                </c:pt>
                <c:pt idx="247">
                  <c:v>40192</c:v>
                </c:pt>
                <c:pt idx="248">
                  <c:v>40193</c:v>
                </c:pt>
                <c:pt idx="249">
                  <c:v>40196</c:v>
                </c:pt>
                <c:pt idx="250">
                  <c:v>40197</c:v>
                </c:pt>
                <c:pt idx="251">
                  <c:v>40198</c:v>
                </c:pt>
                <c:pt idx="252">
                  <c:v>40199</c:v>
                </c:pt>
                <c:pt idx="253">
                  <c:v>40200</c:v>
                </c:pt>
                <c:pt idx="254">
                  <c:v>40203</c:v>
                </c:pt>
                <c:pt idx="255">
                  <c:v>40204</c:v>
                </c:pt>
                <c:pt idx="256">
                  <c:v>40205</c:v>
                </c:pt>
                <c:pt idx="257">
                  <c:v>40206</c:v>
                </c:pt>
                <c:pt idx="258">
                  <c:v>40207</c:v>
                </c:pt>
                <c:pt idx="259">
                  <c:v>40210</c:v>
                </c:pt>
                <c:pt idx="260">
                  <c:v>40211</c:v>
                </c:pt>
                <c:pt idx="261">
                  <c:v>40212</c:v>
                </c:pt>
                <c:pt idx="262">
                  <c:v>40213</c:v>
                </c:pt>
                <c:pt idx="263">
                  <c:v>40214</c:v>
                </c:pt>
                <c:pt idx="264">
                  <c:v>40231</c:v>
                </c:pt>
                <c:pt idx="265">
                  <c:v>40232</c:v>
                </c:pt>
                <c:pt idx="266">
                  <c:v>40233</c:v>
                </c:pt>
                <c:pt idx="267">
                  <c:v>40234</c:v>
                </c:pt>
                <c:pt idx="268">
                  <c:v>40235</c:v>
                </c:pt>
                <c:pt idx="269">
                  <c:v>40238</c:v>
                </c:pt>
                <c:pt idx="270">
                  <c:v>40239</c:v>
                </c:pt>
                <c:pt idx="271">
                  <c:v>40240</c:v>
                </c:pt>
                <c:pt idx="272">
                  <c:v>40242</c:v>
                </c:pt>
                <c:pt idx="273">
                  <c:v>40245</c:v>
                </c:pt>
                <c:pt idx="274">
                  <c:v>40246</c:v>
                </c:pt>
                <c:pt idx="275">
                  <c:v>40248</c:v>
                </c:pt>
                <c:pt idx="276">
                  <c:v>40249</c:v>
                </c:pt>
                <c:pt idx="277">
                  <c:v>40252</c:v>
                </c:pt>
                <c:pt idx="278">
                  <c:v>40253</c:v>
                </c:pt>
                <c:pt idx="279">
                  <c:v>40254</c:v>
                </c:pt>
                <c:pt idx="280">
                  <c:v>40255</c:v>
                </c:pt>
                <c:pt idx="281">
                  <c:v>40256</c:v>
                </c:pt>
                <c:pt idx="282">
                  <c:v>40259</c:v>
                </c:pt>
                <c:pt idx="283">
                  <c:v>40260</c:v>
                </c:pt>
                <c:pt idx="284">
                  <c:v>40261</c:v>
                </c:pt>
                <c:pt idx="285">
                  <c:v>40262</c:v>
                </c:pt>
                <c:pt idx="286">
                  <c:v>40263</c:v>
                </c:pt>
                <c:pt idx="287">
                  <c:v>40266</c:v>
                </c:pt>
                <c:pt idx="288">
                  <c:v>40267</c:v>
                </c:pt>
                <c:pt idx="289">
                  <c:v>40268</c:v>
                </c:pt>
                <c:pt idx="290">
                  <c:v>40269</c:v>
                </c:pt>
                <c:pt idx="291">
                  <c:v>40270</c:v>
                </c:pt>
                <c:pt idx="292">
                  <c:v>40274</c:v>
                </c:pt>
                <c:pt idx="293">
                  <c:v>40275</c:v>
                </c:pt>
                <c:pt idx="294">
                  <c:v>40277</c:v>
                </c:pt>
                <c:pt idx="295">
                  <c:v>40280</c:v>
                </c:pt>
                <c:pt idx="296">
                  <c:v>40281</c:v>
                </c:pt>
                <c:pt idx="297">
                  <c:v>40282</c:v>
                </c:pt>
                <c:pt idx="298">
                  <c:v>40283</c:v>
                </c:pt>
                <c:pt idx="299">
                  <c:v>40284</c:v>
                </c:pt>
                <c:pt idx="300">
                  <c:v>40287</c:v>
                </c:pt>
                <c:pt idx="301">
                  <c:v>40288</c:v>
                </c:pt>
                <c:pt idx="302">
                  <c:v>40289</c:v>
                </c:pt>
                <c:pt idx="303">
                  <c:v>40290</c:v>
                </c:pt>
                <c:pt idx="304">
                  <c:v>40291</c:v>
                </c:pt>
                <c:pt idx="305">
                  <c:v>40294</c:v>
                </c:pt>
                <c:pt idx="306">
                  <c:v>40295</c:v>
                </c:pt>
                <c:pt idx="307">
                  <c:v>40296</c:v>
                </c:pt>
                <c:pt idx="308">
                  <c:v>40297</c:v>
                </c:pt>
                <c:pt idx="309">
                  <c:v>40298</c:v>
                </c:pt>
                <c:pt idx="310">
                  <c:v>40302</c:v>
                </c:pt>
                <c:pt idx="311">
                  <c:v>40303</c:v>
                </c:pt>
                <c:pt idx="312">
                  <c:v>40304</c:v>
                </c:pt>
                <c:pt idx="313">
                  <c:v>40305</c:v>
                </c:pt>
                <c:pt idx="314">
                  <c:v>40308</c:v>
                </c:pt>
                <c:pt idx="315">
                  <c:v>40309</c:v>
                </c:pt>
                <c:pt idx="316">
                  <c:v>40310</c:v>
                </c:pt>
                <c:pt idx="317">
                  <c:v>40311</c:v>
                </c:pt>
                <c:pt idx="318">
                  <c:v>40312</c:v>
                </c:pt>
                <c:pt idx="319">
                  <c:v>40315</c:v>
                </c:pt>
                <c:pt idx="320">
                  <c:v>40316</c:v>
                </c:pt>
                <c:pt idx="321">
                  <c:v>40317</c:v>
                </c:pt>
                <c:pt idx="322">
                  <c:v>40318</c:v>
                </c:pt>
                <c:pt idx="323">
                  <c:v>40319</c:v>
                </c:pt>
                <c:pt idx="324">
                  <c:v>40322</c:v>
                </c:pt>
                <c:pt idx="325">
                  <c:v>40323</c:v>
                </c:pt>
                <c:pt idx="326">
                  <c:v>40324</c:v>
                </c:pt>
                <c:pt idx="327">
                  <c:v>40325</c:v>
                </c:pt>
                <c:pt idx="328">
                  <c:v>40326</c:v>
                </c:pt>
                <c:pt idx="329">
                  <c:v>40329</c:v>
                </c:pt>
                <c:pt idx="330">
                  <c:v>40330</c:v>
                </c:pt>
                <c:pt idx="331">
                  <c:v>40331</c:v>
                </c:pt>
                <c:pt idx="332">
                  <c:v>40333</c:v>
                </c:pt>
                <c:pt idx="333">
                  <c:v>40336</c:v>
                </c:pt>
                <c:pt idx="334">
                  <c:v>40337</c:v>
                </c:pt>
                <c:pt idx="335">
                  <c:v>40338</c:v>
                </c:pt>
                <c:pt idx="336">
                  <c:v>40340</c:v>
                </c:pt>
                <c:pt idx="337">
                  <c:v>40346</c:v>
                </c:pt>
                <c:pt idx="338">
                  <c:v>40347</c:v>
                </c:pt>
                <c:pt idx="339">
                  <c:v>40350</c:v>
                </c:pt>
                <c:pt idx="340">
                  <c:v>40351</c:v>
                </c:pt>
                <c:pt idx="341">
                  <c:v>40352</c:v>
                </c:pt>
                <c:pt idx="342">
                  <c:v>40353</c:v>
                </c:pt>
                <c:pt idx="343">
                  <c:v>40354</c:v>
                </c:pt>
                <c:pt idx="344">
                  <c:v>40357</c:v>
                </c:pt>
                <c:pt idx="345">
                  <c:v>40358</c:v>
                </c:pt>
                <c:pt idx="346">
                  <c:v>40359</c:v>
                </c:pt>
                <c:pt idx="347">
                  <c:v>40360</c:v>
                </c:pt>
                <c:pt idx="348">
                  <c:v>40361</c:v>
                </c:pt>
                <c:pt idx="349">
                  <c:v>40364</c:v>
                </c:pt>
                <c:pt idx="350">
                  <c:v>40365</c:v>
                </c:pt>
                <c:pt idx="351">
                  <c:v>40366</c:v>
                </c:pt>
                <c:pt idx="352">
                  <c:v>40367</c:v>
                </c:pt>
                <c:pt idx="353">
                  <c:v>40368</c:v>
                </c:pt>
                <c:pt idx="354">
                  <c:v>40371</c:v>
                </c:pt>
                <c:pt idx="355">
                  <c:v>40372</c:v>
                </c:pt>
                <c:pt idx="356">
                  <c:v>40373</c:v>
                </c:pt>
                <c:pt idx="357">
                  <c:v>40374</c:v>
                </c:pt>
                <c:pt idx="358">
                  <c:v>40375</c:v>
                </c:pt>
                <c:pt idx="359">
                  <c:v>40378</c:v>
                </c:pt>
                <c:pt idx="360">
                  <c:v>40379</c:v>
                </c:pt>
                <c:pt idx="361">
                  <c:v>40380</c:v>
                </c:pt>
                <c:pt idx="362">
                  <c:v>40381</c:v>
                </c:pt>
                <c:pt idx="363">
                  <c:v>40382</c:v>
                </c:pt>
                <c:pt idx="364">
                  <c:v>40385</c:v>
                </c:pt>
                <c:pt idx="365">
                  <c:v>40386</c:v>
                </c:pt>
                <c:pt idx="366">
                  <c:v>40388</c:v>
                </c:pt>
                <c:pt idx="367">
                  <c:v>40389</c:v>
                </c:pt>
                <c:pt idx="368">
                  <c:v>40392</c:v>
                </c:pt>
                <c:pt idx="369">
                  <c:v>40393</c:v>
                </c:pt>
                <c:pt idx="370">
                  <c:v>40394</c:v>
                </c:pt>
                <c:pt idx="371">
                  <c:v>40395</c:v>
                </c:pt>
                <c:pt idx="372">
                  <c:v>40396</c:v>
                </c:pt>
                <c:pt idx="373">
                  <c:v>40399</c:v>
                </c:pt>
                <c:pt idx="374">
                  <c:v>40400</c:v>
                </c:pt>
                <c:pt idx="375">
                  <c:v>40401</c:v>
                </c:pt>
                <c:pt idx="376">
                  <c:v>40402</c:v>
                </c:pt>
                <c:pt idx="377">
                  <c:v>40403</c:v>
                </c:pt>
                <c:pt idx="378">
                  <c:v>40406</c:v>
                </c:pt>
                <c:pt idx="379">
                  <c:v>40407</c:v>
                </c:pt>
                <c:pt idx="380">
                  <c:v>40408</c:v>
                </c:pt>
                <c:pt idx="381">
                  <c:v>40409</c:v>
                </c:pt>
                <c:pt idx="382">
                  <c:v>40410</c:v>
                </c:pt>
                <c:pt idx="383">
                  <c:v>40413</c:v>
                </c:pt>
                <c:pt idx="384">
                  <c:v>40414</c:v>
                </c:pt>
                <c:pt idx="385">
                  <c:v>40415</c:v>
                </c:pt>
                <c:pt idx="386">
                  <c:v>40417</c:v>
                </c:pt>
                <c:pt idx="387">
                  <c:v>40420</c:v>
                </c:pt>
                <c:pt idx="388">
                  <c:v>40421</c:v>
                </c:pt>
                <c:pt idx="389">
                  <c:v>40422</c:v>
                </c:pt>
                <c:pt idx="390">
                  <c:v>40423</c:v>
                </c:pt>
                <c:pt idx="391">
                  <c:v>40424</c:v>
                </c:pt>
                <c:pt idx="392">
                  <c:v>40427</c:v>
                </c:pt>
                <c:pt idx="393">
                  <c:v>40428</c:v>
                </c:pt>
                <c:pt idx="394">
                  <c:v>40429</c:v>
                </c:pt>
                <c:pt idx="395">
                  <c:v>40430</c:v>
                </c:pt>
                <c:pt idx="396">
                  <c:v>40431</c:v>
                </c:pt>
                <c:pt idx="397">
                  <c:v>40434</c:v>
                </c:pt>
                <c:pt idx="398">
                  <c:v>40435</c:v>
                </c:pt>
                <c:pt idx="399">
                  <c:v>40436</c:v>
                </c:pt>
                <c:pt idx="400">
                  <c:v>40437</c:v>
                </c:pt>
                <c:pt idx="401">
                  <c:v>40438</c:v>
                </c:pt>
                <c:pt idx="402">
                  <c:v>40441</c:v>
                </c:pt>
                <c:pt idx="403">
                  <c:v>40442</c:v>
                </c:pt>
                <c:pt idx="404">
                  <c:v>40448</c:v>
                </c:pt>
                <c:pt idx="405">
                  <c:v>40449</c:v>
                </c:pt>
                <c:pt idx="406">
                  <c:v>40450</c:v>
                </c:pt>
                <c:pt idx="407">
                  <c:v>40451</c:v>
                </c:pt>
                <c:pt idx="408">
                  <c:v>40459</c:v>
                </c:pt>
                <c:pt idx="409">
                  <c:v>40462</c:v>
                </c:pt>
                <c:pt idx="410">
                  <c:v>40463</c:v>
                </c:pt>
                <c:pt idx="411">
                  <c:v>40464</c:v>
                </c:pt>
                <c:pt idx="412">
                  <c:v>40465</c:v>
                </c:pt>
                <c:pt idx="413">
                  <c:v>40466</c:v>
                </c:pt>
                <c:pt idx="414">
                  <c:v>40469</c:v>
                </c:pt>
                <c:pt idx="415">
                  <c:v>40470</c:v>
                </c:pt>
                <c:pt idx="416">
                  <c:v>40471</c:v>
                </c:pt>
                <c:pt idx="417">
                  <c:v>40472</c:v>
                </c:pt>
                <c:pt idx="418">
                  <c:v>40473</c:v>
                </c:pt>
                <c:pt idx="419">
                  <c:v>40476</c:v>
                </c:pt>
                <c:pt idx="420">
                  <c:v>40477</c:v>
                </c:pt>
                <c:pt idx="421">
                  <c:v>40478</c:v>
                </c:pt>
                <c:pt idx="422">
                  <c:v>40479</c:v>
                </c:pt>
                <c:pt idx="423">
                  <c:v>40480</c:v>
                </c:pt>
                <c:pt idx="424">
                  <c:v>40483</c:v>
                </c:pt>
                <c:pt idx="425">
                  <c:v>40484</c:v>
                </c:pt>
                <c:pt idx="426">
                  <c:v>40485</c:v>
                </c:pt>
                <c:pt idx="427">
                  <c:v>40486</c:v>
                </c:pt>
                <c:pt idx="428">
                  <c:v>40487</c:v>
                </c:pt>
                <c:pt idx="429">
                  <c:v>40490</c:v>
                </c:pt>
                <c:pt idx="430">
                  <c:v>40491</c:v>
                </c:pt>
                <c:pt idx="431">
                  <c:v>40492</c:v>
                </c:pt>
                <c:pt idx="432">
                  <c:v>40493</c:v>
                </c:pt>
                <c:pt idx="433">
                  <c:v>40494</c:v>
                </c:pt>
                <c:pt idx="434">
                  <c:v>40497</c:v>
                </c:pt>
                <c:pt idx="435">
                  <c:v>40498</c:v>
                </c:pt>
                <c:pt idx="436">
                  <c:v>40499</c:v>
                </c:pt>
                <c:pt idx="437">
                  <c:v>40500</c:v>
                </c:pt>
                <c:pt idx="438">
                  <c:v>40501</c:v>
                </c:pt>
                <c:pt idx="439">
                  <c:v>40504</c:v>
                </c:pt>
                <c:pt idx="440">
                  <c:v>40505</c:v>
                </c:pt>
                <c:pt idx="441">
                  <c:v>40506</c:v>
                </c:pt>
                <c:pt idx="442">
                  <c:v>40507</c:v>
                </c:pt>
                <c:pt idx="443">
                  <c:v>40508</c:v>
                </c:pt>
                <c:pt idx="444">
                  <c:v>40511</c:v>
                </c:pt>
                <c:pt idx="445">
                  <c:v>40512</c:v>
                </c:pt>
                <c:pt idx="446">
                  <c:v>40513</c:v>
                </c:pt>
                <c:pt idx="447">
                  <c:v>40514</c:v>
                </c:pt>
                <c:pt idx="448">
                  <c:v>40515</c:v>
                </c:pt>
                <c:pt idx="449">
                  <c:v>40518</c:v>
                </c:pt>
                <c:pt idx="450">
                  <c:v>40519</c:v>
                </c:pt>
                <c:pt idx="451">
                  <c:v>40520</c:v>
                </c:pt>
                <c:pt idx="452">
                  <c:v>40521</c:v>
                </c:pt>
                <c:pt idx="453">
                  <c:v>40522</c:v>
                </c:pt>
                <c:pt idx="454">
                  <c:v>40525</c:v>
                </c:pt>
                <c:pt idx="455">
                  <c:v>40526</c:v>
                </c:pt>
                <c:pt idx="456">
                  <c:v>40527</c:v>
                </c:pt>
                <c:pt idx="457">
                  <c:v>40528</c:v>
                </c:pt>
                <c:pt idx="458">
                  <c:v>40529</c:v>
                </c:pt>
                <c:pt idx="459">
                  <c:v>40532</c:v>
                </c:pt>
                <c:pt idx="460">
                  <c:v>40533</c:v>
                </c:pt>
                <c:pt idx="461">
                  <c:v>40534</c:v>
                </c:pt>
                <c:pt idx="462">
                  <c:v>40535</c:v>
                </c:pt>
                <c:pt idx="463">
                  <c:v>40536</c:v>
                </c:pt>
                <c:pt idx="464">
                  <c:v>40539</c:v>
                </c:pt>
                <c:pt idx="465">
                  <c:v>40540</c:v>
                </c:pt>
                <c:pt idx="466">
                  <c:v>40541</c:v>
                </c:pt>
                <c:pt idx="467">
                  <c:v>40542</c:v>
                </c:pt>
                <c:pt idx="468">
                  <c:v>40543</c:v>
                </c:pt>
                <c:pt idx="469">
                  <c:v>40547</c:v>
                </c:pt>
                <c:pt idx="470">
                  <c:v>40548</c:v>
                </c:pt>
                <c:pt idx="471">
                  <c:v>40549</c:v>
                </c:pt>
                <c:pt idx="472">
                  <c:v>40550</c:v>
                </c:pt>
                <c:pt idx="473">
                  <c:v>40553</c:v>
                </c:pt>
                <c:pt idx="474">
                  <c:v>40554</c:v>
                </c:pt>
                <c:pt idx="475">
                  <c:v>40555</c:v>
                </c:pt>
                <c:pt idx="476">
                  <c:v>40556</c:v>
                </c:pt>
                <c:pt idx="477">
                  <c:v>40557</c:v>
                </c:pt>
                <c:pt idx="478">
                  <c:v>40560</c:v>
                </c:pt>
                <c:pt idx="479">
                  <c:v>40561</c:v>
                </c:pt>
                <c:pt idx="480">
                  <c:v>40562</c:v>
                </c:pt>
                <c:pt idx="481">
                  <c:v>40563</c:v>
                </c:pt>
                <c:pt idx="482">
                  <c:v>40564</c:v>
                </c:pt>
                <c:pt idx="483">
                  <c:v>40567</c:v>
                </c:pt>
                <c:pt idx="484">
                  <c:v>40568</c:v>
                </c:pt>
                <c:pt idx="485">
                  <c:v>40569</c:v>
                </c:pt>
                <c:pt idx="486">
                  <c:v>40570</c:v>
                </c:pt>
                <c:pt idx="487">
                  <c:v>40583</c:v>
                </c:pt>
                <c:pt idx="488">
                  <c:v>40584</c:v>
                </c:pt>
                <c:pt idx="489">
                  <c:v>40585</c:v>
                </c:pt>
                <c:pt idx="490">
                  <c:v>40588</c:v>
                </c:pt>
                <c:pt idx="491">
                  <c:v>40589</c:v>
                </c:pt>
                <c:pt idx="492">
                  <c:v>40590</c:v>
                </c:pt>
                <c:pt idx="493">
                  <c:v>40591</c:v>
                </c:pt>
                <c:pt idx="494">
                  <c:v>40592</c:v>
                </c:pt>
                <c:pt idx="495">
                  <c:v>40595</c:v>
                </c:pt>
                <c:pt idx="496">
                  <c:v>40596</c:v>
                </c:pt>
                <c:pt idx="497">
                  <c:v>40597</c:v>
                </c:pt>
                <c:pt idx="498">
                  <c:v>40598</c:v>
                </c:pt>
                <c:pt idx="499">
                  <c:v>40602</c:v>
                </c:pt>
                <c:pt idx="500">
                  <c:v>40603</c:v>
                </c:pt>
                <c:pt idx="501">
                  <c:v>40604</c:v>
                </c:pt>
                <c:pt idx="502">
                  <c:v>40605</c:v>
                </c:pt>
                <c:pt idx="503">
                  <c:v>40606</c:v>
                </c:pt>
                <c:pt idx="504">
                  <c:v>40609</c:v>
                </c:pt>
                <c:pt idx="505">
                  <c:v>40610</c:v>
                </c:pt>
                <c:pt idx="506">
                  <c:v>40611</c:v>
                </c:pt>
                <c:pt idx="507">
                  <c:v>40612</c:v>
                </c:pt>
                <c:pt idx="508">
                  <c:v>40613</c:v>
                </c:pt>
                <c:pt idx="509">
                  <c:v>40616</c:v>
                </c:pt>
                <c:pt idx="510">
                  <c:v>40617</c:v>
                </c:pt>
                <c:pt idx="511">
                  <c:v>40618</c:v>
                </c:pt>
                <c:pt idx="512">
                  <c:v>40619</c:v>
                </c:pt>
                <c:pt idx="513">
                  <c:v>40621</c:v>
                </c:pt>
                <c:pt idx="514">
                  <c:v>40623</c:v>
                </c:pt>
                <c:pt idx="515">
                  <c:v>40624</c:v>
                </c:pt>
                <c:pt idx="516">
                  <c:v>40625</c:v>
                </c:pt>
                <c:pt idx="517">
                  <c:v>40626</c:v>
                </c:pt>
                <c:pt idx="518">
                  <c:v>40627</c:v>
                </c:pt>
                <c:pt idx="519">
                  <c:v>40630</c:v>
                </c:pt>
                <c:pt idx="520">
                  <c:v>40631</c:v>
                </c:pt>
                <c:pt idx="521">
                  <c:v>40632</c:v>
                </c:pt>
                <c:pt idx="522">
                  <c:v>40634</c:v>
                </c:pt>
                <c:pt idx="523">
                  <c:v>40639</c:v>
                </c:pt>
                <c:pt idx="524">
                  <c:v>40640</c:v>
                </c:pt>
                <c:pt idx="525">
                  <c:v>40641</c:v>
                </c:pt>
                <c:pt idx="526">
                  <c:v>40644</c:v>
                </c:pt>
                <c:pt idx="527">
                  <c:v>40645</c:v>
                </c:pt>
                <c:pt idx="528">
                  <c:v>40646</c:v>
                </c:pt>
                <c:pt idx="529">
                  <c:v>40647</c:v>
                </c:pt>
                <c:pt idx="530">
                  <c:v>40648</c:v>
                </c:pt>
                <c:pt idx="531">
                  <c:v>40651</c:v>
                </c:pt>
                <c:pt idx="532">
                  <c:v>40652</c:v>
                </c:pt>
                <c:pt idx="533">
                  <c:v>40653</c:v>
                </c:pt>
                <c:pt idx="534">
                  <c:v>40654</c:v>
                </c:pt>
                <c:pt idx="535">
                  <c:v>40655</c:v>
                </c:pt>
                <c:pt idx="536">
                  <c:v>40658</c:v>
                </c:pt>
                <c:pt idx="537">
                  <c:v>40659</c:v>
                </c:pt>
                <c:pt idx="538">
                  <c:v>40660</c:v>
                </c:pt>
                <c:pt idx="539">
                  <c:v>40662</c:v>
                </c:pt>
                <c:pt idx="540">
                  <c:v>40666</c:v>
                </c:pt>
                <c:pt idx="541">
                  <c:v>40667</c:v>
                </c:pt>
                <c:pt idx="542">
                  <c:v>40668</c:v>
                </c:pt>
                <c:pt idx="543">
                  <c:v>40669</c:v>
                </c:pt>
                <c:pt idx="544">
                  <c:v>40672</c:v>
                </c:pt>
                <c:pt idx="545">
                  <c:v>40673</c:v>
                </c:pt>
                <c:pt idx="546">
                  <c:v>40674</c:v>
                </c:pt>
                <c:pt idx="547">
                  <c:v>40676</c:v>
                </c:pt>
                <c:pt idx="548">
                  <c:v>40679</c:v>
                </c:pt>
                <c:pt idx="549">
                  <c:v>40680</c:v>
                </c:pt>
                <c:pt idx="550">
                  <c:v>40681</c:v>
                </c:pt>
                <c:pt idx="551">
                  <c:v>40683</c:v>
                </c:pt>
                <c:pt idx="552">
                  <c:v>40686</c:v>
                </c:pt>
                <c:pt idx="553">
                  <c:v>40687</c:v>
                </c:pt>
                <c:pt idx="554">
                  <c:v>40688</c:v>
                </c:pt>
                <c:pt idx="555">
                  <c:v>40689</c:v>
                </c:pt>
                <c:pt idx="556">
                  <c:v>40690</c:v>
                </c:pt>
                <c:pt idx="557">
                  <c:v>40693</c:v>
                </c:pt>
                <c:pt idx="558">
                  <c:v>40694</c:v>
                </c:pt>
                <c:pt idx="559">
                  <c:v>40695</c:v>
                </c:pt>
                <c:pt idx="560">
                  <c:v>40696</c:v>
                </c:pt>
                <c:pt idx="561">
                  <c:v>40697</c:v>
                </c:pt>
                <c:pt idx="562">
                  <c:v>40701</c:v>
                </c:pt>
                <c:pt idx="563">
                  <c:v>40702</c:v>
                </c:pt>
                <c:pt idx="564">
                  <c:v>40703</c:v>
                </c:pt>
                <c:pt idx="565">
                  <c:v>40704</c:v>
                </c:pt>
                <c:pt idx="566">
                  <c:v>40707</c:v>
                </c:pt>
                <c:pt idx="567">
                  <c:v>40708</c:v>
                </c:pt>
                <c:pt idx="568">
                  <c:v>40709</c:v>
                </c:pt>
                <c:pt idx="569">
                  <c:v>40710</c:v>
                </c:pt>
                <c:pt idx="570">
                  <c:v>40711</c:v>
                </c:pt>
                <c:pt idx="571">
                  <c:v>40714</c:v>
                </c:pt>
                <c:pt idx="572">
                  <c:v>40715</c:v>
                </c:pt>
                <c:pt idx="573">
                  <c:v>40717</c:v>
                </c:pt>
                <c:pt idx="574">
                  <c:v>40718</c:v>
                </c:pt>
                <c:pt idx="575">
                  <c:v>40721</c:v>
                </c:pt>
                <c:pt idx="576">
                  <c:v>40722</c:v>
                </c:pt>
                <c:pt idx="577">
                  <c:v>40723</c:v>
                </c:pt>
                <c:pt idx="578">
                  <c:v>40724</c:v>
                </c:pt>
                <c:pt idx="579">
                  <c:v>40725</c:v>
                </c:pt>
                <c:pt idx="580">
                  <c:v>40728</c:v>
                </c:pt>
                <c:pt idx="581">
                  <c:v>40729</c:v>
                </c:pt>
                <c:pt idx="582">
                  <c:v>40730</c:v>
                </c:pt>
                <c:pt idx="583">
                  <c:v>40732</c:v>
                </c:pt>
                <c:pt idx="584">
                  <c:v>40735</c:v>
                </c:pt>
                <c:pt idx="585">
                  <c:v>40736</c:v>
                </c:pt>
                <c:pt idx="586">
                  <c:v>40737</c:v>
                </c:pt>
                <c:pt idx="587">
                  <c:v>40738</c:v>
                </c:pt>
                <c:pt idx="588">
                  <c:v>40739</c:v>
                </c:pt>
                <c:pt idx="589">
                  <c:v>40742</c:v>
                </c:pt>
                <c:pt idx="590">
                  <c:v>40743</c:v>
                </c:pt>
                <c:pt idx="591">
                  <c:v>40744</c:v>
                </c:pt>
                <c:pt idx="592">
                  <c:v>40745</c:v>
                </c:pt>
                <c:pt idx="593">
                  <c:v>40746</c:v>
                </c:pt>
                <c:pt idx="594">
                  <c:v>40749</c:v>
                </c:pt>
                <c:pt idx="595">
                  <c:v>40750</c:v>
                </c:pt>
                <c:pt idx="596">
                  <c:v>40751</c:v>
                </c:pt>
                <c:pt idx="597">
                  <c:v>40752</c:v>
                </c:pt>
                <c:pt idx="598">
                  <c:v>40753</c:v>
                </c:pt>
                <c:pt idx="599">
                  <c:v>40756</c:v>
                </c:pt>
                <c:pt idx="600">
                  <c:v>40757</c:v>
                </c:pt>
                <c:pt idx="601">
                  <c:v>40758</c:v>
                </c:pt>
                <c:pt idx="602">
                  <c:v>40759</c:v>
                </c:pt>
                <c:pt idx="603">
                  <c:v>40760</c:v>
                </c:pt>
                <c:pt idx="604">
                  <c:v>40763</c:v>
                </c:pt>
                <c:pt idx="605">
                  <c:v>40764</c:v>
                </c:pt>
                <c:pt idx="606">
                  <c:v>40765</c:v>
                </c:pt>
                <c:pt idx="607">
                  <c:v>40766</c:v>
                </c:pt>
                <c:pt idx="608">
                  <c:v>40767</c:v>
                </c:pt>
                <c:pt idx="609">
                  <c:v>40770</c:v>
                </c:pt>
                <c:pt idx="610">
                  <c:v>40771</c:v>
                </c:pt>
                <c:pt idx="611">
                  <c:v>40772</c:v>
                </c:pt>
                <c:pt idx="612">
                  <c:v>40773</c:v>
                </c:pt>
                <c:pt idx="613">
                  <c:v>40774</c:v>
                </c:pt>
                <c:pt idx="614">
                  <c:v>40777</c:v>
                </c:pt>
                <c:pt idx="615">
                  <c:v>40778</c:v>
                </c:pt>
                <c:pt idx="616">
                  <c:v>40779</c:v>
                </c:pt>
                <c:pt idx="617">
                  <c:v>40780</c:v>
                </c:pt>
                <c:pt idx="618">
                  <c:v>40781</c:v>
                </c:pt>
                <c:pt idx="619">
                  <c:v>40784</c:v>
                </c:pt>
                <c:pt idx="620">
                  <c:v>40785</c:v>
                </c:pt>
                <c:pt idx="621">
                  <c:v>40786</c:v>
                </c:pt>
                <c:pt idx="622">
                  <c:v>40787</c:v>
                </c:pt>
                <c:pt idx="623">
                  <c:v>40788</c:v>
                </c:pt>
                <c:pt idx="624">
                  <c:v>40791</c:v>
                </c:pt>
                <c:pt idx="625">
                  <c:v>40792</c:v>
                </c:pt>
                <c:pt idx="626">
                  <c:v>40793</c:v>
                </c:pt>
                <c:pt idx="627">
                  <c:v>40794</c:v>
                </c:pt>
                <c:pt idx="628">
                  <c:v>40795</c:v>
                </c:pt>
                <c:pt idx="629">
                  <c:v>40799</c:v>
                </c:pt>
                <c:pt idx="630">
                  <c:v>40800</c:v>
                </c:pt>
                <c:pt idx="631">
                  <c:v>40801</c:v>
                </c:pt>
                <c:pt idx="632">
                  <c:v>40805</c:v>
                </c:pt>
                <c:pt idx="633">
                  <c:v>40806</c:v>
                </c:pt>
                <c:pt idx="634">
                  <c:v>40807</c:v>
                </c:pt>
                <c:pt idx="635">
                  <c:v>40808</c:v>
                </c:pt>
                <c:pt idx="636">
                  <c:v>40809</c:v>
                </c:pt>
                <c:pt idx="637">
                  <c:v>40812</c:v>
                </c:pt>
                <c:pt idx="638">
                  <c:v>40813</c:v>
                </c:pt>
                <c:pt idx="639">
                  <c:v>40814</c:v>
                </c:pt>
                <c:pt idx="640">
                  <c:v>40815</c:v>
                </c:pt>
                <c:pt idx="641">
                  <c:v>40816</c:v>
                </c:pt>
                <c:pt idx="642">
                  <c:v>40826</c:v>
                </c:pt>
                <c:pt idx="643">
                  <c:v>40827</c:v>
                </c:pt>
                <c:pt idx="644">
                  <c:v>40828</c:v>
                </c:pt>
                <c:pt idx="645">
                  <c:v>40829</c:v>
                </c:pt>
                <c:pt idx="646">
                  <c:v>40830</c:v>
                </c:pt>
                <c:pt idx="647">
                  <c:v>40833</c:v>
                </c:pt>
                <c:pt idx="648">
                  <c:v>40834</c:v>
                </c:pt>
                <c:pt idx="649">
                  <c:v>40835</c:v>
                </c:pt>
                <c:pt idx="650">
                  <c:v>40836</c:v>
                </c:pt>
                <c:pt idx="651">
                  <c:v>40837</c:v>
                </c:pt>
                <c:pt idx="652">
                  <c:v>40840</c:v>
                </c:pt>
                <c:pt idx="653">
                  <c:v>40841</c:v>
                </c:pt>
                <c:pt idx="654">
                  <c:v>40842</c:v>
                </c:pt>
                <c:pt idx="655">
                  <c:v>40843</c:v>
                </c:pt>
                <c:pt idx="656">
                  <c:v>40844</c:v>
                </c:pt>
                <c:pt idx="657">
                  <c:v>40847</c:v>
                </c:pt>
                <c:pt idx="658">
                  <c:v>40848</c:v>
                </c:pt>
                <c:pt idx="659">
                  <c:v>40849</c:v>
                </c:pt>
                <c:pt idx="660">
                  <c:v>40850</c:v>
                </c:pt>
                <c:pt idx="661">
                  <c:v>40851</c:v>
                </c:pt>
                <c:pt idx="662">
                  <c:v>40854</c:v>
                </c:pt>
                <c:pt idx="663">
                  <c:v>40855</c:v>
                </c:pt>
                <c:pt idx="664">
                  <c:v>40856</c:v>
                </c:pt>
                <c:pt idx="665">
                  <c:v>40857</c:v>
                </c:pt>
                <c:pt idx="666">
                  <c:v>40858</c:v>
                </c:pt>
                <c:pt idx="667">
                  <c:v>40861</c:v>
                </c:pt>
                <c:pt idx="668">
                  <c:v>40862</c:v>
                </c:pt>
                <c:pt idx="669">
                  <c:v>40863</c:v>
                </c:pt>
                <c:pt idx="670">
                  <c:v>40864</c:v>
                </c:pt>
                <c:pt idx="671">
                  <c:v>40865</c:v>
                </c:pt>
                <c:pt idx="672">
                  <c:v>40868</c:v>
                </c:pt>
                <c:pt idx="673">
                  <c:v>40869</c:v>
                </c:pt>
                <c:pt idx="674">
                  <c:v>40870</c:v>
                </c:pt>
                <c:pt idx="675">
                  <c:v>40871</c:v>
                </c:pt>
                <c:pt idx="676">
                  <c:v>40872</c:v>
                </c:pt>
                <c:pt idx="677">
                  <c:v>40875</c:v>
                </c:pt>
                <c:pt idx="678">
                  <c:v>40876</c:v>
                </c:pt>
                <c:pt idx="679">
                  <c:v>40877</c:v>
                </c:pt>
                <c:pt idx="680">
                  <c:v>40878</c:v>
                </c:pt>
                <c:pt idx="681">
                  <c:v>40879</c:v>
                </c:pt>
                <c:pt idx="682">
                  <c:v>40882</c:v>
                </c:pt>
                <c:pt idx="683">
                  <c:v>40883</c:v>
                </c:pt>
                <c:pt idx="684">
                  <c:v>40885</c:v>
                </c:pt>
                <c:pt idx="685">
                  <c:v>40886</c:v>
                </c:pt>
                <c:pt idx="686">
                  <c:v>40889</c:v>
                </c:pt>
                <c:pt idx="687">
                  <c:v>40891</c:v>
                </c:pt>
                <c:pt idx="688">
                  <c:v>40892</c:v>
                </c:pt>
                <c:pt idx="689">
                  <c:v>40893</c:v>
                </c:pt>
                <c:pt idx="690">
                  <c:v>40896</c:v>
                </c:pt>
                <c:pt idx="691">
                  <c:v>40897</c:v>
                </c:pt>
                <c:pt idx="692">
                  <c:v>40898</c:v>
                </c:pt>
                <c:pt idx="693">
                  <c:v>40900</c:v>
                </c:pt>
                <c:pt idx="694">
                  <c:v>40903</c:v>
                </c:pt>
                <c:pt idx="695">
                  <c:v>40904</c:v>
                </c:pt>
                <c:pt idx="696">
                  <c:v>40905</c:v>
                </c:pt>
                <c:pt idx="697">
                  <c:v>40906</c:v>
                </c:pt>
                <c:pt idx="698">
                  <c:v>40907</c:v>
                </c:pt>
                <c:pt idx="699">
                  <c:v>40912</c:v>
                </c:pt>
                <c:pt idx="700">
                  <c:v>40913</c:v>
                </c:pt>
                <c:pt idx="701">
                  <c:v>40914</c:v>
                </c:pt>
                <c:pt idx="702">
                  <c:v>40917</c:v>
                </c:pt>
                <c:pt idx="703">
                  <c:v>40918</c:v>
                </c:pt>
                <c:pt idx="704">
                  <c:v>40919</c:v>
                </c:pt>
                <c:pt idx="705">
                  <c:v>40920</c:v>
                </c:pt>
                <c:pt idx="706">
                  <c:v>40921</c:v>
                </c:pt>
                <c:pt idx="707">
                  <c:v>40924</c:v>
                </c:pt>
                <c:pt idx="708">
                  <c:v>40925</c:v>
                </c:pt>
                <c:pt idx="709">
                  <c:v>40926</c:v>
                </c:pt>
                <c:pt idx="710">
                  <c:v>40938</c:v>
                </c:pt>
                <c:pt idx="711">
                  <c:v>40939</c:v>
                </c:pt>
                <c:pt idx="712">
                  <c:v>40940</c:v>
                </c:pt>
                <c:pt idx="713">
                  <c:v>40941</c:v>
                </c:pt>
                <c:pt idx="714">
                  <c:v>40942</c:v>
                </c:pt>
                <c:pt idx="715">
                  <c:v>40945</c:v>
                </c:pt>
                <c:pt idx="716">
                  <c:v>40946</c:v>
                </c:pt>
                <c:pt idx="717">
                  <c:v>40947</c:v>
                </c:pt>
                <c:pt idx="718">
                  <c:v>40948</c:v>
                </c:pt>
                <c:pt idx="719">
                  <c:v>40949</c:v>
                </c:pt>
                <c:pt idx="720">
                  <c:v>40952</c:v>
                </c:pt>
                <c:pt idx="721">
                  <c:v>40954</c:v>
                </c:pt>
                <c:pt idx="722">
                  <c:v>40955</c:v>
                </c:pt>
                <c:pt idx="723">
                  <c:v>40959</c:v>
                </c:pt>
                <c:pt idx="724">
                  <c:v>40960</c:v>
                </c:pt>
                <c:pt idx="725">
                  <c:v>40961</c:v>
                </c:pt>
                <c:pt idx="726">
                  <c:v>40962</c:v>
                </c:pt>
                <c:pt idx="727">
                  <c:v>40963</c:v>
                </c:pt>
                <c:pt idx="728">
                  <c:v>40966</c:v>
                </c:pt>
                <c:pt idx="729">
                  <c:v>40967</c:v>
                </c:pt>
                <c:pt idx="730">
                  <c:v>40968</c:v>
                </c:pt>
                <c:pt idx="731">
                  <c:v>40969</c:v>
                </c:pt>
                <c:pt idx="732">
                  <c:v>40991</c:v>
                </c:pt>
                <c:pt idx="733">
                  <c:v>40994</c:v>
                </c:pt>
                <c:pt idx="734">
                  <c:v>40995</c:v>
                </c:pt>
                <c:pt idx="735">
                  <c:v>40996</c:v>
                </c:pt>
                <c:pt idx="736">
                  <c:v>40997</c:v>
                </c:pt>
                <c:pt idx="737">
                  <c:v>40998</c:v>
                </c:pt>
                <c:pt idx="738">
                  <c:v>41000</c:v>
                </c:pt>
                <c:pt idx="739">
                  <c:v>41004</c:v>
                </c:pt>
                <c:pt idx="740">
                  <c:v>41008</c:v>
                </c:pt>
                <c:pt idx="741">
                  <c:v>41009</c:v>
                </c:pt>
                <c:pt idx="742">
                  <c:v>41010</c:v>
                </c:pt>
                <c:pt idx="743">
                  <c:v>41011</c:v>
                </c:pt>
                <c:pt idx="744">
                  <c:v>41012</c:v>
                </c:pt>
                <c:pt idx="745">
                  <c:v>41015</c:v>
                </c:pt>
                <c:pt idx="746">
                  <c:v>41017</c:v>
                </c:pt>
                <c:pt idx="747">
                  <c:v>41018</c:v>
                </c:pt>
                <c:pt idx="748">
                  <c:v>41019</c:v>
                </c:pt>
                <c:pt idx="749">
                  <c:v>41022</c:v>
                </c:pt>
                <c:pt idx="750">
                  <c:v>41023</c:v>
                </c:pt>
                <c:pt idx="751">
                  <c:v>41024</c:v>
                </c:pt>
                <c:pt idx="752">
                  <c:v>41025</c:v>
                </c:pt>
                <c:pt idx="753">
                  <c:v>41031</c:v>
                </c:pt>
                <c:pt idx="754">
                  <c:v>41033</c:v>
                </c:pt>
                <c:pt idx="755">
                  <c:v>41036</c:v>
                </c:pt>
                <c:pt idx="756">
                  <c:v>41037</c:v>
                </c:pt>
                <c:pt idx="757">
                  <c:v>41038</c:v>
                </c:pt>
                <c:pt idx="758">
                  <c:v>41040</c:v>
                </c:pt>
                <c:pt idx="759">
                  <c:v>41043</c:v>
                </c:pt>
                <c:pt idx="760">
                  <c:v>41044</c:v>
                </c:pt>
                <c:pt idx="761">
                  <c:v>41045</c:v>
                </c:pt>
                <c:pt idx="762">
                  <c:v>41046</c:v>
                </c:pt>
                <c:pt idx="763">
                  <c:v>41047</c:v>
                </c:pt>
                <c:pt idx="764">
                  <c:v>41050</c:v>
                </c:pt>
                <c:pt idx="765">
                  <c:v>41051</c:v>
                </c:pt>
                <c:pt idx="766">
                  <c:v>41052</c:v>
                </c:pt>
                <c:pt idx="767">
                  <c:v>41053</c:v>
                </c:pt>
                <c:pt idx="768">
                  <c:v>41054</c:v>
                </c:pt>
                <c:pt idx="769">
                  <c:v>41057</c:v>
                </c:pt>
                <c:pt idx="770">
                  <c:v>41058</c:v>
                </c:pt>
                <c:pt idx="771">
                  <c:v>41059</c:v>
                </c:pt>
                <c:pt idx="772">
                  <c:v>41060</c:v>
                </c:pt>
                <c:pt idx="773">
                  <c:v>41061</c:v>
                </c:pt>
                <c:pt idx="774">
                  <c:v>41064</c:v>
                </c:pt>
                <c:pt idx="775">
                  <c:v>41065</c:v>
                </c:pt>
                <c:pt idx="776">
                  <c:v>41066</c:v>
                </c:pt>
                <c:pt idx="777">
                  <c:v>41067</c:v>
                </c:pt>
                <c:pt idx="778">
                  <c:v>41068</c:v>
                </c:pt>
                <c:pt idx="779">
                  <c:v>41071</c:v>
                </c:pt>
                <c:pt idx="780">
                  <c:v>41072</c:v>
                </c:pt>
                <c:pt idx="781">
                  <c:v>41073</c:v>
                </c:pt>
                <c:pt idx="782">
                  <c:v>41074</c:v>
                </c:pt>
                <c:pt idx="783">
                  <c:v>41075</c:v>
                </c:pt>
                <c:pt idx="784">
                  <c:v>41078</c:v>
                </c:pt>
                <c:pt idx="785">
                  <c:v>41079</c:v>
                </c:pt>
                <c:pt idx="786">
                  <c:v>41080</c:v>
                </c:pt>
                <c:pt idx="787">
                  <c:v>41081</c:v>
                </c:pt>
                <c:pt idx="788">
                  <c:v>41085</c:v>
                </c:pt>
                <c:pt idx="789">
                  <c:v>41086</c:v>
                </c:pt>
                <c:pt idx="790">
                  <c:v>41087</c:v>
                </c:pt>
                <c:pt idx="791">
                  <c:v>41088</c:v>
                </c:pt>
                <c:pt idx="792">
                  <c:v>41089</c:v>
                </c:pt>
                <c:pt idx="793">
                  <c:v>41092</c:v>
                </c:pt>
                <c:pt idx="794">
                  <c:v>41093</c:v>
                </c:pt>
                <c:pt idx="795">
                  <c:v>41094</c:v>
                </c:pt>
                <c:pt idx="796">
                  <c:v>41095</c:v>
                </c:pt>
                <c:pt idx="797">
                  <c:v>41096</c:v>
                </c:pt>
                <c:pt idx="798">
                  <c:v>41099</c:v>
                </c:pt>
                <c:pt idx="799">
                  <c:v>41100</c:v>
                </c:pt>
                <c:pt idx="800">
                  <c:v>41101</c:v>
                </c:pt>
                <c:pt idx="801">
                  <c:v>41102</c:v>
                </c:pt>
                <c:pt idx="802">
                  <c:v>41103</c:v>
                </c:pt>
                <c:pt idx="803">
                  <c:v>41106</c:v>
                </c:pt>
                <c:pt idx="804">
                  <c:v>41107</c:v>
                </c:pt>
                <c:pt idx="805">
                  <c:v>41108</c:v>
                </c:pt>
                <c:pt idx="806">
                  <c:v>41109</c:v>
                </c:pt>
                <c:pt idx="807">
                  <c:v>41110</c:v>
                </c:pt>
                <c:pt idx="808">
                  <c:v>41113</c:v>
                </c:pt>
                <c:pt idx="809">
                  <c:v>41114</c:v>
                </c:pt>
                <c:pt idx="810">
                  <c:v>41115</c:v>
                </c:pt>
                <c:pt idx="811">
                  <c:v>41116</c:v>
                </c:pt>
                <c:pt idx="812">
                  <c:v>41117</c:v>
                </c:pt>
                <c:pt idx="813">
                  <c:v>41120</c:v>
                </c:pt>
                <c:pt idx="814">
                  <c:v>41121</c:v>
                </c:pt>
                <c:pt idx="815">
                  <c:v>41122</c:v>
                </c:pt>
                <c:pt idx="816">
                  <c:v>41123</c:v>
                </c:pt>
                <c:pt idx="817">
                  <c:v>41124</c:v>
                </c:pt>
                <c:pt idx="818">
                  <c:v>41127</c:v>
                </c:pt>
                <c:pt idx="819">
                  <c:v>41128</c:v>
                </c:pt>
                <c:pt idx="820">
                  <c:v>41129</c:v>
                </c:pt>
                <c:pt idx="821">
                  <c:v>41130</c:v>
                </c:pt>
                <c:pt idx="822">
                  <c:v>41131</c:v>
                </c:pt>
                <c:pt idx="823">
                  <c:v>41134</c:v>
                </c:pt>
                <c:pt idx="824">
                  <c:v>41135</c:v>
                </c:pt>
                <c:pt idx="825">
                  <c:v>41136</c:v>
                </c:pt>
                <c:pt idx="826">
                  <c:v>41137</c:v>
                </c:pt>
                <c:pt idx="827">
                  <c:v>41138</c:v>
                </c:pt>
                <c:pt idx="828">
                  <c:v>41141</c:v>
                </c:pt>
                <c:pt idx="829">
                  <c:v>41142</c:v>
                </c:pt>
                <c:pt idx="830">
                  <c:v>41143</c:v>
                </c:pt>
                <c:pt idx="831">
                  <c:v>41144</c:v>
                </c:pt>
                <c:pt idx="832">
                  <c:v>41145</c:v>
                </c:pt>
                <c:pt idx="833">
                  <c:v>41148</c:v>
                </c:pt>
                <c:pt idx="834">
                  <c:v>41149</c:v>
                </c:pt>
                <c:pt idx="835">
                  <c:v>41150</c:v>
                </c:pt>
                <c:pt idx="836">
                  <c:v>41151</c:v>
                </c:pt>
                <c:pt idx="837">
                  <c:v>41152</c:v>
                </c:pt>
                <c:pt idx="838">
                  <c:v>41155</c:v>
                </c:pt>
                <c:pt idx="839">
                  <c:v>41162</c:v>
                </c:pt>
                <c:pt idx="840">
                  <c:v>41163</c:v>
                </c:pt>
                <c:pt idx="841">
                  <c:v>41164</c:v>
                </c:pt>
                <c:pt idx="842">
                  <c:v>41165</c:v>
                </c:pt>
                <c:pt idx="843">
                  <c:v>41166</c:v>
                </c:pt>
                <c:pt idx="844">
                  <c:v>41169</c:v>
                </c:pt>
                <c:pt idx="845">
                  <c:v>41170</c:v>
                </c:pt>
                <c:pt idx="846">
                  <c:v>41171</c:v>
                </c:pt>
                <c:pt idx="847">
                  <c:v>41172</c:v>
                </c:pt>
                <c:pt idx="848">
                  <c:v>41173</c:v>
                </c:pt>
                <c:pt idx="849">
                  <c:v>41176</c:v>
                </c:pt>
                <c:pt idx="850">
                  <c:v>41177</c:v>
                </c:pt>
                <c:pt idx="851">
                  <c:v>41178</c:v>
                </c:pt>
                <c:pt idx="852">
                  <c:v>41179</c:v>
                </c:pt>
                <c:pt idx="853">
                  <c:v>41180</c:v>
                </c:pt>
                <c:pt idx="854">
                  <c:v>41190</c:v>
                </c:pt>
                <c:pt idx="855">
                  <c:v>41191</c:v>
                </c:pt>
                <c:pt idx="856">
                  <c:v>41192</c:v>
                </c:pt>
                <c:pt idx="857">
                  <c:v>41193</c:v>
                </c:pt>
                <c:pt idx="858">
                  <c:v>41194</c:v>
                </c:pt>
                <c:pt idx="859">
                  <c:v>41197</c:v>
                </c:pt>
                <c:pt idx="860">
                  <c:v>41198</c:v>
                </c:pt>
                <c:pt idx="861">
                  <c:v>41199</c:v>
                </c:pt>
                <c:pt idx="862">
                  <c:v>41200</c:v>
                </c:pt>
                <c:pt idx="863">
                  <c:v>41201</c:v>
                </c:pt>
                <c:pt idx="864">
                  <c:v>41204</c:v>
                </c:pt>
                <c:pt idx="865">
                  <c:v>41205</c:v>
                </c:pt>
                <c:pt idx="866">
                  <c:v>41206</c:v>
                </c:pt>
                <c:pt idx="867">
                  <c:v>41207</c:v>
                </c:pt>
                <c:pt idx="868">
                  <c:v>41208</c:v>
                </c:pt>
                <c:pt idx="869">
                  <c:v>41211</c:v>
                </c:pt>
                <c:pt idx="870">
                  <c:v>41212</c:v>
                </c:pt>
                <c:pt idx="871">
                  <c:v>41213</c:v>
                </c:pt>
                <c:pt idx="872">
                  <c:v>41214</c:v>
                </c:pt>
                <c:pt idx="873">
                  <c:v>41215</c:v>
                </c:pt>
                <c:pt idx="874">
                  <c:v>41218</c:v>
                </c:pt>
                <c:pt idx="875">
                  <c:v>41219</c:v>
                </c:pt>
                <c:pt idx="876">
                  <c:v>41220</c:v>
                </c:pt>
                <c:pt idx="877">
                  <c:v>41221</c:v>
                </c:pt>
                <c:pt idx="878">
                  <c:v>41222</c:v>
                </c:pt>
                <c:pt idx="879">
                  <c:v>41225</c:v>
                </c:pt>
                <c:pt idx="880">
                  <c:v>41226</c:v>
                </c:pt>
                <c:pt idx="881">
                  <c:v>41227</c:v>
                </c:pt>
                <c:pt idx="882">
                  <c:v>41228</c:v>
                </c:pt>
                <c:pt idx="883">
                  <c:v>41229</c:v>
                </c:pt>
                <c:pt idx="884">
                  <c:v>41232</c:v>
                </c:pt>
                <c:pt idx="885">
                  <c:v>41233</c:v>
                </c:pt>
                <c:pt idx="886">
                  <c:v>41234</c:v>
                </c:pt>
                <c:pt idx="887">
                  <c:v>41235</c:v>
                </c:pt>
                <c:pt idx="888">
                  <c:v>41236</c:v>
                </c:pt>
                <c:pt idx="889">
                  <c:v>41239</c:v>
                </c:pt>
                <c:pt idx="890">
                  <c:v>41240</c:v>
                </c:pt>
                <c:pt idx="891">
                  <c:v>41241</c:v>
                </c:pt>
                <c:pt idx="892">
                  <c:v>41242</c:v>
                </c:pt>
                <c:pt idx="893">
                  <c:v>41243</c:v>
                </c:pt>
                <c:pt idx="894">
                  <c:v>41246</c:v>
                </c:pt>
                <c:pt idx="895">
                  <c:v>41247</c:v>
                </c:pt>
                <c:pt idx="896">
                  <c:v>41248</c:v>
                </c:pt>
                <c:pt idx="897">
                  <c:v>41249</c:v>
                </c:pt>
                <c:pt idx="898">
                  <c:v>41250</c:v>
                </c:pt>
                <c:pt idx="899">
                  <c:v>41253</c:v>
                </c:pt>
                <c:pt idx="900">
                  <c:v>41254</c:v>
                </c:pt>
                <c:pt idx="901">
                  <c:v>41255</c:v>
                </c:pt>
                <c:pt idx="902">
                  <c:v>41256</c:v>
                </c:pt>
                <c:pt idx="903">
                  <c:v>41257</c:v>
                </c:pt>
                <c:pt idx="904">
                  <c:v>41260</c:v>
                </c:pt>
                <c:pt idx="905">
                  <c:v>41261</c:v>
                </c:pt>
                <c:pt idx="906">
                  <c:v>41262</c:v>
                </c:pt>
                <c:pt idx="907">
                  <c:v>41263</c:v>
                </c:pt>
                <c:pt idx="908">
                  <c:v>41264</c:v>
                </c:pt>
                <c:pt idx="909">
                  <c:v>41267</c:v>
                </c:pt>
                <c:pt idx="910">
                  <c:v>41268</c:v>
                </c:pt>
                <c:pt idx="911">
                  <c:v>41269</c:v>
                </c:pt>
                <c:pt idx="912">
                  <c:v>41270</c:v>
                </c:pt>
                <c:pt idx="913">
                  <c:v>41271</c:v>
                </c:pt>
                <c:pt idx="914">
                  <c:v>41274</c:v>
                </c:pt>
                <c:pt idx="915">
                  <c:v>41281</c:v>
                </c:pt>
                <c:pt idx="916">
                  <c:v>41282</c:v>
                </c:pt>
                <c:pt idx="917">
                  <c:v>41283</c:v>
                </c:pt>
                <c:pt idx="918">
                  <c:v>41284</c:v>
                </c:pt>
                <c:pt idx="919">
                  <c:v>41285</c:v>
                </c:pt>
                <c:pt idx="920">
                  <c:v>41288</c:v>
                </c:pt>
                <c:pt idx="921">
                  <c:v>41289</c:v>
                </c:pt>
                <c:pt idx="922">
                  <c:v>41290</c:v>
                </c:pt>
                <c:pt idx="923">
                  <c:v>41292</c:v>
                </c:pt>
                <c:pt idx="924">
                  <c:v>41295</c:v>
                </c:pt>
                <c:pt idx="925">
                  <c:v>41296</c:v>
                </c:pt>
                <c:pt idx="926">
                  <c:v>41297</c:v>
                </c:pt>
                <c:pt idx="927">
                  <c:v>41298</c:v>
                </c:pt>
                <c:pt idx="928">
                  <c:v>41299</c:v>
                </c:pt>
                <c:pt idx="929">
                  <c:v>41302</c:v>
                </c:pt>
                <c:pt idx="930">
                  <c:v>41305</c:v>
                </c:pt>
                <c:pt idx="931">
                  <c:v>41306</c:v>
                </c:pt>
                <c:pt idx="932">
                  <c:v>41309</c:v>
                </c:pt>
                <c:pt idx="933">
                  <c:v>41310</c:v>
                </c:pt>
                <c:pt idx="934">
                  <c:v>41312</c:v>
                </c:pt>
                <c:pt idx="935">
                  <c:v>41324</c:v>
                </c:pt>
                <c:pt idx="936">
                  <c:v>41325</c:v>
                </c:pt>
                <c:pt idx="937">
                  <c:v>41326</c:v>
                </c:pt>
                <c:pt idx="938">
                  <c:v>41327</c:v>
                </c:pt>
                <c:pt idx="939">
                  <c:v>41330</c:v>
                </c:pt>
                <c:pt idx="940">
                  <c:v>41331</c:v>
                </c:pt>
                <c:pt idx="941">
                  <c:v>41332</c:v>
                </c:pt>
                <c:pt idx="942">
                  <c:v>41333</c:v>
                </c:pt>
                <c:pt idx="943">
                  <c:v>41334</c:v>
                </c:pt>
                <c:pt idx="944">
                  <c:v>41337</c:v>
                </c:pt>
                <c:pt idx="945">
                  <c:v>41338</c:v>
                </c:pt>
                <c:pt idx="946">
                  <c:v>41339</c:v>
                </c:pt>
                <c:pt idx="947">
                  <c:v>41340</c:v>
                </c:pt>
                <c:pt idx="948">
                  <c:v>41341</c:v>
                </c:pt>
                <c:pt idx="949">
                  <c:v>41344</c:v>
                </c:pt>
                <c:pt idx="950">
                  <c:v>41345</c:v>
                </c:pt>
                <c:pt idx="951">
                  <c:v>41351</c:v>
                </c:pt>
                <c:pt idx="952">
                  <c:v>41352</c:v>
                </c:pt>
                <c:pt idx="953">
                  <c:v>41353</c:v>
                </c:pt>
                <c:pt idx="954">
                  <c:v>41354</c:v>
                </c:pt>
                <c:pt idx="955">
                  <c:v>41355</c:v>
                </c:pt>
                <c:pt idx="956">
                  <c:v>41358</c:v>
                </c:pt>
                <c:pt idx="957">
                  <c:v>41359</c:v>
                </c:pt>
                <c:pt idx="958">
                  <c:v>41360</c:v>
                </c:pt>
                <c:pt idx="959">
                  <c:v>41361</c:v>
                </c:pt>
                <c:pt idx="960">
                  <c:v>41362</c:v>
                </c:pt>
                <c:pt idx="961">
                  <c:v>41365</c:v>
                </c:pt>
                <c:pt idx="962">
                  <c:v>41366</c:v>
                </c:pt>
                <c:pt idx="963">
                  <c:v>41367</c:v>
                </c:pt>
                <c:pt idx="964">
                  <c:v>41372</c:v>
                </c:pt>
                <c:pt idx="965">
                  <c:v>41373</c:v>
                </c:pt>
                <c:pt idx="966">
                  <c:v>41374</c:v>
                </c:pt>
                <c:pt idx="967">
                  <c:v>41375</c:v>
                </c:pt>
                <c:pt idx="968">
                  <c:v>41376</c:v>
                </c:pt>
                <c:pt idx="969">
                  <c:v>41379</c:v>
                </c:pt>
                <c:pt idx="970">
                  <c:v>41380</c:v>
                </c:pt>
                <c:pt idx="971">
                  <c:v>41381</c:v>
                </c:pt>
                <c:pt idx="972">
                  <c:v>41382</c:v>
                </c:pt>
                <c:pt idx="973">
                  <c:v>41383</c:v>
                </c:pt>
                <c:pt idx="974">
                  <c:v>41386</c:v>
                </c:pt>
                <c:pt idx="975">
                  <c:v>41387</c:v>
                </c:pt>
                <c:pt idx="976">
                  <c:v>41388</c:v>
                </c:pt>
                <c:pt idx="977">
                  <c:v>41389</c:v>
                </c:pt>
                <c:pt idx="978">
                  <c:v>41390</c:v>
                </c:pt>
                <c:pt idx="979">
                  <c:v>41396</c:v>
                </c:pt>
                <c:pt idx="980">
                  <c:v>41397</c:v>
                </c:pt>
                <c:pt idx="981">
                  <c:v>41400</c:v>
                </c:pt>
                <c:pt idx="982">
                  <c:v>41401</c:v>
                </c:pt>
                <c:pt idx="983">
                  <c:v>41402</c:v>
                </c:pt>
                <c:pt idx="984">
                  <c:v>41403</c:v>
                </c:pt>
                <c:pt idx="985">
                  <c:v>41404</c:v>
                </c:pt>
                <c:pt idx="986">
                  <c:v>41407</c:v>
                </c:pt>
                <c:pt idx="987">
                  <c:v>41408</c:v>
                </c:pt>
                <c:pt idx="988">
                  <c:v>41409</c:v>
                </c:pt>
                <c:pt idx="989">
                  <c:v>41410</c:v>
                </c:pt>
                <c:pt idx="990">
                  <c:v>41411</c:v>
                </c:pt>
                <c:pt idx="991">
                  <c:v>41414</c:v>
                </c:pt>
                <c:pt idx="992">
                  <c:v>41415</c:v>
                </c:pt>
                <c:pt idx="993">
                  <c:v>41416</c:v>
                </c:pt>
                <c:pt idx="994">
                  <c:v>41417</c:v>
                </c:pt>
                <c:pt idx="995">
                  <c:v>41418</c:v>
                </c:pt>
                <c:pt idx="996">
                  <c:v>41421</c:v>
                </c:pt>
                <c:pt idx="997">
                  <c:v>41422</c:v>
                </c:pt>
                <c:pt idx="998">
                  <c:v>41423</c:v>
                </c:pt>
                <c:pt idx="999">
                  <c:v>41428</c:v>
                </c:pt>
                <c:pt idx="1000">
                  <c:v>41429</c:v>
                </c:pt>
                <c:pt idx="1001">
                  <c:v>41430</c:v>
                </c:pt>
                <c:pt idx="1002">
                  <c:v>41431</c:v>
                </c:pt>
                <c:pt idx="1003">
                  <c:v>41432</c:v>
                </c:pt>
                <c:pt idx="1004">
                  <c:v>41438</c:v>
                </c:pt>
                <c:pt idx="1005">
                  <c:v>41439</c:v>
                </c:pt>
                <c:pt idx="1006">
                  <c:v>41442</c:v>
                </c:pt>
                <c:pt idx="1007">
                  <c:v>41443</c:v>
                </c:pt>
                <c:pt idx="1008">
                  <c:v>41444</c:v>
                </c:pt>
                <c:pt idx="1009">
                  <c:v>41445</c:v>
                </c:pt>
                <c:pt idx="1010">
                  <c:v>41446</c:v>
                </c:pt>
                <c:pt idx="1011">
                  <c:v>41449</c:v>
                </c:pt>
                <c:pt idx="1012">
                  <c:v>41450</c:v>
                </c:pt>
                <c:pt idx="1013">
                  <c:v>41451</c:v>
                </c:pt>
                <c:pt idx="1014">
                  <c:v>41452</c:v>
                </c:pt>
                <c:pt idx="1015">
                  <c:v>41453</c:v>
                </c:pt>
                <c:pt idx="1016">
                  <c:v>41456</c:v>
                </c:pt>
                <c:pt idx="1017">
                  <c:v>41457</c:v>
                </c:pt>
                <c:pt idx="1018">
                  <c:v>41458</c:v>
                </c:pt>
                <c:pt idx="1019">
                  <c:v>41459</c:v>
                </c:pt>
                <c:pt idx="1020">
                  <c:v>41460</c:v>
                </c:pt>
                <c:pt idx="1021">
                  <c:v>41463</c:v>
                </c:pt>
                <c:pt idx="1022">
                  <c:v>41464</c:v>
                </c:pt>
                <c:pt idx="1023">
                  <c:v>41465</c:v>
                </c:pt>
                <c:pt idx="1024">
                  <c:v>41466</c:v>
                </c:pt>
                <c:pt idx="1025">
                  <c:v>41467</c:v>
                </c:pt>
                <c:pt idx="1026">
                  <c:v>41470</c:v>
                </c:pt>
                <c:pt idx="1027">
                  <c:v>41471</c:v>
                </c:pt>
                <c:pt idx="1028">
                  <c:v>41472</c:v>
                </c:pt>
                <c:pt idx="1029">
                  <c:v>41473</c:v>
                </c:pt>
                <c:pt idx="1030">
                  <c:v>41474</c:v>
                </c:pt>
                <c:pt idx="1031">
                  <c:v>41477</c:v>
                </c:pt>
                <c:pt idx="1032">
                  <c:v>41478</c:v>
                </c:pt>
                <c:pt idx="1033">
                  <c:v>41479</c:v>
                </c:pt>
                <c:pt idx="1034">
                  <c:v>41480</c:v>
                </c:pt>
                <c:pt idx="1035">
                  <c:v>41481</c:v>
                </c:pt>
                <c:pt idx="1036">
                  <c:v>41484</c:v>
                </c:pt>
                <c:pt idx="1037">
                  <c:v>41485</c:v>
                </c:pt>
                <c:pt idx="1038">
                  <c:v>41486</c:v>
                </c:pt>
                <c:pt idx="1039">
                  <c:v>41487</c:v>
                </c:pt>
                <c:pt idx="1040">
                  <c:v>41488</c:v>
                </c:pt>
                <c:pt idx="1041">
                  <c:v>41491</c:v>
                </c:pt>
                <c:pt idx="1042">
                  <c:v>41492</c:v>
                </c:pt>
                <c:pt idx="1043">
                  <c:v>41493</c:v>
                </c:pt>
                <c:pt idx="1044">
                  <c:v>41494</c:v>
                </c:pt>
                <c:pt idx="1045">
                  <c:v>41495</c:v>
                </c:pt>
                <c:pt idx="1046">
                  <c:v>41498</c:v>
                </c:pt>
                <c:pt idx="1047">
                  <c:v>41499</c:v>
                </c:pt>
                <c:pt idx="1048">
                  <c:v>41500</c:v>
                </c:pt>
                <c:pt idx="1049">
                  <c:v>41501</c:v>
                </c:pt>
                <c:pt idx="1050">
                  <c:v>41502</c:v>
                </c:pt>
                <c:pt idx="1051">
                  <c:v>41505</c:v>
                </c:pt>
                <c:pt idx="1052">
                  <c:v>41506</c:v>
                </c:pt>
                <c:pt idx="1053">
                  <c:v>41507</c:v>
                </c:pt>
                <c:pt idx="1054">
                  <c:v>41508</c:v>
                </c:pt>
                <c:pt idx="1055">
                  <c:v>41509</c:v>
                </c:pt>
                <c:pt idx="1056">
                  <c:v>41512</c:v>
                </c:pt>
                <c:pt idx="1057">
                  <c:v>41513</c:v>
                </c:pt>
                <c:pt idx="1058">
                  <c:v>41514</c:v>
                </c:pt>
                <c:pt idx="1059">
                  <c:v>41515</c:v>
                </c:pt>
                <c:pt idx="1060">
                  <c:v>41516</c:v>
                </c:pt>
                <c:pt idx="1061">
                  <c:v>41519</c:v>
                </c:pt>
                <c:pt idx="1062">
                  <c:v>41520</c:v>
                </c:pt>
                <c:pt idx="1063">
                  <c:v>41521</c:v>
                </c:pt>
                <c:pt idx="1064">
                  <c:v>41522</c:v>
                </c:pt>
                <c:pt idx="1065">
                  <c:v>41523</c:v>
                </c:pt>
                <c:pt idx="1066">
                  <c:v>41526</c:v>
                </c:pt>
                <c:pt idx="1067">
                  <c:v>41527</c:v>
                </c:pt>
                <c:pt idx="1068">
                  <c:v>41528</c:v>
                </c:pt>
                <c:pt idx="1069">
                  <c:v>41529</c:v>
                </c:pt>
                <c:pt idx="1070">
                  <c:v>41530</c:v>
                </c:pt>
                <c:pt idx="1071">
                  <c:v>41533</c:v>
                </c:pt>
                <c:pt idx="1072">
                  <c:v>41534</c:v>
                </c:pt>
                <c:pt idx="1073">
                  <c:v>41535</c:v>
                </c:pt>
                <c:pt idx="1074">
                  <c:v>41540</c:v>
                </c:pt>
                <c:pt idx="1075">
                  <c:v>41541</c:v>
                </c:pt>
                <c:pt idx="1076">
                  <c:v>41542</c:v>
                </c:pt>
                <c:pt idx="1077">
                  <c:v>41543</c:v>
                </c:pt>
                <c:pt idx="1078">
                  <c:v>41544</c:v>
                </c:pt>
                <c:pt idx="1079">
                  <c:v>41547</c:v>
                </c:pt>
                <c:pt idx="1080">
                  <c:v>41556</c:v>
                </c:pt>
                <c:pt idx="1081">
                  <c:v>41557</c:v>
                </c:pt>
                <c:pt idx="1082">
                  <c:v>41558</c:v>
                </c:pt>
                <c:pt idx="1083">
                  <c:v>41561</c:v>
                </c:pt>
                <c:pt idx="1084">
                  <c:v>41563</c:v>
                </c:pt>
                <c:pt idx="1085">
                  <c:v>41564</c:v>
                </c:pt>
                <c:pt idx="1086">
                  <c:v>41565</c:v>
                </c:pt>
                <c:pt idx="1087">
                  <c:v>41568</c:v>
                </c:pt>
                <c:pt idx="1088">
                  <c:v>41569</c:v>
                </c:pt>
                <c:pt idx="1089">
                  <c:v>41570</c:v>
                </c:pt>
                <c:pt idx="1090">
                  <c:v>41571</c:v>
                </c:pt>
                <c:pt idx="1091">
                  <c:v>41572</c:v>
                </c:pt>
                <c:pt idx="1092">
                  <c:v>41575</c:v>
                </c:pt>
                <c:pt idx="1093">
                  <c:v>41576</c:v>
                </c:pt>
                <c:pt idx="1094">
                  <c:v>41577</c:v>
                </c:pt>
                <c:pt idx="1095">
                  <c:v>41578</c:v>
                </c:pt>
                <c:pt idx="1096">
                  <c:v>41579</c:v>
                </c:pt>
                <c:pt idx="1097">
                  <c:v>41582</c:v>
                </c:pt>
                <c:pt idx="1098">
                  <c:v>41583</c:v>
                </c:pt>
                <c:pt idx="1099">
                  <c:v>41584</c:v>
                </c:pt>
                <c:pt idx="1100">
                  <c:v>41585</c:v>
                </c:pt>
                <c:pt idx="1101">
                  <c:v>41586</c:v>
                </c:pt>
                <c:pt idx="1102">
                  <c:v>41589</c:v>
                </c:pt>
                <c:pt idx="1103">
                  <c:v>41590</c:v>
                </c:pt>
                <c:pt idx="1104">
                  <c:v>41591</c:v>
                </c:pt>
                <c:pt idx="1105">
                  <c:v>41592</c:v>
                </c:pt>
                <c:pt idx="1106">
                  <c:v>41593</c:v>
                </c:pt>
                <c:pt idx="1107">
                  <c:v>41596</c:v>
                </c:pt>
                <c:pt idx="1108">
                  <c:v>41597</c:v>
                </c:pt>
                <c:pt idx="1109">
                  <c:v>41598</c:v>
                </c:pt>
                <c:pt idx="1110">
                  <c:v>41599</c:v>
                </c:pt>
                <c:pt idx="1111">
                  <c:v>41600</c:v>
                </c:pt>
                <c:pt idx="1112">
                  <c:v>41603</c:v>
                </c:pt>
                <c:pt idx="1113">
                  <c:v>41604</c:v>
                </c:pt>
                <c:pt idx="1114">
                  <c:v>41605</c:v>
                </c:pt>
                <c:pt idx="1115">
                  <c:v>41606</c:v>
                </c:pt>
                <c:pt idx="1116">
                  <c:v>41607</c:v>
                </c:pt>
                <c:pt idx="1117">
                  <c:v>41610</c:v>
                </c:pt>
                <c:pt idx="1118">
                  <c:v>41611</c:v>
                </c:pt>
                <c:pt idx="1119">
                  <c:v>41612</c:v>
                </c:pt>
                <c:pt idx="1120">
                  <c:v>41613</c:v>
                </c:pt>
                <c:pt idx="1121">
                  <c:v>41614</c:v>
                </c:pt>
                <c:pt idx="1122">
                  <c:v>41617</c:v>
                </c:pt>
                <c:pt idx="1123">
                  <c:v>41618</c:v>
                </c:pt>
                <c:pt idx="1124">
                  <c:v>41619</c:v>
                </c:pt>
                <c:pt idx="1125">
                  <c:v>41620</c:v>
                </c:pt>
                <c:pt idx="1126">
                  <c:v>41621</c:v>
                </c:pt>
                <c:pt idx="1127">
                  <c:v>41624</c:v>
                </c:pt>
                <c:pt idx="1128">
                  <c:v>41625</c:v>
                </c:pt>
                <c:pt idx="1129">
                  <c:v>41626</c:v>
                </c:pt>
                <c:pt idx="1130">
                  <c:v>41627</c:v>
                </c:pt>
                <c:pt idx="1131">
                  <c:v>41628</c:v>
                </c:pt>
                <c:pt idx="1132">
                  <c:v>41631</c:v>
                </c:pt>
                <c:pt idx="1133">
                  <c:v>41632</c:v>
                </c:pt>
                <c:pt idx="1134">
                  <c:v>41633</c:v>
                </c:pt>
                <c:pt idx="1135">
                  <c:v>41634</c:v>
                </c:pt>
                <c:pt idx="1136">
                  <c:v>41635</c:v>
                </c:pt>
                <c:pt idx="1137">
                  <c:v>41638</c:v>
                </c:pt>
                <c:pt idx="1138">
                  <c:v>41639</c:v>
                </c:pt>
                <c:pt idx="1139">
                  <c:v>41641</c:v>
                </c:pt>
                <c:pt idx="1140">
                  <c:v>41642</c:v>
                </c:pt>
                <c:pt idx="1141">
                  <c:v>41645</c:v>
                </c:pt>
                <c:pt idx="1142">
                  <c:v>41646</c:v>
                </c:pt>
                <c:pt idx="1143">
                  <c:v>41647</c:v>
                </c:pt>
                <c:pt idx="1144">
                  <c:v>41648</c:v>
                </c:pt>
                <c:pt idx="1145">
                  <c:v>41649</c:v>
                </c:pt>
                <c:pt idx="1146">
                  <c:v>41652</c:v>
                </c:pt>
                <c:pt idx="1147">
                  <c:v>41653</c:v>
                </c:pt>
                <c:pt idx="1148">
                  <c:v>41654</c:v>
                </c:pt>
                <c:pt idx="1149">
                  <c:v>41655</c:v>
                </c:pt>
                <c:pt idx="1150">
                  <c:v>41656</c:v>
                </c:pt>
                <c:pt idx="1151">
                  <c:v>41659</c:v>
                </c:pt>
                <c:pt idx="1152">
                  <c:v>41660</c:v>
                </c:pt>
                <c:pt idx="1153">
                  <c:v>41661</c:v>
                </c:pt>
                <c:pt idx="1154">
                  <c:v>41662</c:v>
                </c:pt>
                <c:pt idx="1155">
                  <c:v>41663</c:v>
                </c:pt>
                <c:pt idx="1156">
                  <c:v>41680</c:v>
                </c:pt>
                <c:pt idx="1157">
                  <c:v>41681</c:v>
                </c:pt>
                <c:pt idx="1158">
                  <c:v>41682</c:v>
                </c:pt>
                <c:pt idx="1159">
                  <c:v>41683</c:v>
                </c:pt>
                <c:pt idx="1160">
                  <c:v>41684</c:v>
                </c:pt>
                <c:pt idx="1161">
                  <c:v>41687</c:v>
                </c:pt>
                <c:pt idx="1162">
                  <c:v>41688</c:v>
                </c:pt>
                <c:pt idx="1163">
                  <c:v>41689</c:v>
                </c:pt>
                <c:pt idx="1164">
                  <c:v>41690</c:v>
                </c:pt>
                <c:pt idx="1165">
                  <c:v>41691</c:v>
                </c:pt>
                <c:pt idx="1166">
                  <c:v>41694</c:v>
                </c:pt>
                <c:pt idx="1167">
                  <c:v>41695</c:v>
                </c:pt>
                <c:pt idx="1168">
                  <c:v>41696</c:v>
                </c:pt>
                <c:pt idx="1169">
                  <c:v>41697</c:v>
                </c:pt>
                <c:pt idx="1170">
                  <c:v>41698</c:v>
                </c:pt>
                <c:pt idx="1171">
                  <c:v>41701</c:v>
                </c:pt>
                <c:pt idx="1172">
                  <c:v>41702</c:v>
                </c:pt>
                <c:pt idx="1173">
                  <c:v>41703</c:v>
                </c:pt>
                <c:pt idx="1174">
                  <c:v>41704</c:v>
                </c:pt>
                <c:pt idx="1175">
                  <c:v>41705</c:v>
                </c:pt>
                <c:pt idx="1176">
                  <c:v>41708</c:v>
                </c:pt>
                <c:pt idx="1177">
                  <c:v>41709</c:v>
                </c:pt>
                <c:pt idx="1178">
                  <c:v>41711</c:v>
                </c:pt>
                <c:pt idx="1179">
                  <c:v>41712</c:v>
                </c:pt>
                <c:pt idx="1180">
                  <c:v>41715</c:v>
                </c:pt>
                <c:pt idx="1181">
                  <c:v>41716</c:v>
                </c:pt>
                <c:pt idx="1182">
                  <c:v>41717</c:v>
                </c:pt>
                <c:pt idx="1183">
                  <c:v>41718</c:v>
                </c:pt>
                <c:pt idx="1184">
                  <c:v>41719</c:v>
                </c:pt>
                <c:pt idx="1185">
                  <c:v>41722</c:v>
                </c:pt>
                <c:pt idx="1186">
                  <c:v>41723</c:v>
                </c:pt>
                <c:pt idx="1187">
                  <c:v>41724</c:v>
                </c:pt>
                <c:pt idx="1188">
                  <c:v>41725</c:v>
                </c:pt>
                <c:pt idx="1189">
                  <c:v>41726</c:v>
                </c:pt>
                <c:pt idx="1190">
                  <c:v>41729</c:v>
                </c:pt>
                <c:pt idx="1191">
                  <c:v>41730</c:v>
                </c:pt>
                <c:pt idx="1192">
                  <c:v>41731</c:v>
                </c:pt>
                <c:pt idx="1193">
                  <c:v>41732</c:v>
                </c:pt>
                <c:pt idx="1194">
                  <c:v>41733</c:v>
                </c:pt>
                <c:pt idx="1195">
                  <c:v>41737</c:v>
                </c:pt>
                <c:pt idx="1196">
                  <c:v>41738</c:v>
                </c:pt>
                <c:pt idx="1197">
                  <c:v>41740</c:v>
                </c:pt>
                <c:pt idx="1198">
                  <c:v>41743</c:v>
                </c:pt>
                <c:pt idx="1199">
                  <c:v>41744</c:v>
                </c:pt>
                <c:pt idx="1200">
                  <c:v>41745</c:v>
                </c:pt>
                <c:pt idx="1201">
                  <c:v>41746</c:v>
                </c:pt>
                <c:pt idx="1202">
                  <c:v>41747</c:v>
                </c:pt>
                <c:pt idx="1203">
                  <c:v>41750</c:v>
                </c:pt>
                <c:pt idx="1204">
                  <c:v>41751</c:v>
                </c:pt>
                <c:pt idx="1205">
                  <c:v>41752</c:v>
                </c:pt>
                <c:pt idx="1206">
                  <c:v>41753</c:v>
                </c:pt>
                <c:pt idx="1207">
                  <c:v>41754</c:v>
                </c:pt>
                <c:pt idx="1208">
                  <c:v>41757</c:v>
                </c:pt>
                <c:pt idx="1209">
                  <c:v>41758</c:v>
                </c:pt>
                <c:pt idx="1210">
                  <c:v>41759</c:v>
                </c:pt>
                <c:pt idx="1211">
                  <c:v>41764</c:v>
                </c:pt>
                <c:pt idx="1212">
                  <c:v>41765</c:v>
                </c:pt>
                <c:pt idx="1213">
                  <c:v>41766</c:v>
                </c:pt>
                <c:pt idx="1214">
                  <c:v>41767</c:v>
                </c:pt>
                <c:pt idx="1215">
                  <c:v>41768</c:v>
                </c:pt>
                <c:pt idx="1216">
                  <c:v>41771</c:v>
                </c:pt>
                <c:pt idx="1217">
                  <c:v>41772</c:v>
                </c:pt>
                <c:pt idx="1218">
                  <c:v>41773</c:v>
                </c:pt>
                <c:pt idx="1219">
                  <c:v>41774</c:v>
                </c:pt>
                <c:pt idx="1220">
                  <c:v>41775</c:v>
                </c:pt>
                <c:pt idx="1221">
                  <c:v>41778</c:v>
                </c:pt>
                <c:pt idx="1222">
                  <c:v>41779</c:v>
                </c:pt>
                <c:pt idx="1223">
                  <c:v>41780</c:v>
                </c:pt>
                <c:pt idx="1224">
                  <c:v>41781</c:v>
                </c:pt>
                <c:pt idx="1225">
                  <c:v>41782</c:v>
                </c:pt>
                <c:pt idx="1226">
                  <c:v>41785</c:v>
                </c:pt>
                <c:pt idx="1227">
                  <c:v>41786</c:v>
                </c:pt>
                <c:pt idx="1228">
                  <c:v>41787</c:v>
                </c:pt>
                <c:pt idx="1229">
                  <c:v>41788</c:v>
                </c:pt>
                <c:pt idx="1230">
                  <c:v>41789</c:v>
                </c:pt>
                <c:pt idx="1231">
                  <c:v>41793</c:v>
                </c:pt>
                <c:pt idx="1232">
                  <c:v>41794</c:v>
                </c:pt>
                <c:pt idx="1233">
                  <c:v>41795</c:v>
                </c:pt>
                <c:pt idx="1234">
                  <c:v>41796</c:v>
                </c:pt>
                <c:pt idx="1235">
                  <c:v>41799</c:v>
                </c:pt>
                <c:pt idx="1236">
                  <c:v>41800</c:v>
                </c:pt>
                <c:pt idx="1237">
                  <c:v>41801</c:v>
                </c:pt>
                <c:pt idx="1238">
                  <c:v>41802</c:v>
                </c:pt>
                <c:pt idx="1239">
                  <c:v>41803</c:v>
                </c:pt>
                <c:pt idx="1240">
                  <c:v>41806</c:v>
                </c:pt>
                <c:pt idx="1241">
                  <c:v>41807</c:v>
                </c:pt>
                <c:pt idx="1242">
                  <c:v>41808</c:v>
                </c:pt>
                <c:pt idx="1243">
                  <c:v>41809</c:v>
                </c:pt>
                <c:pt idx="1244">
                  <c:v>41810</c:v>
                </c:pt>
                <c:pt idx="1245">
                  <c:v>41813</c:v>
                </c:pt>
                <c:pt idx="1246">
                  <c:v>41814</c:v>
                </c:pt>
                <c:pt idx="1247">
                  <c:v>41815</c:v>
                </c:pt>
                <c:pt idx="1248">
                  <c:v>41816</c:v>
                </c:pt>
                <c:pt idx="1249">
                  <c:v>41817</c:v>
                </c:pt>
                <c:pt idx="1250">
                  <c:v>41820</c:v>
                </c:pt>
                <c:pt idx="1251">
                  <c:v>41821</c:v>
                </c:pt>
                <c:pt idx="1252">
                  <c:v>41822</c:v>
                </c:pt>
                <c:pt idx="1253">
                  <c:v>41823</c:v>
                </c:pt>
                <c:pt idx="1254">
                  <c:v>41824</c:v>
                </c:pt>
                <c:pt idx="1255">
                  <c:v>41827</c:v>
                </c:pt>
                <c:pt idx="1256">
                  <c:v>41828</c:v>
                </c:pt>
                <c:pt idx="1257">
                  <c:v>41829</c:v>
                </c:pt>
                <c:pt idx="1258">
                  <c:v>41830</c:v>
                </c:pt>
                <c:pt idx="1259">
                  <c:v>41831</c:v>
                </c:pt>
                <c:pt idx="1260">
                  <c:v>41834</c:v>
                </c:pt>
                <c:pt idx="1261">
                  <c:v>41835</c:v>
                </c:pt>
                <c:pt idx="1262">
                  <c:v>41836</c:v>
                </c:pt>
                <c:pt idx="1263">
                  <c:v>41837</c:v>
                </c:pt>
                <c:pt idx="1264">
                  <c:v>41838</c:v>
                </c:pt>
                <c:pt idx="1265">
                  <c:v>41841</c:v>
                </c:pt>
                <c:pt idx="1266">
                  <c:v>41842</c:v>
                </c:pt>
                <c:pt idx="1267">
                  <c:v>41843</c:v>
                </c:pt>
                <c:pt idx="1268">
                  <c:v>41844</c:v>
                </c:pt>
                <c:pt idx="1269">
                  <c:v>41845</c:v>
                </c:pt>
                <c:pt idx="1270">
                  <c:v>41848</c:v>
                </c:pt>
                <c:pt idx="1271">
                  <c:v>41849</c:v>
                </c:pt>
                <c:pt idx="1272">
                  <c:v>41850</c:v>
                </c:pt>
                <c:pt idx="1273">
                  <c:v>41851</c:v>
                </c:pt>
                <c:pt idx="1274">
                  <c:v>41852</c:v>
                </c:pt>
                <c:pt idx="1275">
                  <c:v>41855</c:v>
                </c:pt>
                <c:pt idx="1276">
                  <c:v>41856</c:v>
                </c:pt>
                <c:pt idx="1277">
                  <c:v>41857</c:v>
                </c:pt>
                <c:pt idx="1278">
                  <c:v>41858</c:v>
                </c:pt>
                <c:pt idx="1279">
                  <c:v>41859</c:v>
                </c:pt>
                <c:pt idx="1280">
                  <c:v>41862</c:v>
                </c:pt>
                <c:pt idx="1281">
                  <c:v>41863</c:v>
                </c:pt>
                <c:pt idx="1282">
                  <c:v>41864</c:v>
                </c:pt>
                <c:pt idx="1283">
                  <c:v>41865</c:v>
                </c:pt>
                <c:pt idx="1284">
                  <c:v>41866</c:v>
                </c:pt>
                <c:pt idx="1285">
                  <c:v>41869</c:v>
                </c:pt>
                <c:pt idx="1286">
                  <c:v>41870</c:v>
                </c:pt>
                <c:pt idx="1287">
                  <c:v>41871</c:v>
                </c:pt>
                <c:pt idx="1288">
                  <c:v>41872</c:v>
                </c:pt>
                <c:pt idx="1289">
                  <c:v>41873</c:v>
                </c:pt>
                <c:pt idx="1290">
                  <c:v>41876</c:v>
                </c:pt>
                <c:pt idx="1291">
                  <c:v>41879</c:v>
                </c:pt>
                <c:pt idx="1292">
                  <c:v>41880</c:v>
                </c:pt>
                <c:pt idx="1293">
                  <c:v>41883</c:v>
                </c:pt>
                <c:pt idx="1294">
                  <c:v>41884</c:v>
                </c:pt>
                <c:pt idx="1295">
                  <c:v>41885</c:v>
                </c:pt>
                <c:pt idx="1296">
                  <c:v>41886</c:v>
                </c:pt>
                <c:pt idx="1297">
                  <c:v>41887</c:v>
                </c:pt>
                <c:pt idx="1298">
                  <c:v>41891</c:v>
                </c:pt>
                <c:pt idx="1299">
                  <c:v>41892</c:v>
                </c:pt>
                <c:pt idx="1300">
                  <c:v>41893</c:v>
                </c:pt>
                <c:pt idx="1301">
                  <c:v>41894</c:v>
                </c:pt>
                <c:pt idx="1302">
                  <c:v>41897</c:v>
                </c:pt>
                <c:pt idx="1303">
                  <c:v>41898</c:v>
                </c:pt>
                <c:pt idx="1304">
                  <c:v>41899</c:v>
                </c:pt>
                <c:pt idx="1305">
                  <c:v>41900</c:v>
                </c:pt>
                <c:pt idx="1306">
                  <c:v>41901</c:v>
                </c:pt>
                <c:pt idx="1307">
                  <c:v>41904</c:v>
                </c:pt>
                <c:pt idx="1308">
                  <c:v>41905</c:v>
                </c:pt>
                <c:pt idx="1309">
                  <c:v>41906</c:v>
                </c:pt>
                <c:pt idx="1310">
                  <c:v>41907</c:v>
                </c:pt>
                <c:pt idx="1311">
                  <c:v>41908</c:v>
                </c:pt>
                <c:pt idx="1312">
                  <c:v>41911</c:v>
                </c:pt>
                <c:pt idx="1313">
                  <c:v>41912</c:v>
                </c:pt>
                <c:pt idx="1314">
                  <c:v>41920</c:v>
                </c:pt>
                <c:pt idx="1315">
                  <c:v>41921</c:v>
                </c:pt>
                <c:pt idx="1316">
                  <c:v>41922</c:v>
                </c:pt>
                <c:pt idx="1317">
                  <c:v>41925</c:v>
                </c:pt>
                <c:pt idx="1318">
                  <c:v>41926</c:v>
                </c:pt>
                <c:pt idx="1319">
                  <c:v>41927</c:v>
                </c:pt>
                <c:pt idx="1320">
                  <c:v>41928</c:v>
                </c:pt>
                <c:pt idx="1321">
                  <c:v>41929</c:v>
                </c:pt>
                <c:pt idx="1322">
                  <c:v>41932</c:v>
                </c:pt>
                <c:pt idx="1323">
                  <c:v>41933</c:v>
                </c:pt>
                <c:pt idx="1324">
                  <c:v>41934</c:v>
                </c:pt>
                <c:pt idx="1325">
                  <c:v>41935</c:v>
                </c:pt>
                <c:pt idx="1326">
                  <c:v>41936</c:v>
                </c:pt>
                <c:pt idx="1327">
                  <c:v>41939</c:v>
                </c:pt>
                <c:pt idx="1328">
                  <c:v>41940</c:v>
                </c:pt>
                <c:pt idx="1329">
                  <c:v>41941</c:v>
                </c:pt>
                <c:pt idx="1330">
                  <c:v>41942</c:v>
                </c:pt>
                <c:pt idx="1331">
                  <c:v>41943</c:v>
                </c:pt>
                <c:pt idx="1332">
                  <c:v>41946</c:v>
                </c:pt>
                <c:pt idx="1333">
                  <c:v>41947</c:v>
                </c:pt>
                <c:pt idx="1334">
                  <c:v>41948</c:v>
                </c:pt>
                <c:pt idx="1335">
                  <c:v>41949</c:v>
                </c:pt>
                <c:pt idx="1336">
                  <c:v>41950</c:v>
                </c:pt>
                <c:pt idx="1337">
                  <c:v>41953</c:v>
                </c:pt>
                <c:pt idx="1338">
                  <c:v>41954</c:v>
                </c:pt>
                <c:pt idx="1339">
                  <c:v>41955</c:v>
                </c:pt>
                <c:pt idx="1340">
                  <c:v>41956</c:v>
                </c:pt>
                <c:pt idx="1341">
                  <c:v>41960</c:v>
                </c:pt>
                <c:pt idx="1342">
                  <c:v>41961</c:v>
                </c:pt>
                <c:pt idx="1343">
                  <c:v>41962</c:v>
                </c:pt>
                <c:pt idx="1344">
                  <c:v>41963</c:v>
                </c:pt>
                <c:pt idx="1345">
                  <c:v>41964</c:v>
                </c:pt>
                <c:pt idx="1346">
                  <c:v>41967</c:v>
                </c:pt>
                <c:pt idx="1347">
                  <c:v>41968</c:v>
                </c:pt>
                <c:pt idx="1348">
                  <c:v>41969</c:v>
                </c:pt>
                <c:pt idx="1349">
                  <c:v>41970</c:v>
                </c:pt>
                <c:pt idx="1350">
                  <c:v>41971</c:v>
                </c:pt>
                <c:pt idx="1351">
                  <c:v>41975</c:v>
                </c:pt>
                <c:pt idx="1352">
                  <c:v>41976</c:v>
                </c:pt>
                <c:pt idx="1353">
                  <c:v>41977</c:v>
                </c:pt>
                <c:pt idx="1354">
                  <c:v>41978</c:v>
                </c:pt>
                <c:pt idx="1355">
                  <c:v>41981</c:v>
                </c:pt>
                <c:pt idx="1356">
                  <c:v>41982</c:v>
                </c:pt>
                <c:pt idx="1357">
                  <c:v>41983</c:v>
                </c:pt>
                <c:pt idx="1358">
                  <c:v>41984</c:v>
                </c:pt>
                <c:pt idx="1359">
                  <c:v>41985</c:v>
                </c:pt>
                <c:pt idx="1360">
                  <c:v>41988</c:v>
                </c:pt>
                <c:pt idx="1361">
                  <c:v>41989</c:v>
                </c:pt>
                <c:pt idx="1362">
                  <c:v>41990</c:v>
                </c:pt>
                <c:pt idx="1363">
                  <c:v>41992</c:v>
                </c:pt>
                <c:pt idx="1364">
                  <c:v>41995</c:v>
                </c:pt>
                <c:pt idx="1365">
                  <c:v>41996</c:v>
                </c:pt>
                <c:pt idx="1366">
                  <c:v>41997</c:v>
                </c:pt>
                <c:pt idx="1367">
                  <c:v>41998</c:v>
                </c:pt>
                <c:pt idx="1368">
                  <c:v>41999</c:v>
                </c:pt>
                <c:pt idx="1369">
                  <c:v>42002</c:v>
                </c:pt>
                <c:pt idx="1370">
                  <c:v>42003</c:v>
                </c:pt>
                <c:pt idx="1371">
                  <c:v>42004</c:v>
                </c:pt>
                <c:pt idx="1372">
                  <c:v>42008</c:v>
                </c:pt>
                <c:pt idx="1373">
                  <c:v>42009</c:v>
                </c:pt>
                <c:pt idx="1374">
                  <c:v>42010</c:v>
                </c:pt>
                <c:pt idx="1375">
                  <c:v>42011</c:v>
                </c:pt>
                <c:pt idx="1376">
                  <c:v>42012</c:v>
                </c:pt>
                <c:pt idx="1377">
                  <c:v>42013</c:v>
                </c:pt>
                <c:pt idx="1378">
                  <c:v>42016</c:v>
                </c:pt>
                <c:pt idx="1379">
                  <c:v>42017</c:v>
                </c:pt>
                <c:pt idx="1380">
                  <c:v>42018</c:v>
                </c:pt>
                <c:pt idx="1381">
                  <c:v>42019</c:v>
                </c:pt>
                <c:pt idx="1382">
                  <c:v>42020</c:v>
                </c:pt>
                <c:pt idx="1383">
                  <c:v>42023</c:v>
                </c:pt>
                <c:pt idx="1384">
                  <c:v>42024</c:v>
                </c:pt>
                <c:pt idx="1385">
                  <c:v>42025</c:v>
                </c:pt>
                <c:pt idx="1386">
                  <c:v>42026</c:v>
                </c:pt>
                <c:pt idx="1387">
                  <c:v>42027</c:v>
                </c:pt>
                <c:pt idx="1388">
                  <c:v>42030</c:v>
                </c:pt>
                <c:pt idx="1389">
                  <c:v>42031</c:v>
                </c:pt>
                <c:pt idx="1390">
                  <c:v>42032</c:v>
                </c:pt>
                <c:pt idx="1391">
                  <c:v>42033</c:v>
                </c:pt>
                <c:pt idx="1392">
                  <c:v>42034</c:v>
                </c:pt>
                <c:pt idx="1393">
                  <c:v>42037</c:v>
                </c:pt>
                <c:pt idx="1394">
                  <c:v>42038</c:v>
                </c:pt>
                <c:pt idx="1395">
                  <c:v>42039</c:v>
                </c:pt>
                <c:pt idx="1396">
                  <c:v>42040</c:v>
                </c:pt>
                <c:pt idx="1397">
                  <c:v>42041</c:v>
                </c:pt>
                <c:pt idx="1398">
                  <c:v>42044</c:v>
                </c:pt>
                <c:pt idx="1399">
                  <c:v>42045</c:v>
                </c:pt>
                <c:pt idx="1400">
                  <c:v>42046</c:v>
                </c:pt>
                <c:pt idx="1401">
                  <c:v>42047</c:v>
                </c:pt>
                <c:pt idx="1402">
                  <c:v>42048</c:v>
                </c:pt>
                <c:pt idx="1403">
                  <c:v>42051</c:v>
                </c:pt>
                <c:pt idx="1404">
                  <c:v>42061</c:v>
                </c:pt>
                <c:pt idx="1405">
                  <c:v>42062</c:v>
                </c:pt>
                <c:pt idx="1406">
                  <c:v>42065</c:v>
                </c:pt>
                <c:pt idx="1407">
                  <c:v>42066</c:v>
                </c:pt>
                <c:pt idx="1408">
                  <c:v>42067</c:v>
                </c:pt>
                <c:pt idx="1409">
                  <c:v>42068</c:v>
                </c:pt>
                <c:pt idx="1410">
                  <c:v>42069</c:v>
                </c:pt>
                <c:pt idx="1411">
                  <c:v>42072</c:v>
                </c:pt>
                <c:pt idx="1412">
                  <c:v>42073</c:v>
                </c:pt>
                <c:pt idx="1413">
                  <c:v>42074</c:v>
                </c:pt>
                <c:pt idx="1414">
                  <c:v>42075</c:v>
                </c:pt>
                <c:pt idx="1415">
                  <c:v>42076</c:v>
                </c:pt>
                <c:pt idx="1416">
                  <c:v>42079</c:v>
                </c:pt>
                <c:pt idx="1417" formatCode="m/d/yyyy">
                  <c:v>42080</c:v>
                </c:pt>
                <c:pt idx="1418" formatCode="m/d/yyyy">
                  <c:v>42081</c:v>
                </c:pt>
                <c:pt idx="1419" formatCode="m/d/yyyy">
                  <c:v>42082</c:v>
                </c:pt>
                <c:pt idx="1420" formatCode="m/d/yyyy">
                  <c:v>42083</c:v>
                </c:pt>
                <c:pt idx="1421" formatCode="m/d/yyyy">
                  <c:v>42086</c:v>
                </c:pt>
                <c:pt idx="1422" formatCode="m/d/yyyy">
                  <c:v>42087</c:v>
                </c:pt>
                <c:pt idx="1423" formatCode="m/d/yyyy">
                  <c:v>42088</c:v>
                </c:pt>
                <c:pt idx="1424" formatCode="m/d/yyyy">
                  <c:v>42089</c:v>
                </c:pt>
                <c:pt idx="1425" formatCode="m/d/yyyy">
                  <c:v>42090</c:v>
                </c:pt>
                <c:pt idx="1426" formatCode="m/d/yyyy">
                  <c:v>42093</c:v>
                </c:pt>
                <c:pt idx="1427" formatCode="m/d/yyyy">
                  <c:v>42094</c:v>
                </c:pt>
                <c:pt idx="1428" formatCode="m/d/yyyy">
                  <c:v>42095</c:v>
                </c:pt>
                <c:pt idx="1429" formatCode="m/d/yyyy">
                  <c:v>42096</c:v>
                </c:pt>
                <c:pt idx="1430" formatCode="m/d/yyyy">
                  <c:v>42097</c:v>
                </c:pt>
                <c:pt idx="1431" formatCode="m/d/yyyy">
                  <c:v>42098</c:v>
                </c:pt>
                <c:pt idx="1432" formatCode="m/d/yyyy">
                  <c:v>42099</c:v>
                </c:pt>
                <c:pt idx="1433" formatCode="m/d/yyyy">
                  <c:v>42100</c:v>
                </c:pt>
                <c:pt idx="1434" formatCode="m/d/yyyy">
                  <c:v>42101</c:v>
                </c:pt>
                <c:pt idx="1435" formatCode="m/d/yyyy">
                  <c:v>42102</c:v>
                </c:pt>
                <c:pt idx="1436" formatCode="m/d/yyyy">
                  <c:v>42103</c:v>
                </c:pt>
                <c:pt idx="1437" formatCode="m/d/yyyy">
                  <c:v>42104</c:v>
                </c:pt>
                <c:pt idx="1438" formatCode="m/d/yyyy">
                  <c:v>42105</c:v>
                </c:pt>
                <c:pt idx="1439" formatCode="m/d/yyyy">
                  <c:v>42106</c:v>
                </c:pt>
                <c:pt idx="1440" formatCode="m/d/yyyy">
                  <c:v>42107</c:v>
                </c:pt>
                <c:pt idx="1441" formatCode="m/d/yyyy">
                  <c:v>42108</c:v>
                </c:pt>
                <c:pt idx="1442" formatCode="m/d/yyyy">
                  <c:v>42109</c:v>
                </c:pt>
                <c:pt idx="1443" formatCode="m/d/yyyy">
                  <c:v>42110</c:v>
                </c:pt>
                <c:pt idx="1444" formatCode="m/d/yyyy">
                  <c:v>42111</c:v>
                </c:pt>
                <c:pt idx="1445" formatCode="m/d/yyyy">
                  <c:v>42112</c:v>
                </c:pt>
                <c:pt idx="1446" formatCode="m/d/yyyy">
                  <c:v>42113</c:v>
                </c:pt>
                <c:pt idx="1447" formatCode="m/d/yyyy">
                  <c:v>42114</c:v>
                </c:pt>
                <c:pt idx="1448" formatCode="m/d/yyyy">
                  <c:v>42115</c:v>
                </c:pt>
                <c:pt idx="1449" formatCode="m/d/yyyy">
                  <c:v>42116</c:v>
                </c:pt>
                <c:pt idx="1450" formatCode="m/d/yyyy">
                  <c:v>42117</c:v>
                </c:pt>
                <c:pt idx="1451" formatCode="m/d/yyyy">
                  <c:v>42118</c:v>
                </c:pt>
                <c:pt idx="1452" formatCode="m/d/yyyy">
                  <c:v>42119</c:v>
                </c:pt>
                <c:pt idx="1453" formatCode="m/d/yyyy">
                  <c:v>42120</c:v>
                </c:pt>
                <c:pt idx="1454" formatCode="m/d/yyyy">
                  <c:v>42121</c:v>
                </c:pt>
                <c:pt idx="1455" formatCode="m/d/yyyy">
                  <c:v>42122</c:v>
                </c:pt>
                <c:pt idx="1456" formatCode="m/d/yyyy">
                  <c:v>42123</c:v>
                </c:pt>
                <c:pt idx="1457" formatCode="m/d/yyyy">
                  <c:v>42124</c:v>
                </c:pt>
                <c:pt idx="1458" formatCode="m/d/yyyy">
                  <c:v>42125</c:v>
                </c:pt>
                <c:pt idx="1459" formatCode="m/d/yyyy">
                  <c:v>42126</c:v>
                </c:pt>
                <c:pt idx="1460" formatCode="m/d/yyyy">
                  <c:v>42127</c:v>
                </c:pt>
                <c:pt idx="1461" formatCode="m/d/yyyy">
                  <c:v>42128</c:v>
                </c:pt>
                <c:pt idx="1462" formatCode="m/d/yyyy">
                  <c:v>42129</c:v>
                </c:pt>
                <c:pt idx="1463" formatCode="m/d/yyyy">
                  <c:v>42130</c:v>
                </c:pt>
                <c:pt idx="1464" formatCode="m/d/yyyy">
                  <c:v>42131</c:v>
                </c:pt>
                <c:pt idx="1465" formatCode="m/d/yyyy">
                  <c:v>42132</c:v>
                </c:pt>
                <c:pt idx="1466" formatCode="m/d/yyyy">
                  <c:v>42133</c:v>
                </c:pt>
                <c:pt idx="1467" formatCode="m/d/yyyy">
                  <c:v>42134</c:v>
                </c:pt>
                <c:pt idx="1468" formatCode="m/d/yyyy">
                  <c:v>42135</c:v>
                </c:pt>
                <c:pt idx="1469" formatCode="m/d/yyyy">
                  <c:v>42136</c:v>
                </c:pt>
                <c:pt idx="1470" formatCode="m/d/yyyy">
                  <c:v>42137</c:v>
                </c:pt>
                <c:pt idx="1471" formatCode="m/d/yyyy">
                  <c:v>42138</c:v>
                </c:pt>
                <c:pt idx="1472" formatCode="m/d/yyyy">
                  <c:v>42139</c:v>
                </c:pt>
                <c:pt idx="1473" formatCode="m/d/yyyy">
                  <c:v>42140</c:v>
                </c:pt>
                <c:pt idx="1474" formatCode="m/d/yyyy">
                  <c:v>42141</c:v>
                </c:pt>
                <c:pt idx="1475" formatCode="m/d/yyyy">
                  <c:v>42142</c:v>
                </c:pt>
                <c:pt idx="1476" formatCode="m/d/yyyy">
                  <c:v>42143</c:v>
                </c:pt>
                <c:pt idx="1477" formatCode="m/d/yyyy">
                  <c:v>42144</c:v>
                </c:pt>
                <c:pt idx="1478" formatCode="m/d/yyyy">
                  <c:v>42145</c:v>
                </c:pt>
                <c:pt idx="1479" formatCode="m/d/yyyy">
                  <c:v>42146</c:v>
                </c:pt>
                <c:pt idx="1480" formatCode="m/d/yyyy">
                  <c:v>42147</c:v>
                </c:pt>
                <c:pt idx="1481" formatCode="m/d/yyyy">
                  <c:v>42148</c:v>
                </c:pt>
                <c:pt idx="1482" formatCode="m/d/yyyy">
                  <c:v>42149</c:v>
                </c:pt>
                <c:pt idx="1483" formatCode="m/d/yyyy">
                  <c:v>42150</c:v>
                </c:pt>
                <c:pt idx="1484" formatCode="m/d/yyyy">
                  <c:v>42151</c:v>
                </c:pt>
                <c:pt idx="1485" formatCode="m/d/yyyy">
                  <c:v>42152</c:v>
                </c:pt>
                <c:pt idx="1486" formatCode="m/d/yyyy">
                  <c:v>42153</c:v>
                </c:pt>
                <c:pt idx="1487" formatCode="m/d/yyyy">
                  <c:v>42154</c:v>
                </c:pt>
                <c:pt idx="1488" formatCode="m/d/yyyy">
                  <c:v>42155</c:v>
                </c:pt>
                <c:pt idx="1489" formatCode="m/d/yyyy">
                  <c:v>42156</c:v>
                </c:pt>
                <c:pt idx="1490" formatCode="m/d/yyyy">
                  <c:v>42157</c:v>
                </c:pt>
                <c:pt idx="1491" formatCode="m/d/yyyy">
                  <c:v>42158</c:v>
                </c:pt>
                <c:pt idx="1492" formatCode="m/d/yyyy">
                  <c:v>42159</c:v>
                </c:pt>
                <c:pt idx="1493" formatCode="m/d/yyyy">
                  <c:v>42160</c:v>
                </c:pt>
                <c:pt idx="1494" formatCode="m/d/yyyy">
                  <c:v>42161</c:v>
                </c:pt>
                <c:pt idx="1495" formatCode="m/d/yyyy">
                  <c:v>42162</c:v>
                </c:pt>
                <c:pt idx="1496" formatCode="m/d/yyyy">
                  <c:v>42163</c:v>
                </c:pt>
                <c:pt idx="1497" formatCode="m/d/yyyy">
                  <c:v>42164</c:v>
                </c:pt>
                <c:pt idx="1498" formatCode="m/d/yyyy">
                  <c:v>42165</c:v>
                </c:pt>
                <c:pt idx="1499" formatCode="m/d/yyyy">
                  <c:v>42166</c:v>
                </c:pt>
                <c:pt idx="1500" formatCode="m/d/yyyy">
                  <c:v>42167</c:v>
                </c:pt>
                <c:pt idx="1501" formatCode="m/d/yyyy">
                  <c:v>42168</c:v>
                </c:pt>
                <c:pt idx="1502" formatCode="m/d/yyyy">
                  <c:v>42169</c:v>
                </c:pt>
                <c:pt idx="1503" formatCode="m/d/yyyy">
                  <c:v>42170</c:v>
                </c:pt>
                <c:pt idx="1504" formatCode="m/d/yyyy">
                  <c:v>42171</c:v>
                </c:pt>
                <c:pt idx="1505" formatCode="m/d/yyyy">
                  <c:v>42172</c:v>
                </c:pt>
                <c:pt idx="1506" formatCode="m/d/yyyy">
                  <c:v>42173</c:v>
                </c:pt>
                <c:pt idx="1507" formatCode="m/d/yyyy">
                  <c:v>42174</c:v>
                </c:pt>
                <c:pt idx="1508" formatCode="m/d/yyyy">
                  <c:v>42175</c:v>
                </c:pt>
                <c:pt idx="1509" formatCode="m/d/yyyy">
                  <c:v>42176</c:v>
                </c:pt>
                <c:pt idx="1510" formatCode="m/d/yyyy">
                  <c:v>42177</c:v>
                </c:pt>
                <c:pt idx="1511" formatCode="m/d/yyyy">
                  <c:v>42178</c:v>
                </c:pt>
                <c:pt idx="1512" formatCode="m/d/yyyy">
                  <c:v>42179</c:v>
                </c:pt>
                <c:pt idx="1513" formatCode="m/d/yyyy">
                  <c:v>42180</c:v>
                </c:pt>
                <c:pt idx="1514" formatCode="m/d/yyyy">
                  <c:v>42181</c:v>
                </c:pt>
                <c:pt idx="1515" formatCode="m/d/yyyy">
                  <c:v>42182</c:v>
                </c:pt>
                <c:pt idx="1516" formatCode="m/d/yyyy">
                  <c:v>42183</c:v>
                </c:pt>
                <c:pt idx="1517" formatCode="m/d/yyyy">
                  <c:v>42184</c:v>
                </c:pt>
                <c:pt idx="1518" formatCode="m/d/yyyy">
                  <c:v>42185</c:v>
                </c:pt>
                <c:pt idx="1519" formatCode="m/d/yyyy">
                  <c:v>42186</c:v>
                </c:pt>
                <c:pt idx="1520" formatCode="m/d/yyyy">
                  <c:v>42187</c:v>
                </c:pt>
                <c:pt idx="1521" formatCode="m/d/yyyy">
                  <c:v>42188</c:v>
                </c:pt>
                <c:pt idx="1522" formatCode="m/d/yyyy">
                  <c:v>42189</c:v>
                </c:pt>
                <c:pt idx="1523" formatCode="m/d/yyyy">
                  <c:v>42190</c:v>
                </c:pt>
                <c:pt idx="1524" formatCode="m/d/yyyy">
                  <c:v>42191</c:v>
                </c:pt>
                <c:pt idx="1525" formatCode="m/d/yyyy">
                  <c:v>42192</c:v>
                </c:pt>
                <c:pt idx="1526" formatCode="m/d/yyyy">
                  <c:v>42193</c:v>
                </c:pt>
                <c:pt idx="1527" formatCode="m/d/yyyy">
                  <c:v>42194</c:v>
                </c:pt>
                <c:pt idx="1528" formatCode="m/d/yyyy">
                  <c:v>42195</c:v>
                </c:pt>
                <c:pt idx="1529" formatCode="m/d/yyyy">
                  <c:v>42196</c:v>
                </c:pt>
                <c:pt idx="1530" formatCode="m/d/yyyy">
                  <c:v>42197</c:v>
                </c:pt>
                <c:pt idx="1531" formatCode="m/d/yyyy">
                  <c:v>42198</c:v>
                </c:pt>
                <c:pt idx="1532" formatCode="m/d/yyyy">
                  <c:v>42199</c:v>
                </c:pt>
                <c:pt idx="1533" formatCode="m/d/yyyy">
                  <c:v>42200</c:v>
                </c:pt>
                <c:pt idx="1534" formatCode="m/d/yyyy">
                  <c:v>42201</c:v>
                </c:pt>
                <c:pt idx="1535" formatCode="m/d/yyyy">
                  <c:v>42202</c:v>
                </c:pt>
                <c:pt idx="1536" formatCode="m/d/yyyy">
                  <c:v>42203</c:v>
                </c:pt>
                <c:pt idx="1537" formatCode="m/d/yyyy">
                  <c:v>42204</c:v>
                </c:pt>
                <c:pt idx="1538" formatCode="m/d/yyyy">
                  <c:v>42205</c:v>
                </c:pt>
                <c:pt idx="1539" formatCode="m/d/yyyy">
                  <c:v>42206</c:v>
                </c:pt>
                <c:pt idx="1540" formatCode="m/d/yyyy">
                  <c:v>42207</c:v>
                </c:pt>
                <c:pt idx="1541" formatCode="m/d/yyyy">
                  <c:v>42208</c:v>
                </c:pt>
                <c:pt idx="1542" formatCode="m/d/yyyy">
                  <c:v>42209</c:v>
                </c:pt>
                <c:pt idx="1543" formatCode="m/d/yyyy">
                  <c:v>42210</c:v>
                </c:pt>
                <c:pt idx="1544" formatCode="m/d/yyyy">
                  <c:v>42211</c:v>
                </c:pt>
                <c:pt idx="1545" formatCode="m/d/yyyy">
                  <c:v>42212</c:v>
                </c:pt>
                <c:pt idx="1546" formatCode="m/d/yyyy">
                  <c:v>42213</c:v>
                </c:pt>
                <c:pt idx="1547" formatCode="m/d/yyyy">
                  <c:v>42214</c:v>
                </c:pt>
                <c:pt idx="1548" formatCode="m/d/yyyy">
                  <c:v>42215</c:v>
                </c:pt>
                <c:pt idx="1549" formatCode="m/d/yyyy">
                  <c:v>42216</c:v>
                </c:pt>
                <c:pt idx="1550" formatCode="m/d/yyyy">
                  <c:v>42217</c:v>
                </c:pt>
                <c:pt idx="1551" formatCode="m/d/yyyy">
                  <c:v>42218</c:v>
                </c:pt>
                <c:pt idx="1552" formatCode="m/d/yyyy">
                  <c:v>42219</c:v>
                </c:pt>
                <c:pt idx="1553" formatCode="m/d/yyyy">
                  <c:v>42220</c:v>
                </c:pt>
                <c:pt idx="1554" formatCode="m/d/yyyy">
                  <c:v>42221</c:v>
                </c:pt>
                <c:pt idx="1555" formatCode="m/d/yyyy">
                  <c:v>42222</c:v>
                </c:pt>
                <c:pt idx="1556" formatCode="m/d/yyyy">
                  <c:v>42223</c:v>
                </c:pt>
                <c:pt idx="1557" formatCode="m/d/yyyy">
                  <c:v>42224</c:v>
                </c:pt>
                <c:pt idx="1558" formatCode="m/d/yyyy">
                  <c:v>42225</c:v>
                </c:pt>
                <c:pt idx="1559" formatCode="m/d/yyyy">
                  <c:v>42226</c:v>
                </c:pt>
                <c:pt idx="1560" formatCode="m/d/yyyy">
                  <c:v>42227</c:v>
                </c:pt>
                <c:pt idx="1561" formatCode="m/d/yyyy">
                  <c:v>42228</c:v>
                </c:pt>
                <c:pt idx="1562" formatCode="m/d/yyyy">
                  <c:v>42229</c:v>
                </c:pt>
                <c:pt idx="1563" formatCode="m/d/yyyy">
                  <c:v>42230</c:v>
                </c:pt>
                <c:pt idx="1564" formatCode="m/d/yyyy">
                  <c:v>42231</c:v>
                </c:pt>
                <c:pt idx="1565" formatCode="m/d/yyyy">
                  <c:v>42232</c:v>
                </c:pt>
                <c:pt idx="1566" formatCode="m/d/yyyy">
                  <c:v>42233</c:v>
                </c:pt>
                <c:pt idx="1567" formatCode="m/d/yyyy">
                  <c:v>42234</c:v>
                </c:pt>
                <c:pt idx="1568" formatCode="m/d/yyyy">
                  <c:v>42235</c:v>
                </c:pt>
                <c:pt idx="1569" formatCode="m/d/yyyy">
                  <c:v>42236</c:v>
                </c:pt>
                <c:pt idx="1570" formatCode="m/d/yyyy">
                  <c:v>42237</c:v>
                </c:pt>
                <c:pt idx="1571" formatCode="m/d/yyyy">
                  <c:v>42238</c:v>
                </c:pt>
                <c:pt idx="1572" formatCode="m/d/yyyy">
                  <c:v>42239</c:v>
                </c:pt>
                <c:pt idx="1573" formatCode="m/d/yyyy">
                  <c:v>42240</c:v>
                </c:pt>
                <c:pt idx="1574" formatCode="m/d/yyyy">
                  <c:v>42241</c:v>
                </c:pt>
                <c:pt idx="1575" formatCode="m/d/yyyy">
                  <c:v>42242</c:v>
                </c:pt>
                <c:pt idx="1576" formatCode="m/d/yyyy">
                  <c:v>42243</c:v>
                </c:pt>
                <c:pt idx="1577" formatCode="m/d/yyyy">
                  <c:v>42244</c:v>
                </c:pt>
                <c:pt idx="1578" formatCode="m/d/yyyy">
                  <c:v>42245</c:v>
                </c:pt>
                <c:pt idx="1579" formatCode="m/d/yyyy">
                  <c:v>42246</c:v>
                </c:pt>
                <c:pt idx="1580" formatCode="m/d/yyyy">
                  <c:v>42247</c:v>
                </c:pt>
                <c:pt idx="1581" formatCode="m/d/yyyy">
                  <c:v>42248</c:v>
                </c:pt>
                <c:pt idx="1582" formatCode="m/d/yyyy">
                  <c:v>42249</c:v>
                </c:pt>
                <c:pt idx="1583" formatCode="m/d/yyyy">
                  <c:v>42250</c:v>
                </c:pt>
                <c:pt idx="1584" formatCode="m/d/yyyy">
                  <c:v>42251</c:v>
                </c:pt>
                <c:pt idx="1585" formatCode="m/d/yyyy">
                  <c:v>42252</c:v>
                </c:pt>
                <c:pt idx="1586" formatCode="m/d/yyyy">
                  <c:v>42253</c:v>
                </c:pt>
                <c:pt idx="1587" formatCode="m/d/yyyy">
                  <c:v>42254</c:v>
                </c:pt>
                <c:pt idx="1588" formatCode="m/d/yyyy">
                  <c:v>42255</c:v>
                </c:pt>
                <c:pt idx="1589" formatCode="m/d/yyyy">
                  <c:v>42256</c:v>
                </c:pt>
                <c:pt idx="1590" formatCode="m/d/yyyy">
                  <c:v>42257</c:v>
                </c:pt>
                <c:pt idx="1591" formatCode="m/d/yyyy">
                  <c:v>42258</c:v>
                </c:pt>
                <c:pt idx="1592" formatCode="m/d/yyyy">
                  <c:v>42259</c:v>
                </c:pt>
                <c:pt idx="1593" formatCode="m/d/yyyy">
                  <c:v>42260</c:v>
                </c:pt>
                <c:pt idx="1594" formatCode="m/d/yyyy">
                  <c:v>42261</c:v>
                </c:pt>
                <c:pt idx="1595" formatCode="m/d/yyyy">
                  <c:v>42262</c:v>
                </c:pt>
                <c:pt idx="1596" formatCode="m/d/yyyy">
                  <c:v>42263</c:v>
                </c:pt>
                <c:pt idx="1597" formatCode="m/d/yyyy">
                  <c:v>42264</c:v>
                </c:pt>
                <c:pt idx="1598" formatCode="m/d/yyyy">
                  <c:v>42265</c:v>
                </c:pt>
                <c:pt idx="1599" formatCode="m/d/yyyy">
                  <c:v>42266</c:v>
                </c:pt>
                <c:pt idx="1600" formatCode="m/d/yyyy">
                  <c:v>42267</c:v>
                </c:pt>
                <c:pt idx="1601" formatCode="m/d/yyyy">
                  <c:v>42268</c:v>
                </c:pt>
                <c:pt idx="1602" formatCode="m/d/yyyy">
                  <c:v>42269</c:v>
                </c:pt>
                <c:pt idx="1603" formatCode="m/d/yyyy">
                  <c:v>42270</c:v>
                </c:pt>
                <c:pt idx="1604" formatCode="m/d/yyyy">
                  <c:v>42271</c:v>
                </c:pt>
                <c:pt idx="1605" formatCode="m/d/yyyy">
                  <c:v>42272</c:v>
                </c:pt>
                <c:pt idx="1606" formatCode="m/d/yyyy">
                  <c:v>42273</c:v>
                </c:pt>
                <c:pt idx="1607" formatCode="m/d/yyyy">
                  <c:v>42274</c:v>
                </c:pt>
                <c:pt idx="1608" formatCode="m/d/yyyy">
                  <c:v>42275</c:v>
                </c:pt>
                <c:pt idx="1609" formatCode="m/d/yyyy">
                  <c:v>42276</c:v>
                </c:pt>
                <c:pt idx="1610" formatCode="m/d/yyyy">
                  <c:v>42277</c:v>
                </c:pt>
                <c:pt idx="1611" formatCode="m/d/yyyy">
                  <c:v>42278</c:v>
                </c:pt>
                <c:pt idx="1612" formatCode="m/d/yyyy">
                  <c:v>42279</c:v>
                </c:pt>
                <c:pt idx="1613" formatCode="m/d/yyyy">
                  <c:v>42280</c:v>
                </c:pt>
                <c:pt idx="1614" formatCode="m/d/yyyy">
                  <c:v>42281</c:v>
                </c:pt>
                <c:pt idx="1615" formatCode="m/d/yyyy">
                  <c:v>42282</c:v>
                </c:pt>
                <c:pt idx="1616" formatCode="m/d/yyyy">
                  <c:v>42283</c:v>
                </c:pt>
                <c:pt idx="1617" formatCode="m/d/yyyy">
                  <c:v>42284</c:v>
                </c:pt>
                <c:pt idx="1618" formatCode="m/d/yyyy">
                  <c:v>42285</c:v>
                </c:pt>
                <c:pt idx="1619" formatCode="m/d/yyyy">
                  <c:v>42286</c:v>
                </c:pt>
                <c:pt idx="1620" formatCode="m/d/yyyy">
                  <c:v>42287</c:v>
                </c:pt>
                <c:pt idx="1621" formatCode="m/d/yyyy">
                  <c:v>42288</c:v>
                </c:pt>
                <c:pt idx="1622" formatCode="m/d/yyyy">
                  <c:v>42289</c:v>
                </c:pt>
                <c:pt idx="1623" formatCode="m/d/yyyy">
                  <c:v>42290</c:v>
                </c:pt>
                <c:pt idx="1624" formatCode="m/d/yyyy">
                  <c:v>42291</c:v>
                </c:pt>
                <c:pt idx="1625" formatCode="m/d/yyyy">
                  <c:v>42292</c:v>
                </c:pt>
                <c:pt idx="1626" formatCode="m/d/yyyy">
                  <c:v>42293</c:v>
                </c:pt>
                <c:pt idx="1627" formatCode="m/d/yyyy">
                  <c:v>42294</c:v>
                </c:pt>
                <c:pt idx="1628" formatCode="m/d/yyyy">
                  <c:v>42295</c:v>
                </c:pt>
                <c:pt idx="1629" formatCode="m/d/yyyy">
                  <c:v>42296</c:v>
                </c:pt>
                <c:pt idx="1630" formatCode="m/d/yyyy">
                  <c:v>42297</c:v>
                </c:pt>
                <c:pt idx="1631" formatCode="m/d/yyyy">
                  <c:v>42298</c:v>
                </c:pt>
                <c:pt idx="1632" formatCode="m/d/yyyy">
                  <c:v>42299</c:v>
                </c:pt>
                <c:pt idx="1633" formatCode="m/d/yyyy">
                  <c:v>42300</c:v>
                </c:pt>
                <c:pt idx="1634" formatCode="m/d/yyyy">
                  <c:v>42301</c:v>
                </c:pt>
                <c:pt idx="1635" formatCode="m/d/yyyy">
                  <c:v>42302</c:v>
                </c:pt>
                <c:pt idx="1636" formatCode="m/d/yyyy">
                  <c:v>42303</c:v>
                </c:pt>
                <c:pt idx="1637" formatCode="m/d/yyyy">
                  <c:v>42304</c:v>
                </c:pt>
                <c:pt idx="1638" formatCode="m/d/yyyy">
                  <c:v>42305</c:v>
                </c:pt>
                <c:pt idx="1639" formatCode="m/d/yyyy">
                  <c:v>42306</c:v>
                </c:pt>
                <c:pt idx="1640" formatCode="m/d/yyyy">
                  <c:v>42307</c:v>
                </c:pt>
                <c:pt idx="1641" formatCode="m/d/yyyy">
                  <c:v>42308</c:v>
                </c:pt>
                <c:pt idx="1642" formatCode="m/d/yyyy">
                  <c:v>42309</c:v>
                </c:pt>
                <c:pt idx="1643" formatCode="m/d/yyyy">
                  <c:v>42310</c:v>
                </c:pt>
                <c:pt idx="1644" formatCode="m/d/yyyy">
                  <c:v>42311</c:v>
                </c:pt>
                <c:pt idx="1645" formatCode="m/d/yyyy">
                  <c:v>42312</c:v>
                </c:pt>
                <c:pt idx="1646" formatCode="m/d/yyyy">
                  <c:v>42313</c:v>
                </c:pt>
                <c:pt idx="1647" formatCode="m/d/yyyy">
                  <c:v>42314</c:v>
                </c:pt>
                <c:pt idx="1648" formatCode="m/d/yyyy">
                  <c:v>42315</c:v>
                </c:pt>
                <c:pt idx="1649" formatCode="m/d/yyyy">
                  <c:v>42316</c:v>
                </c:pt>
                <c:pt idx="1650" formatCode="m/d/yyyy">
                  <c:v>42317</c:v>
                </c:pt>
                <c:pt idx="1651" formatCode="m/d/yyyy">
                  <c:v>42318</c:v>
                </c:pt>
                <c:pt idx="1652" formatCode="m/d/yyyy">
                  <c:v>42319</c:v>
                </c:pt>
                <c:pt idx="1653" formatCode="m/d/yyyy">
                  <c:v>42320</c:v>
                </c:pt>
                <c:pt idx="1654" formatCode="m/d/yyyy">
                  <c:v>42321</c:v>
                </c:pt>
                <c:pt idx="1655" formatCode="m/d/yyyy">
                  <c:v>42322</c:v>
                </c:pt>
                <c:pt idx="1656" formatCode="m/d/yyyy">
                  <c:v>42323</c:v>
                </c:pt>
                <c:pt idx="1657" formatCode="m/d/yyyy">
                  <c:v>42324</c:v>
                </c:pt>
                <c:pt idx="1658" formatCode="m/d/yyyy">
                  <c:v>42325</c:v>
                </c:pt>
                <c:pt idx="1659" formatCode="m/d/yyyy">
                  <c:v>42326</c:v>
                </c:pt>
                <c:pt idx="1660" formatCode="m/d/yyyy">
                  <c:v>42327</c:v>
                </c:pt>
                <c:pt idx="1661" formatCode="m/d/yyyy">
                  <c:v>42328</c:v>
                </c:pt>
                <c:pt idx="1662" formatCode="m/d/yyyy">
                  <c:v>42329</c:v>
                </c:pt>
                <c:pt idx="1663" formatCode="m/d/yyyy">
                  <c:v>42330</c:v>
                </c:pt>
                <c:pt idx="1664" formatCode="m/d/yyyy">
                  <c:v>42331</c:v>
                </c:pt>
                <c:pt idx="1665" formatCode="m/d/yyyy">
                  <c:v>42332</c:v>
                </c:pt>
                <c:pt idx="1666" formatCode="m/d/yyyy">
                  <c:v>42333</c:v>
                </c:pt>
                <c:pt idx="1667" formatCode="m/d/yyyy">
                  <c:v>42334</c:v>
                </c:pt>
                <c:pt idx="1668" formatCode="m/d/yyyy">
                  <c:v>42335</c:v>
                </c:pt>
                <c:pt idx="1669" formatCode="m/d/yyyy">
                  <c:v>42336</c:v>
                </c:pt>
                <c:pt idx="1670" formatCode="m/d/yyyy">
                  <c:v>42337</c:v>
                </c:pt>
                <c:pt idx="1671" formatCode="m/d/yyyy">
                  <c:v>42338</c:v>
                </c:pt>
                <c:pt idx="1672" formatCode="m/d/yyyy">
                  <c:v>42339</c:v>
                </c:pt>
                <c:pt idx="1673" formatCode="m/d/yyyy">
                  <c:v>42340</c:v>
                </c:pt>
                <c:pt idx="1674" formatCode="m/d/yyyy">
                  <c:v>42341</c:v>
                </c:pt>
                <c:pt idx="1675" formatCode="m/d/yyyy">
                  <c:v>42342</c:v>
                </c:pt>
                <c:pt idx="1676" formatCode="m/d/yyyy">
                  <c:v>42343</c:v>
                </c:pt>
                <c:pt idx="1677" formatCode="m/d/yyyy">
                  <c:v>42344</c:v>
                </c:pt>
                <c:pt idx="1678" formatCode="m/d/yyyy">
                  <c:v>42345</c:v>
                </c:pt>
                <c:pt idx="1679" formatCode="m/d/yyyy">
                  <c:v>42346</c:v>
                </c:pt>
                <c:pt idx="1680" formatCode="m/d/yyyy">
                  <c:v>42347</c:v>
                </c:pt>
                <c:pt idx="1681" formatCode="m/d/yyyy">
                  <c:v>42348</c:v>
                </c:pt>
                <c:pt idx="1682" formatCode="m/d/yyyy">
                  <c:v>42349</c:v>
                </c:pt>
                <c:pt idx="1683" formatCode="m/d/yyyy">
                  <c:v>42350</c:v>
                </c:pt>
                <c:pt idx="1684" formatCode="m/d/yyyy">
                  <c:v>42351</c:v>
                </c:pt>
                <c:pt idx="1685" formatCode="m/d/yyyy">
                  <c:v>42352</c:v>
                </c:pt>
                <c:pt idx="1686" formatCode="m/d/yyyy">
                  <c:v>42353</c:v>
                </c:pt>
                <c:pt idx="1687" formatCode="m/d/yyyy">
                  <c:v>42354</c:v>
                </c:pt>
                <c:pt idx="1688" formatCode="m/d/yyyy">
                  <c:v>42355</c:v>
                </c:pt>
                <c:pt idx="1689" formatCode="m/d/yyyy">
                  <c:v>42356</c:v>
                </c:pt>
                <c:pt idx="1690" formatCode="m/d/yyyy">
                  <c:v>42357</c:v>
                </c:pt>
                <c:pt idx="1691" formatCode="m/d/yyyy">
                  <c:v>42358</c:v>
                </c:pt>
                <c:pt idx="1692" formatCode="m/d/yyyy">
                  <c:v>42359</c:v>
                </c:pt>
                <c:pt idx="1693" formatCode="m/d/yyyy">
                  <c:v>42360</c:v>
                </c:pt>
                <c:pt idx="1694" formatCode="m/d/yyyy">
                  <c:v>42361</c:v>
                </c:pt>
                <c:pt idx="1695" formatCode="m/d/yyyy">
                  <c:v>42362</c:v>
                </c:pt>
                <c:pt idx="1696" formatCode="m/d/yyyy">
                  <c:v>42363</c:v>
                </c:pt>
                <c:pt idx="1697" formatCode="m/d/yyyy">
                  <c:v>42364</c:v>
                </c:pt>
                <c:pt idx="1698" formatCode="m/d/yyyy">
                  <c:v>42365</c:v>
                </c:pt>
                <c:pt idx="1699" formatCode="m/d/yyyy">
                  <c:v>42366</c:v>
                </c:pt>
                <c:pt idx="1700" formatCode="m/d/yyyy">
                  <c:v>42367</c:v>
                </c:pt>
                <c:pt idx="1701" formatCode="m/d/yyyy">
                  <c:v>42368</c:v>
                </c:pt>
                <c:pt idx="1702" formatCode="m/d/yyyy">
                  <c:v>42369</c:v>
                </c:pt>
                <c:pt idx="1703" formatCode="m/d/yyyy">
                  <c:v>42370</c:v>
                </c:pt>
                <c:pt idx="1704" formatCode="m/d/yyyy">
                  <c:v>42371</c:v>
                </c:pt>
                <c:pt idx="1705" formatCode="m/d/yyyy">
                  <c:v>42372</c:v>
                </c:pt>
                <c:pt idx="1706" formatCode="m/d/yyyy">
                  <c:v>42373</c:v>
                </c:pt>
                <c:pt idx="1707" formatCode="m/d/yyyy">
                  <c:v>42374</c:v>
                </c:pt>
                <c:pt idx="1708" formatCode="m/d/yyyy">
                  <c:v>42375</c:v>
                </c:pt>
                <c:pt idx="1709" formatCode="m/d/yyyy">
                  <c:v>42376</c:v>
                </c:pt>
                <c:pt idx="1710" formatCode="m/d/yyyy">
                  <c:v>42377</c:v>
                </c:pt>
                <c:pt idx="1711" formatCode="m/d/yyyy">
                  <c:v>42378</c:v>
                </c:pt>
                <c:pt idx="1712" formatCode="m/d/yyyy">
                  <c:v>42379</c:v>
                </c:pt>
                <c:pt idx="1713" formatCode="m/d/yyyy">
                  <c:v>42380</c:v>
                </c:pt>
                <c:pt idx="1714" formatCode="m/d/yyyy">
                  <c:v>42381</c:v>
                </c:pt>
              </c:numCache>
            </c:numRef>
          </c:cat>
          <c:val>
            <c:numRef>
              <c:f>开工率!$B$2:$B$2500</c:f>
              <c:numCache>
                <c:formatCode>###,###,###,###,##0.00_ </c:formatCode>
                <c:ptCount val="2499"/>
                <c:pt idx="0">
                  <c:v>75</c:v>
                </c:pt>
                <c:pt idx="1">
                  <c:v>75</c:v>
                </c:pt>
                <c:pt idx="2">
                  <c:v>75</c:v>
                </c:pt>
                <c:pt idx="3">
                  <c:v>74</c:v>
                </c:pt>
                <c:pt idx="4">
                  <c:v>71</c:v>
                </c:pt>
                <c:pt idx="5">
                  <c:v>71</c:v>
                </c:pt>
                <c:pt idx="6">
                  <c:v>71</c:v>
                </c:pt>
                <c:pt idx="7">
                  <c:v>71</c:v>
                </c:pt>
                <c:pt idx="8">
                  <c:v>70</c:v>
                </c:pt>
                <c:pt idx="9">
                  <c:v>69</c:v>
                </c:pt>
                <c:pt idx="10">
                  <c:v>68</c:v>
                </c:pt>
                <c:pt idx="11">
                  <c:v>71</c:v>
                </c:pt>
                <c:pt idx="12">
                  <c:v>71</c:v>
                </c:pt>
                <c:pt idx="13">
                  <c:v>72</c:v>
                </c:pt>
                <c:pt idx="14">
                  <c:v>72</c:v>
                </c:pt>
                <c:pt idx="15">
                  <c:v>72</c:v>
                </c:pt>
                <c:pt idx="16">
                  <c:v>69</c:v>
                </c:pt>
                <c:pt idx="17">
                  <c:v>71</c:v>
                </c:pt>
                <c:pt idx="18">
                  <c:v>70</c:v>
                </c:pt>
                <c:pt idx="19">
                  <c:v>70</c:v>
                </c:pt>
                <c:pt idx="20">
                  <c:v>70</c:v>
                </c:pt>
                <c:pt idx="21">
                  <c:v>71</c:v>
                </c:pt>
                <c:pt idx="22">
                  <c:v>71</c:v>
                </c:pt>
                <c:pt idx="23">
                  <c:v>71</c:v>
                </c:pt>
                <c:pt idx="24">
                  <c:v>71</c:v>
                </c:pt>
                <c:pt idx="25">
                  <c:v>71</c:v>
                </c:pt>
                <c:pt idx="26">
                  <c:v>72.5</c:v>
                </c:pt>
                <c:pt idx="27">
                  <c:v>72.5</c:v>
                </c:pt>
                <c:pt idx="28">
                  <c:v>72.5</c:v>
                </c:pt>
                <c:pt idx="29">
                  <c:v>72.5</c:v>
                </c:pt>
                <c:pt idx="30">
                  <c:v>72.5</c:v>
                </c:pt>
                <c:pt idx="31">
                  <c:v>72.5</c:v>
                </c:pt>
                <c:pt idx="32">
                  <c:v>73.5</c:v>
                </c:pt>
                <c:pt idx="33">
                  <c:v>75.5</c:v>
                </c:pt>
                <c:pt idx="34">
                  <c:v>75.5</c:v>
                </c:pt>
                <c:pt idx="35">
                  <c:v>75.5</c:v>
                </c:pt>
                <c:pt idx="36">
                  <c:v>76</c:v>
                </c:pt>
                <c:pt idx="37">
                  <c:v>76</c:v>
                </c:pt>
                <c:pt idx="38">
                  <c:v>76.5</c:v>
                </c:pt>
                <c:pt idx="39">
                  <c:v>76.5</c:v>
                </c:pt>
                <c:pt idx="40">
                  <c:v>76.5</c:v>
                </c:pt>
                <c:pt idx="41">
                  <c:v>74.5</c:v>
                </c:pt>
                <c:pt idx="42">
                  <c:v>74.5</c:v>
                </c:pt>
                <c:pt idx="43">
                  <c:v>74.5</c:v>
                </c:pt>
                <c:pt idx="44">
                  <c:v>74.5</c:v>
                </c:pt>
                <c:pt idx="45">
                  <c:v>74.5</c:v>
                </c:pt>
                <c:pt idx="46">
                  <c:v>74.5</c:v>
                </c:pt>
                <c:pt idx="47">
                  <c:v>74.5</c:v>
                </c:pt>
                <c:pt idx="48">
                  <c:v>75</c:v>
                </c:pt>
                <c:pt idx="49">
                  <c:v>75</c:v>
                </c:pt>
                <c:pt idx="50">
                  <c:v>74.5</c:v>
                </c:pt>
                <c:pt idx="51">
                  <c:v>74.5</c:v>
                </c:pt>
                <c:pt idx="52">
                  <c:v>74.5</c:v>
                </c:pt>
                <c:pt idx="53">
                  <c:v>74.5</c:v>
                </c:pt>
                <c:pt idx="54">
                  <c:v>74.5</c:v>
                </c:pt>
                <c:pt idx="55">
                  <c:v>74.5</c:v>
                </c:pt>
                <c:pt idx="56">
                  <c:v>74.5</c:v>
                </c:pt>
                <c:pt idx="57">
                  <c:v>74.5</c:v>
                </c:pt>
                <c:pt idx="58">
                  <c:v>74.5</c:v>
                </c:pt>
                <c:pt idx="59">
                  <c:v>74.5</c:v>
                </c:pt>
                <c:pt idx="60">
                  <c:v>74.5</c:v>
                </c:pt>
                <c:pt idx="61">
                  <c:v>74.5</c:v>
                </c:pt>
                <c:pt idx="62">
                  <c:v>74.5</c:v>
                </c:pt>
                <c:pt idx="63">
                  <c:v>74.5</c:v>
                </c:pt>
                <c:pt idx="64">
                  <c:v>74.5</c:v>
                </c:pt>
                <c:pt idx="65">
                  <c:v>74.5</c:v>
                </c:pt>
                <c:pt idx="66">
                  <c:v>74.5</c:v>
                </c:pt>
                <c:pt idx="67">
                  <c:v>74.5</c:v>
                </c:pt>
                <c:pt idx="68">
                  <c:v>74.5</c:v>
                </c:pt>
                <c:pt idx="69">
                  <c:v>74.5</c:v>
                </c:pt>
                <c:pt idx="70">
                  <c:v>74.5</c:v>
                </c:pt>
                <c:pt idx="71">
                  <c:v>74.5</c:v>
                </c:pt>
                <c:pt idx="72">
                  <c:v>74.5</c:v>
                </c:pt>
                <c:pt idx="73">
                  <c:v>74.5</c:v>
                </c:pt>
                <c:pt idx="74">
                  <c:v>74.5</c:v>
                </c:pt>
                <c:pt idx="75">
                  <c:v>74.5</c:v>
                </c:pt>
                <c:pt idx="76">
                  <c:v>74</c:v>
                </c:pt>
                <c:pt idx="77">
                  <c:v>74</c:v>
                </c:pt>
                <c:pt idx="78">
                  <c:v>74</c:v>
                </c:pt>
                <c:pt idx="79">
                  <c:v>74</c:v>
                </c:pt>
                <c:pt idx="80">
                  <c:v>74</c:v>
                </c:pt>
                <c:pt idx="81">
                  <c:v>74</c:v>
                </c:pt>
                <c:pt idx="82">
                  <c:v>74</c:v>
                </c:pt>
                <c:pt idx="83">
                  <c:v>74</c:v>
                </c:pt>
                <c:pt idx="84">
                  <c:v>74.5</c:v>
                </c:pt>
                <c:pt idx="85">
                  <c:v>74.5</c:v>
                </c:pt>
                <c:pt idx="86">
                  <c:v>74.5</c:v>
                </c:pt>
                <c:pt idx="87">
                  <c:v>74.5</c:v>
                </c:pt>
                <c:pt idx="88">
                  <c:v>75</c:v>
                </c:pt>
                <c:pt idx="89">
                  <c:v>75</c:v>
                </c:pt>
                <c:pt idx="90">
                  <c:v>75</c:v>
                </c:pt>
                <c:pt idx="91">
                  <c:v>75</c:v>
                </c:pt>
                <c:pt idx="92">
                  <c:v>74.2</c:v>
                </c:pt>
                <c:pt idx="93">
                  <c:v>74.2</c:v>
                </c:pt>
                <c:pt idx="94">
                  <c:v>74.2</c:v>
                </c:pt>
                <c:pt idx="95">
                  <c:v>73</c:v>
                </c:pt>
                <c:pt idx="96">
                  <c:v>73</c:v>
                </c:pt>
                <c:pt idx="97">
                  <c:v>74</c:v>
                </c:pt>
                <c:pt idx="98">
                  <c:v>74</c:v>
                </c:pt>
                <c:pt idx="99">
                  <c:v>74</c:v>
                </c:pt>
                <c:pt idx="100">
                  <c:v>74.3</c:v>
                </c:pt>
                <c:pt idx="101">
                  <c:v>74.3</c:v>
                </c:pt>
                <c:pt idx="102">
                  <c:v>74.3</c:v>
                </c:pt>
                <c:pt idx="103">
                  <c:v>74.3</c:v>
                </c:pt>
                <c:pt idx="104">
                  <c:v>75</c:v>
                </c:pt>
                <c:pt idx="105">
                  <c:v>75</c:v>
                </c:pt>
                <c:pt idx="106">
                  <c:v>73.5</c:v>
                </c:pt>
                <c:pt idx="107">
                  <c:v>75.900000000000006</c:v>
                </c:pt>
                <c:pt idx="108">
                  <c:v>75.2</c:v>
                </c:pt>
                <c:pt idx="109">
                  <c:v>75.2</c:v>
                </c:pt>
                <c:pt idx="110">
                  <c:v>74.599999999999994</c:v>
                </c:pt>
                <c:pt idx="111">
                  <c:v>75.5</c:v>
                </c:pt>
                <c:pt idx="112">
                  <c:v>75.5</c:v>
                </c:pt>
                <c:pt idx="113">
                  <c:v>75.5</c:v>
                </c:pt>
                <c:pt idx="114">
                  <c:v>75.5</c:v>
                </c:pt>
                <c:pt idx="115">
                  <c:v>75.5</c:v>
                </c:pt>
                <c:pt idx="116">
                  <c:v>74.8</c:v>
                </c:pt>
                <c:pt idx="117">
                  <c:v>74.8</c:v>
                </c:pt>
                <c:pt idx="118">
                  <c:v>75.5</c:v>
                </c:pt>
                <c:pt idx="119">
                  <c:v>76</c:v>
                </c:pt>
                <c:pt idx="120">
                  <c:v>76</c:v>
                </c:pt>
                <c:pt idx="121">
                  <c:v>76</c:v>
                </c:pt>
                <c:pt idx="122">
                  <c:v>76</c:v>
                </c:pt>
                <c:pt idx="123">
                  <c:v>76</c:v>
                </c:pt>
                <c:pt idx="124">
                  <c:v>76</c:v>
                </c:pt>
                <c:pt idx="125">
                  <c:v>76</c:v>
                </c:pt>
                <c:pt idx="126">
                  <c:v>76</c:v>
                </c:pt>
                <c:pt idx="127">
                  <c:v>76</c:v>
                </c:pt>
                <c:pt idx="128">
                  <c:v>77</c:v>
                </c:pt>
                <c:pt idx="129">
                  <c:v>76</c:v>
                </c:pt>
                <c:pt idx="130">
                  <c:v>76</c:v>
                </c:pt>
                <c:pt idx="131">
                  <c:v>76</c:v>
                </c:pt>
                <c:pt idx="132">
                  <c:v>76</c:v>
                </c:pt>
                <c:pt idx="133">
                  <c:v>76</c:v>
                </c:pt>
                <c:pt idx="134">
                  <c:v>77</c:v>
                </c:pt>
                <c:pt idx="135">
                  <c:v>77</c:v>
                </c:pt>
                <c:pt idx="136">
                  <c:v>78</c:v>
                </c:pt>
                <c:pt idx="137">
                  <c:v>78.5</c:v>
                </c:pt>
                <c:pt idx="138">
                  <c:v>78.5</c:v>
                </c:pt>
                <c:pt idx="139">
                  <c:v>78</c:v>
                </c:pt>
                <c:pt idx="140">
                  <c:v>77</c:v>
                </c:pt>
                <c:pt idx="141">
                  <c:v>76</c:v>
                </c:pt>
                <c:pt idx="142">
                  <c:v>76</c:v>
                </c:pt>
                <c:pt idx="143">
                  <c:v>76.8</c:v>
                </c:pt>
                <c:pt idx="144">
                  <c:v>76.8</c:v>
                </c:pt>
                <c:pt idx="145">
                  <c:v>76.8</c:v>
                </c:pt>
                <c:pt idx="146">
                  <c:v>76.8</c:v>
                </c:pt>
                <c:pt idx="147">
                  <c:v>76.8</c:v>
                </c:pt>
                <c:pt idx="148">
                  <c:v>76.8</c:v>
                </c:pt>
                <c:pt idx="149">
                  <c:v>76.8</c:v>
                </c:pt>
                <c:pt idx="150">
                  <c:v>76.8</c:v>
                </c:pt>
                <c:pt idx="151">
                  <c:v>76</c:v>
                </c:pt>
                <c:pt idx="152">
                  <c:v>76</c:v>
                </c:pt>
                <c:pt idx="153">
                  <c:v>76</c:v>
                </c:pt>
                <c:pt idx="154">
                  <c:v>76</c:v>
                </c:pt>
                <c:pt idx="155">
                  <c:v>76</c:v>
                </c:pt>
                <c:pt idx="156">
                  <c:v>76</c:v>
                </c:pt>
                <c:pt idx="157">
                  <c:v>76</c:v>
                </c:pt>
                <c:pt idx="158">
                  <c:v>76</c:v>
                </c:pt>
                <c:pt idx="159">
                  <c:v>76</c:v>
                </c:pt>
                <c:pt idx="160">
                  <c:v>76</c:v>
                </c:pt>
                <c:pt idx="161">
                  <c:v>76.8</c:v>
                </c:pt>
                <c:pt idx="162">
                  <c:v>76.8</c:v>
                </c:pt>
                <c:pt idx="163">
                  <c:v>76</c:v>
                </c:pt>
                <c:pt idx="164">
                  <c:v>76</c:v>
                </c:pt>
                <c:pt idx="165">
                  <c:v>76</c:v>
                </c:pt>
                <c:pt idx="166">
                  <c:v>76</c:v>
                </c:pt>
                <c:pt idx="167">
                  <c:v>76</c:v>
                </c:pt>
                <c:pt idx="168">
                  <c:v>76</c:v>
                </c:pt>
                <c:pt idx="169">
                  <c:v>76</c:v>
                </c:pt>
                <c:pt idx="170">
                  <c:v>76.3</c:v>
                </c:pt>
                <c:pt idx="171">
                  <c:v>76.3</c:v>
                </c:pt>
                <c:pt idx="172">
                  <c:v>76.3</c:v>
                </c:pt>
                <c:pt idx="173">
                  <c:v>76.3</c:v>
                </c:pt>
                <c:pt idx="174">
                  <c:v>76.099999999999994</c:v>
                </c:pt>
                <c:pt idx="175">
                  <c:v>75.900000000000006</c:v>
                </c:pt>
                <c:pt idx="176">
                  <c:v>75.7</c:v>
                </c:pt>
                <c:pt idx="177">
                  <c:v>75.5</c:v>
                </c:pt>
                <c:pt idx="178">
                  <c:v>75.5</c:v>
                </c:pt>
                <c:pt idx="179">
                  <c:v>75.5</c:v>
                </c:pt>
                <c:pt idx="180">
                  <c:v>75.5</c:v>
                </c:pt>
                <c:pt idx="181">
                  <c:v>74.5</c:v>
                </c:pt>
                <c:pt idx="182">
                  <c:v>74.5</c:v>
                </c:pt>
                <c:pt idx="183">
                  <c:v>74.5</c:v>
                </c:pt>
                <c:pt idx="184">
                  <c:v>74.5</c:v>
                </c:pt>
                <c:pt idx="185">
                  <c:v>74.5</c:v>
                </c:pt>
                <c:pt idx="186">
                  <c:v>74.5</c:v>
                </c:pt>
                <c:pt idx="187">
                  <c:v>74.5</c:v>
                </c:pt>
                <c:pt idx="188">
                  <c:v>74.5</c:v>
                </c:pt>
                <c:pt idx="189">
                  <c:v>74.2</c:v>
                </c:pt>
                <c:pt idx="190">
                  <c:v>75.7</c:v>
                </c:pt>
                <c:pt idx="191">
                  <c:v>75.7</c:v>
                </c:pt>
                <c:pt idx="192">
                  <c:v>76.400000000000006</c:v>
                </c:pt>
                <c:pt idx="193">
                  <c:v>76.400000000000006</c:v>
                </c:pt>
                <c:pt idx="194">
                  <c:v>76.400000000000006</c:v>
                </c:pt>
                <c:pt idx="195">
                  <c:v>76.400000000000006</c:v>
                </c:pt>
                <c:pt idx="196">
                  <c:v>76.400000000000006</c:v>
                </c:pt>
                <c:pt idx="197">
                  <c:v>76.400000000000006</c:v>
                </c:pt>
                <c:pt idx="198">
                  <c:v>76.400000000000006</c:v>
                </c:pt>
                <c:pt idx="199">
                  <c:v>76.400000000000006</c:v>
                </c:pt>
                <c:pt idx="200">
                  <c:v>76.2</c:v>
                </c:pt>
                <c:pt idx="201">
                  <c:v>76.2</c:v>
                </c:pt>
                <c:pt idx="202">
                  <c:v>75.7</c:v>
                </c:pt>
                <c:pt idx="203">
                  <c:v>75.7</c:v>
                </c:pt>
                <c:pt idx="204">
                  <c:v>75.7</c:v>
                </c:pt>
                <c:pt idx="205">
                  <c:v>76</c:v>
                </c:pt>
                <c:pt idx="206">
                  <c:v>76</c:v>
                </c:pt>
                <c:pt idx="207">
                  <c:v>76</c:v>
                </c:pt>
                <c:pt idx="208">
                  <c:v>76</c:v>
                </c:pt>
                <c:pt idx="209">
                  <c:v>76</c:v>
                </c:pt>
                <c:pt idx="210">
                  <c:v>76</c:v>
                </c:pt>
                <c:pt idx="211">
                  <c:v>76</c:v>
                </c:pt>
                <c:pt idx="212">
                  <c:v>76</c:v>
                </c:pt>
                <c:pt idx="213">
                  <c:v>76</c:v>
                </c:pt>
                <c:pt idx="214">
                  <c:v>76</c:v>
                </c:pt>
                <c:pt idx="215">
                  <c:v>77</c:v>
                </c:pt>
                <c:pt idx="216">
                  <c:v>77</c:v>
                </c:pt>
                <c:pt idx="217">
                  <c:v>77</c:v>
                </c:pt>
                <c:pt idx="218">
                  <c:v>77</c:v>
                </c:pt>
                <c:pt idx="219">
                  <c:v>77.5</c:v>
                </c:pt>
                <c:pt idx="220">
                  <c:v>78</c:v>
                </c:pt>
                <c:pt idx="221">
                  <c:v>78.7</c:v>
                </c:pt>
                <c:pt idx="222">
                  <c:v>78.5</c:v>
                </c:pt>
                <c:pt idx="223">
                  <c:v>78.5</c:v>
                </c:pt>
                <c:pt idx="224">
                  <c:v>78.5</c:v>
                </c:pt>
                <c:pt idx="225">
                  <c:v>78.5</c:v>
                </c:pt>
                <c:pt idx="226">
                  <c:v>78.5</c:v>
                </c:pt>
                <c:pt idx="227">
                  <c:v>76.3</c:v>
                </c:pt>
                <c:pt idx="228">
                  <c:v>76.3</c:v>
                </c:pt>
                <c:pt idx="229">
                  <c:v>75.599999999999994</c:v>
                </c:pt>
                <c:pt idx="230">
                  <c:v>75.599999999999994</c:v>
                </c:pt>
                <c:pt idx="231">
                  <c:v>75.599999999999994</c:v>
                </c:pt>
                <c:pt idx="232">
                  <c:v>75.599999999999994</c:v>
                </c:pt>
                <c:pt idx="233">
                  <c:v>74.099999999999994</c:v>
                </c:pt>
                <c:pt idx="234">
                  <c:v>74.099999999999994</c:v>
                </c:pt>
                <c:pt idx="235">
                  <c:v>74.5</c:v>
                </c:pt>
                <c:pt idx="236">
                  <c:v>74.5</c:v>
                </c:pt>
                <c:pt idx="237">
                  <c:v>74.5</c:v>
                </c:pt>
                <c:pt idx="238">
                  <c:v>73.8</c:v>
                </c:pt>
                <c:pt idx="239">
                  <c:v>74.900000000000006</c:v>
                </c:pt>
                <c:pt idx="240">
                  <c:v>74.900000000000006</c:v>
                </c:pt>
                <c:pt idx="241">
                  <c:v>74.900000000000006</c:v>
                </c:pt>
                <c:pt idx="242">
                  <c:v>74.900000000000006</c:v>
                </c:pt>
                <c:pt idx="243">
                  <c:v>73.900000000000006</c:v>
                </c:pt>
                <c:pt idx="244">
                  <c:v>72.900000000000006</c:v>
                </c:pt>
                <c:pt idx="245">
                  <c:v>72.599999999999994</c:v>
                </c:pt>
                <c:pt idx="246">
                  <c:v>72.599999999999994</c:v>
                </c:pt>
                <c:pt idx="247">
                  <c:v>72.599999999999994</c:v>
                </c:pt>
                <c:pt idx="248">
                  <c:v>73.3</c:v>
                </c:pt>
                <c:pt idx="249">
                  <c:v>73.900000000000006</c:v>
                </c:pt>
                <c:pt idx="250">
                  <c:v>73.900000000000006</c:v>
                </c:pt>
                <c:pt idx="251">
                  <c:v>73.900000000000006</c:v>
                </c:pt>
                <c:pt idx="252">
                  <c:v>74.2</c:v>
                </c:pt>
                <c:pt idx="253">
                  <c:v>74.2</c:v>
                </c:pt>
                <c:pt idx="254">
                  <c:v>74.2</c:v>
                </c:pt>
                <c:pt idx="255">
                  <c:v>74.2</c:v>
                </c:pt>
                <c:pt idx="256">
                  <c:v>74.2</c:v>
                </c:pt>
                <c:pt idx="257">
                  <c:v>72.8</c:v>
                </c:pt>
                <c:pt idx="258">
                  <c:v>72.3</c:v>
                </c:pt>
                <c:pt idx="259">
                  <c:v>72.3</c:v>
                </c:pt>
                <c:pt idx="260">
                  <c:v>72.3</c:v>
                </c:pt>
                <c:pt idx="261">
                  <c:v>73.8</c:v>
                </c:pt>
                <c:pt idx="262">
                  <c:v>74.099999999999994</c:v>
                </c:pt>
                <c:pt idx="263">
                  <c:v>74.8</c:v>
                </c:pt>
                <c:pt idx="264">
                  <c:v>75.5</c:v>
                </c:pt>
                <c:pt idx="265">
                  <c:v>74.599999999999994</c:v>
                </c:pt>
                <c:pt idx="266">
                  <c:v>74.599999999999994</c:v>
                </c:pt>
                <c:pt idx="267">
                  <c:v>74.599999999999994</c:v>
                </c:pt>
                <c:pt idx="268">
                  <c:v>74.599999999999994</c:v>
                </c:pt>
                <c:pt idx="269">
                  <c:v>74.599999999999994</c:v>
                </c:pt>
                <c:pt idx="270">
                  <c:v>74.5</c:v>
                </c:pt>
                <c:pt idx="271">
                  <c:v>74.5</c:v>
                </c:pt>
                <c:pt idx="272">
                  <c:v>75.3</c:v>
                </c:pt>
                <c:pt idx="273">
                  <c:v>75.3</c:v>
                </c:pt>
                <c:pt idx="274">
                  <c:v>75.3</c:v>
                </c:pt>
                <c:pt idx="275">
                  <c:v>76.599999999999994</c:v>
                </c:pt>
                <c:pt idx="276">
                  <c:v>76.599999999999994</c:v>
                </c:pt>
                <c:pt idx="277">
                  <c:v>76.599999999999994</c:v>
                </c:pt>
                <c:pt idx="278">
                  <c:v>76.599999999999994</c:v>
                </c:pt>
                <c:pt idx="279">
                  <c:v>76.599999999999994</c:v>
                </c:pt>
                <c:pt idx="280">
                  <c:v>76.599999999999994</c:v>
                </c:pt>
                <c:pt idx="281">
                  <c:v>77.599999999999994</c:v>
                </c:pt>
                <c:pt idx="282">
                  <c:v>76.900000000000006</c:v>
                </c:pt>
                <c:pt idx="283">
                  <c:v>76.900000000000006</c:v>
                </c:pt>
                <c:pt idx="284">
                  <c:v>77.599999999999994</c:v>
                </c:pt>
                <c:pt idx="285">
                  <c:v>77.599999999999994</c:v>
                </c:pt>
                <c:pt idx="286">
                  <c:v>77.599999999999994</c:v>
                </c:pt>
                <c:pt idx="287">
                  <c:v>77.599999999999994</c:v>
                </c:pt>
                <c:pt idx="288">
                  <c:v>77.599999999999994</c:v>
                </c:pt>
                <c:pt idx="289">
                  <c:v>77.599999999999994</c:v>
                </c:pt>
                <c:pt idx="290">
                  <c:v>77.099999999999994</c:v>
                </c:pt>
                <c:pt idx="291">
                  <c:v>77.099999999999994</c:v>
                </c:pt>
                <c:pt idx="292">
                  <c:v>75.599999999999994</c:v>
                </c:pt>
                <c:pt idx="293">
                  <c:v>75.599999999999994</c:v>
                </c:pt>
                <c:pt idx="294">
                  <c:v>75.599999999999994</c:v>
                </c:pt>
                <c:pt idx="295">
                  <c:v>75.599999999999994</c:v>
                </c:pt>
                <c:pt idx="296">
                  <c:v>75.599999999999994</c:v>
                </c:pt>
                <c:pt idx="297">
                  <c:v>75.599999999999994</c:v>
                </c:pt>
                <c:pt idx="298">
                  <c:v>75.599999999999994</c:v>
                </c:pt>
                <c:pt idx="299">
                  <c:v>75.599999999999994</c:v>
                </c:pt>
                <c:pt idx="300">
                  <c:v>75.599999999999994</c:v>
                </c:pt>
                <c:pt idx="301">
                  <c:v>77.8</c:v>
                </c:pt>
                <c:pt idx="302">
                  <c:v>77.8</c:v>
                </c:pt>
                <c:pt idx="303">
                  <c:v>77.8</c:v>
                </c:pt>
                <c:pt idx="304">
                  <c:v>77.8</c:v>
                </c:pt>
                <c:pt idx="305">
                  <c:v>77.8</c:v>
                </c:pt>
                <c:pt idx="306">
                  <c:v>79</c:v>
                </c:pt>
                <c:pt idx="307">
                  <c:v>79</c:v>
                </c:pt>
                <c:pt idx="308">
                  <c:v>80.5</c:v>
                </c:pt>
                <c:pt idx="309">
                  <c:v>80.5</c:v>
                </c:pt>
                <c:pt idx="310">
                  <c:v>80.5</c:v>
                </c:pt>
                <c:pt idx="311">
                  <c:v>79</c:v>
                </c:pt>
                <c:pt idx="312">
                  <c:v>79</c:v>
                </c:pt>
                <c:pt idx="313">
                  <c:v>79</c:v>
                </c:pt>
                <c:pt idx="314">
                  <c:v>78.3</c:v>
                </c:pt>
                <c:pt idx="315">
                  <c:v>78.3</c:v>
                </c:pt>
                <c:pt idx="316">
                  <c:v>78.3</c:v>
                </c:pt>
                <c:pt idx="317">
                  <c:v>78.3</c:v>
                </c:pt>
                <c:pt idx="318">
                  <c:v>78.3</c:v>
                </c:pt>
                <c:pt idx="319">
                  <c:v>79.900000000000006</c:v>
                </c:pt>
                <c:pt idx="320">
                  <c:v>79.900000000000006</c:v>
                </c:pt>
                <c:pt idx="321">
                  <c:v>80</c:v>
                </c:pt>
                <c:pt idx="322">
                  <c:v>80</c:v>
                </c:pt>
                <c:pt idx="323">
                  <c:v>80</c:v>
                </c:pt>
                <c:pt idx="324">
                  <c:v>80</c:v>
                </c:pt>
                <c:pt idx="325">
                  <c:v>80</c:v>
                </c:pt>
                <c:pt idx="326">
                  <c:v>80</c:v>
                </c:pt>
                <c:pt idx="327">
                  <c:v>80</c:v>
                </c:pt>
                <c:pt idx="328">
                  <c:v>80</c:v>
                </c:pt>
                <c:pt idx="329">
                  <c:v>80</c:v>
                </c:pt>
                <c:pt idx="330">
                  <c:v>81.8</c:v>
                </c:pt>
                <c:pt idx="331">
                  <c:v>81.8</c:v>
                </c:pt>
                <c:pt idx="332">
                  <c:v>81.5</c:v>
                </c:pt>
                <c:pt idx="333">
                  <c:v>80.599999999999994</c:v>
                </c:pt>
                <c:pt idx="334">
                  <c:v>80.599999999999994</c:v>
                </c:pt>
                <c:pt idx="335">
                  <c:v>80.599999999999994</c:v>
                </c:pt>
                <c:pt idx="336">
                  <c:v>80.599999999999994</c:v>
                </c:pt>
                <c:pt idx="337">
                  <c:v>81.2</c:v>
                </c:pt>
                <c:pt idx="338">
                  <c:v>81.2</c:v>
                </c:pt>
                <c:pt idx="339">
                  <c:v>81.900000000000006</c:v>
                </c:pt>
                <c:pt idx="340">
                  <c:v>81.900000000000006</c:v>
                </c:pt>
                <c:pt idx="341">
                  <c:v>81.900000000000006</c:v>
                </c:pt>
                <c:pt idx="342">
                  <c:v>81.2</c:v>
                </c:pt>
                <c:pt idx="343">
                  <c:v>81.2</c:v>
                </c:pt>
                <c:pt idx="344">
                  <c:v>81.2</c:v>
                </c:pt>
                <c:pt idx="345">
                  <c:v>81.2</c:v>
                </c:pt>
                <c:pt idx="346">
                  <c:v>81.2</c:v>
                </c:pt>
                <c:pt idx="347">
                  <c:v>81.2</c:v>
                </c:pt>
                <c:pt idx="348">
                  <c:v>81.2</c:v>
                </c:pt>
                <c:pt idx="349">
                  <c:v>80.5</c:v>
                </c:pt>
                <c:pt idx="350">
                  <c:v>80.5</c:v>
                </c:pt>
                <c:pt idx="351">
                  <c:v>80.5</c:v>
                </c:pt>
                <c:pt idx="352">
                  <c:v>80.5</c:v>
                </c:pt>
                <c:pt idx="353">
                  <c:v>81</c:v>
                </c:pt>
                <c:pt idx="354">
                  <c:v>81.8</c:v>
                </c:pt>
                <c:pt idx="355">
                  <c:v>81.8</c:v>
                </c:pt>
                <c:pt idx="356">
                  <c:v>81.8</c:v>
                </c:pt>
                <c:pt idx="357">
                  <c:v>81.5</c:v>
                </c:pt>
                <c:pt idx="358">
                  <c:v>81.5</c:v>
                </c:pt>
                <c:pt idx="359">
                  <c:v>81</c:v>
                </c:pt>
                <c:pt idx="360">
                  <c:v>81</c:v>
                </c:pt>
                <c:pt idx="361">
                  <c:v>81</c:v>
                </c:pt>
                <c:pt idx="362">
                  <c:v>81</c:v>
                </c:pt>
                <c:pt idx="363">
                  <c:v>81</c:v>
                </c:pt>
                <c:pt idx="364">
                  <c:v>81</c:v>
                </c:pt>
                <c:pt idx="365">
                  <c:v>81</c:v>
                </c:pt>
                <c:pt idx="366">
                  <c:v>82</c:v>
                </c:pt>
                <c:pt idx="367">
                  <c:v>82</c:v>
                </c:pt>
                <c:pt idx="368">
                  <c:v>82</c:v>
                </c:pt>
                <c:pt idx="369">
                  <c:v>82</c:v>
                </c:pt>
                <c:pt idx="370">
                  <c:v>82.4</c:v>
                </c:pt>
                <c:pt idx="371">
                  <c:v>81</c:v>
                </c:pt>
                <c:pt idx="372">
                  <c:v>82</c:v>
                </c:pt>
                <c:pt idx="373">
                  <c:v>82.8</c:v>
                </c:pt>
                <c:pt idx="374">
                  <c:v>82.8</c:v>
                </c:pt>
                <c:pt idx="375">
                  <c:v>82.8</c:v>
                </c:pt>
                <c:pt idx="376">
                  <c:v>81.5</c:v>
                </c:pt>
                <c:pt idx="377">
                  <c:v>81.5</c:v>
                </c:pt>
                <c:pt idx="378">
                  <c:v>81.5</c:v>
                </c:pt>
                <c:pt idx="379">
                  <c:v>81.5</c:v>
                </c:pt>
                <c:pt idx="380">
                  <c:v>83.4</c:v>
                </c:pt>
                <c:pt idx="381">
                  <c:v>83.4</c:v>
                </c:pt>
                <c:pt idx="382">
                  <c:v>82.5</c:v>
                </c:pt>
                <c:pt idx="383">
                  <c:v>82.5</c:v>
                </c:pt>
                <c:pt idx="384">
                  <c:v>82.5</c:v>
                </c:pt>
                <c:pt idx="385">
                  <c:v>82.5</c:v>
                </c:pt>
                <c:pt idx="386">
                  <c:v>81.8</c:v>
                </c:pt>
                <c:pt idx="387">
                  <c:v>81.8</c:v>
                </c:pt>
                <c:pt idx="388">
                  <c:v>82.4</c:v>
                </c:pt>
                <c:pt idx="389">
                  <c:v>82.4</c:v>
                </c:pt>
                <c:pt idx="390">
                  <c:v>82.4</c:v>
                </c:pt>
                <c:pt idx="391">
                  <c:v>82.4</c:v>
                </c:pt>
                <c:pt idx="392">
                  <c:v>83.1</c:v>
                </c:pt>
                <c:pt idx="393">
                  <c:v>83.1</c:v>
                </c:pt>
                <c:pt idx="394">
                  <c:v>83.7</c:v>
                </c:pt>
                <c:pt idx="395">
                  <c:v>83.7</c:v>
                </c:pt>
                <c:pt idx="396">
                  <c:v>83.7</c:v>
                </c:pt>
                <c:pt idx="397">
                  <c:v>83.7</c:v>
                </c:pt>
                <c:pt idx="398">
                  <c:v>83.7</c:v>
                </c:pt>
                <c:pt idx="399">
                  <c:v>82.5</c:v>
                </c:pt>
                <c:pt idx="400">
                  <c:v>81.599999999999994</c:v>
                </c:pt>
                <c:pt idx="401">
                  <c:v>81.599999999999994</c:v>
                </c:pt>
                <c:pt idx="402">
                  <c:v>81.599999999999994</c:v>
                </c:pt>
                <c:pt idx="403">
                  <c:v>81.599999999999994</c:v>
                </c:pt>
                <c:pt idx="404">
                  <c:v>81.599999999999994</c:v>
                </c:pt>
                <c:pt idx="405">
                  <c:v>81.599999999999994</c:v>
                </c:pt>
                <c:pt idx="406">
                  <c:v>81.599999999999994</c:v>
                </c:pt>
                <c:pt idx="407">
                  <c:v>83</c:v>
                </c:pt>
                <c:pt idx="408">
                  <c:v>83</c:v>
                </c:pt>
                <c:pt idx="409">
                  <c:v>83</c:v>
                </c:pt>
                <c:pt idx="410">
                  <c:v>83</c:v>
                </c:pt>
                <c:pt idx="411">
                  <c:v>83</c:v>
                </c:pt>
                <c:pt idx="412">
                  <c:v>83</c:v>
                </c:pt>
                <c:pt idx="413">
                  <c:v>83</c:v>
                </c:pt>
                <c:pt idx="414">
                  <c:v>83</c:v>
                </c:pt>
                <c:pt idx="415">
                  <c:v>83</c:v>
                </c:pt>
                <c:pt idx="416">
                  <c:v>83</c:v>
                </c:pt>
                <c:pt idx="417">
                  <c:v>83</c:v>
                </c:pt>
                <c:pt idx="418">
                  <c:v>84</c:v>
                </c:pt>
                <c:pt idx="419">
                  <c:v>84</c:v>
                </c:pt>
                <c:pt idx="420">
                  <c:v>84</c:v>
                </c:pt>
                <c:pt idx="421">
                  <c:v>85</c:v>
                </c:pt>
                <c:pt idx="422">
                  <c:v>85</c:v>
                </c:pt>
                <c:pt idx="423">
                  <c:v>85</c:v>
                </c:pt>
                <c:pt idx="424">
                  <c:v>85</c:v>
                </c:pt>
                <c:pt idx="425">
                  <c:v>85</c:v>
                </c:pt>
                <c:pt idx="426">
                  <c:v>85</c:v>
                </c:pt>
                <c:pt idx="427">
                  <c:v>85</c:v>
                </c:pt>
                <c:pt idx="428">
                  <c:v>85</c:v>
                </c:pt>
                <c:pt idx="429">
                  <c:v>85</c:v>
                </c:pt>
                <c:pt idx="430">
                  <c:v>85</c:v>
                </c:pt>
                <c:pt idx="431">
                  <c:v>85</c:v>
                </c:pt>
                <c:pt idx="432">
                  <c:v>85</c:v>
                </c:pt>
                <c:pt idx="433">
                  <c:v>84</c:v>
                </c:pt>
                <c:pt idx="434">
                  <c:v>84</c:v>
                </c:pt>
                <c:pt idx="435">
                  <c:v>84</c:v>
                </c:pt>
                <c:pt idx="436">
                  <c:v>84</c:v>
                </c:pt>
                <c:pt idx="437">
                  <c:v>84</c:v>
                </c:pt>
                <c:pt idx="438">
                  <c:v>84</c:v>
                </c:pt>
                <c:pt idx="439">
                  <c:v>84</c:v>
                </c:pt>
                <c:pt idx="440">
                  <c:v>84</c:v>
                </c:pt>
                <c:pt idx="441">
                  <c:v>84</c:v>
                </c:pt>
                <c:pt idx="442">
                  <c:v>84</c:v>
                </c:pt>
                <c:pt idx="443">
                  <c:v>84</c:v>
                </c:pt>
                <c:pt idx="444">
                  <c:v>84</c:v>
                </c:pt>
                <c:pt idx="445">
                  <c:v>84</c:v>
                </c:pt>
                <c:pt idx="446">
                  <c:v>84</c:v>
                </c:pt>
                <c:pt idx="447">
                  <c:v>84</c:v>
                </c:pt>
                <c:pt idx="448">
                  <c:v>84</c:v>
                </c:pt>
                <c:pt idx="449">
                  <c:v>84</c:v>
                </c:pt>
                <c:pt idx="450">
                  <c:v>84</c:v>
                </c:pt>
                <c:pt idx="451">
                  <c:v>84</c:v>
                </c:pt>
                <c:pt idx="452">
                  <c:v>84</c:v>
                </c:pt>
                <c:pt idx="453">
                  <c:v>84</c:v>
                </c:pt>
                <c:pt idx="454">
                  <c:v>84</c:v>
                </c:pt>
                <c:pt idx="455">
                  <c:v>84</c:v>
                </c:pt>
                <c:pt idx="456">
                  <c:v>84</c:v>
                </c:pt>
                <c:pt idx="457">
                  <c:v>84</c:v>
                </c:pt>
                <c:pt idx="458">
                  <c:v>82</c:v>
                </c:pt>
                <c:pt idx="459">
                  <c:v>80</c:v>
                </c:pt>
                <c:pt idx="460">
                  <c:v>80</c:v>
                </c:pt>
                <c:pt idx="461">
                  <c:v>80</c:v>
                </c:pt>
                <c:pt idx="462">
                  <c:v>80</c:v>
                </c:pt>
                <c:pt idx="463">
                  <c:v>80</c:v>
                </c:pt>
                <c:pt idx="464">
                  <c:v>80</c:v>
                </c:pt>
                <c:pt idx="465">
                  <c:v>80</c:v>
                </c:pt>
                <c:pt idx="466">
                  <c:v>80</c:v>
                </c:pt>
                <c:pt idx="467">
                  <c:v>80</c:v>
                </c:pt>
                <c:pt idx="468">
                  <c:v>73.8</c:v>
                </c:pt>
                <c:pt idx="469">
                  <c:v>82</c:v>
                </c:pt>
                <c:pt idx="470">
                  <c:v>81</c:v>
                </c:pt>
                <c:pt idx="471">
                  <c:v>81</c:v>
                </c:pt>
                <c:pt idx="472">
                  <c:v>81</c:v>
                </c:pt>
                <c:pt idx="473">
                  <c:v>81</c:v>
                </c:pt>
                <c:pt idx="474">
                  <c:v>81</c:v>
                </c:pt>
                <c:pt idx="475">
                  <c:v>82</c:v>
                </c:pt>
                <c:pt idx="476">
                  <c:v>83</c:v>
                </c:pt>
                <c:pt idx="477">
                  <c:v>83</c:v>
                </c:pt>
                <c:pt idx="478">
                  <c:v>83</c:v>
                </c:pt>
                <c:pt idx="479">
                  <c:v>83</c:v>
                </c:pt>
                <c:pt idx="480">
                  <c:v>83</c:v>
                </c:pt>
                <c:pt idx="481">
                  <c:v>83.5</c:v>
                </c:pt>
                <c:pt idx="482">
                  <c:v>83.5</c:v>
                </c:pt>
                <c:pt idx="483">
                  <c:v>84.5</c:v>
                </c:pt>
                <c:pt idx="484">
                  <c:v>84.4</c:v>
                </c:pt>
                <c:pt idx="485">
                  <c:v>84.4</c:v>
                </c:pt>
                <c:pt idx="486">
                  <c:v>84.4</c:v>
                </c:pt>
                <c:pt idx="487">
                  <c:v>85.5</c:v>
                </c:pt>
                <c:pt idx="488">
                  <c:v>84.9</c:v>
                </c:pt>
                <c:pt idx="489">
                  <c:v>84.3</c:v>
                </c:pt>
                <c:pt idx="490">
                  <c:v>84.5</c:v>
                </c:pt>
                <c:pt idx="491">
                  <c:v>84.3</c:v>
                </c:pt>
                <c:pt idx="492">
                  <c:v>83.4</c:v>
                </c:pt>
                <c:pt idx="493">
                  <c:v>83.4</c:v>
                </c:pt>
                <c:pt idx="494">
                  <c:v>82.7</c:v>
                </c:pt>
                <c:pt idx="495">
                  <c:v>82</c:v>
                </c:pt>
                <c:pt idx="496">
                  <c:v>82</c:v>
                </c:pt>
                <c:pt idx="497">
                  <c:v>82</c:v>
                </c:pt>
                <c:pt idx="498">
                  <c:v>82.4</c:v>
                </c:pt>
                <c:pt idx="499">
                  <c:v>82.4</c:v>
                </c:pt>
                <c:pt idx="500">
                  <c:v>82.4</c:v>
                </c:pt>
                <c:pt idx="501">
                  <c:v>82.4</c:v>
                </c:pt>
                <c:pt idx="502">
                  <c:v>82.4</c:v>
                </c:pt>
                <c:pt idx="503">
                  <c:v>82.4</c:v>
                </c:pt>
                <c:pt idx="504">
                  <c:v>83.8</c:v>
                </c:pt>
                <c:pt idx="505">
                  <c:v>84.3</c:v>
                </c:pt>
                <c:pt idx="506">
                  <c:v>85.5</c:v>
                </c:pt>
                <c:pt idx="507">
                  <c:v>84.6</c:v>
                </c:pt>
                <c:pt idx="508">
                  <c:v>84.6</c:v>
                </c:pt>
                <c:pt idx="509">
                  <c:v>84.6</c:v>
                </c:pt>
                <c:pt idx="510">
                  <c:v>84.6</c:v>
                </c:pt>
                <c:pt idx="511">
                  <c:v>84.6</c:v>
                </c:pt>
                <c:pt idx="512">
                  <c:v>84</c:v>
                </c:pt>
                <c:pt idx="513">
                  <c:v>82.6</c:v>
                </c:pt>
                <c:pt idx="514">
                  <c:v>82.6</c:v>
                </c:pt>
                <c:pt idx="515">
                  <c:v>82.6</c:v>
                </c:pt>
                <c:pt idx="516">
                  <c:v>83.2</c:v>
                </c:pt>
                <c:pt idx="517">
                  <c:v>83.2</c:v>
                </c:pt>
                <c:pt idx="518">
                  <c:v>83.2</c:v>
                </c:pt>
                <c:pt idx="519">
                  <c:v>83.2</c:v>
                </c:pt>
                <c:pt idx="520">
                  <c:v>83.2</c:v>
                </c:pt>
                <c:pt idx="521">
                  <c:v>83.2</c:v>
                </c:pt>
                <c:pt idx="522">
                  <c:v>83.2</c:v>
                </c:pt>
                <c:pt idx="523">
                  <c:v>83.9</c:v>
                </c:pt>
                <c:pt idx="524">
                  <c:v>83.9</c:v>
                </c:pt>
                <c:pt idx="525">
                  <c:v>83.9</c:v>
                </c:pt>
                <c:pt idx="526">
                  <c:v>84.2</c:v>
                </c:pt>
                <c:pt idx="527">
                  <c:v>84.2</c:v>
                </c:pt>
                <c:pt idx="528">
                  <c:v>84.2</c:v>
                </c:pt>
                <c:pt idx="529">
                  <c:v>84.2</c:v>
                </c:pt>
                <c:pt idx="530">
                  <c:v>84.2</c:v>
                </c:pt>
                <c:pt idx="531">
                  <c:v>84.2</c:v>
                </c:pt>
                <c:pt idx="532">
                  <c:v>84.2</c:v>
                </c:pt>
                <c:pt idx="533">
                  <c:v>83.5</c:v>
                </c:pt>
                <c:pt idx="534">
                  <c:v>83.5</c:v>
                </c:pt>
                <c:pt idx="535">
                  <c:v>83.5</c:v>
                </c:pt>
                <c:pt idx="536">
                  <c:v>83.5</c:v>
                </c:pt>
                <c:pt idx="537">
                  <c:v>83.5</c:v>
                </c:pt>
                <c:pt idx="538">
                  <c:v>83.5</c:v>
                </c:pt>
                <c:pt idx="539">
                  <c:v>83.5</c:v>
                </c:pt>
                <c:pt idx="540">
                  <c:v>83.5</c:v>
                </c:pt>
                <c:pt idx="541">
                  <c:v>83.5</c:v>
                </c:pt>
                <c:pt idx="542">
                  <c:v>83.5</c:v>
                </c:pt>
                <c:pt idx="543">
                  <c:v>83.5</c:v>
                </c:pt>
                <c:pt idx="544">
                  <c:v>83.5</c:v>
                </c:pt>
                <c:pt idx="545">
                  <c:v>83.5</c:v>
                </c:pt>
                <c:pt idx="546">
                  <c:v>83.5</c:v>
                </c:pt>
                <c:pt idx="547">
                  <c:v>83.5</c:v>
                </c:pt>
                <c:pt idx="548">
                  <c:v>83.9</c:v>
                </c:pt>
                <c:pt idx="549">
                  <c:v>83.9</c:v>
                </c:pt>
                <c:pt idx="550">
                  <c:v>83.9</c:v>
                </c:pt>
                <c:pt idx="551">
                  <c:v>83.9</c:v>
                </c:pt>
                <c:pt idx="552">
                  <c:v>83.9</c:v>
                </c:pt>
                <c:pt idx="553">
                  <c:v>83.9</c:v>
                </c:pt>
                <c:pt idx="554">
                  <c:v>83.2</c:v>
                </c:pt>
                <c:pt idx="555">
                  <c:v>83.2</c:v>
                </c:pt>
                <c:pt idx="556">
                  <c:v>83.5</c:v>
                </c:pt>
                <c:pt idx="557">
                  <c:v>83.2</c:v>
                </c:pt>
                <c:pt idx="558">
                  <c:v>83.2</c:v>
                </c:pt>
                <c:pt idx="559">
                  <c:v>83.2</c:v>
                </c:pt>
                <c:pt idx="560">
                  <c:v>83.2</c:v>
                </c:pt>
                <c:pt idx="561">
                  <c:v>85</c:v>
                </c:pt>
                <c:pt idx="562">
                  <c:v>85</c:v>
                </c:pt>
                <c:pt idx="563">
                  <c:v>85</c:v>
                </c:pt>
                <c:pt idx="564">
                  <c:v>85</c:v>
                </c:pt>
                <c:pt idx="565">
                  <c:v>85</c:v>
                </c:pt>
                <c:pt idx="566">
                  <c:v>85</c:v>
                </c:pt>
                <c:pt idx="567">
                  <c:v>85</c:v>
                </c:pt>
                <c:pt idx="568">
                  <c:v>85</c:v>
                </c:pt>
                <c:pt idx="569">
                  <c:v>85</c:v>
                </c:pt>
                <c:pt idx="570">
                  <c:v>85</c:v>
                </c:pt>
                <c:pt idx="571">
                  <c:v>85</c:v>
                </c:pt>
                <c:pt idx="572">
                  <c:v>85</c:v>
                </c:pt>
                <c:pt idx="573">
                  <c:v>85</c:v>
                </c:pt>
                <c:pt idx="574">
                  <c:v>85</c:v>
                </c:pt>
                <c:pt idx="575">
                  <c:v>85</c:v>
                </c:pt>
                <c:pt idx="576">
                  <c:v>85</c:v>
                </c:pt>
                <c:pt idx="577">
                  <c:v>85</c:v>
                </c:pt>
                <c:pt idx="578">
                  <c:v>85</c:v>
                </c:pt>
                <c:pt idx="579">
                  <c:v>85</c:v>
                </c:pt>
                <c:pt idx="580">
                  <c:v>85</c:v>
                </c:pt>
                <c:pt idx="581">
                  <c:v>85</c:v>
                </c:pt>
                <c:pt idx="582">
                  <c:v>85</c:v>
                </c:pt>
                <c:pt idx="583">
                  <c:v>85</c:v>
                </c:pt>
                <c:pt idx="584">
                  <c:v>85</c:v>
                </c:pt>
                <c:pt idx="585">
                  <c:v>85</c:v>
                </c:pt>
                <c:pt idx="586">
                  <c:v>85</c:v>
                </c:pt>
                <c:pt idx="587">
                  <c:v>85</c:v>
                </c:pt>
                <c:pt idx="588">
                  <c:v>85</c:v>
                </c:pt>
                <c:pt idx="589">
                  <c:v>85</c:v>
                </c:pt>
                <c:pt idx="590">
                  <c:v>85.7</c:v>
                </c:pt>
                <c:pt idx="591">
                  <c:v>85.7</c:v>
                </c:pt>
                <c:pt idx="592">
                  <c:v>85.8</c:v>
                </c:pt>
                <c:pt idx="593">
                  <c:v>85.8</c:v>
                </c:pt>
                <c:pt idx="594">
                  <c:v>86.4</c:v>
                </c:pt>
                <c:pt idx="595">
                  <c:v>86.8</c:v>
                </c:pt>
                <c:pt idx="596">
                  <c:v>86.4</c:v>
                </c:pt>
                <c:pt idx="597">
                  <c:v>86.4</c:v>
                </c:pt>
                <c:pt idx="598">
                  <c:v>86.4</c:v>
                </c:pt>
                <c:pt idx="599">
                  <c:v>87.4</c:v>
                </c:pt>
                <c:pt idx="600">
                  <c:v>87.4</c:v>
                </c:pt>
                <c:pt idx="601">
                  <c:v>87.4</c:v>
                </c:pt>
                <c:pt idx="602">
                  <c:v>87.4</c:v>
                </c:pt>
                <c:pt idx="603">
                  <c:v>87.4</c:v>
                </c:pt>
                <c:pt idx="604">
                  <c:v>87.4</c:v>
                </c:pt>
                <c:pt idx="605">
                  <c:v>88</c:v>
                </c:pt>
                <c:pt idx="606">
                  <c:v>88</c:v>
                </c:pt>
                <c:pt idx="607">
                  <c:v>87.4</c:v>
                </c:pt>
                <c:pt idx="608">
                  <c:v>87.4</c:v>
                </c:pt>
                <c:pt idx="609">
                  <c:v>87.4</c:v>
                </c:pt>
                <c:pt idx="610">
                  <c:v>87.4</c:v>
                </c:pt>
                <c:pt idx="611">
                  <c:v>87.4</c:v>
                </c:pt>
                <c:pt idx="612">
                  <c:v>87.4</c:v>
                </c:pt>
                <c:pt idx="613">
                  <c:v>87.4</c:v>
                </c:pt>
                <c:pt idx="614">
                  <c:v>87.4</c:v>
                </c:pt>
                <c:pt idx="615">
                  <c:v>86.8</c:v>
                </c:pt>
                <c:pt idx="616">
                  <c:v>86.8</c:v>
                </c:pt>
                <c:pt idx="617">
                  <c:v>86.8</c:v>
                </c:pt>
                <c:pt idx="618">
                  <c:v>86.2</c:v>
                </c:pt>
                <c:pt idx="619">
                  <c:v>86.2</c:v>
                </c:pt>
                <c:pt idx="620">
                  <c:v>86.2</c:v>
                </c:pt>
                <c:pt idx="621">
                  <c:v>86.2</c:v>
                </c:pt>
                <c:pt idx="622">
                  <c:v>86.2</c:v>
                </c:pt>
                <c:pt idx="623">
                  <c:v>86.8</c:v>
                </c:pt>
                <c:pt idx="624">
                  <c:v>86.8</c:v>
                </c:pt>
                <c:pt idx="625">
                  <c:v>86.8</c:v>
                </c:pt>
                <c:pt idx="626">
                  <c:v>86.8</c:v>
                </c:pt>
                <c:pt idx="627">
                  <c:v>86.8</c:v>
                </c:pt>
                <c:pt idx="628">
                  <c:v>86.8</c:v>
                </c:pt>
                <c:pt idx="629">
                  <c:v>87.4</c:v>
                </c:pt>
                <c:pt idx="630">
                  <c:v>87.4</c:v>
                </c:pt>
                <c:pt idx="631">
                  <c:v>87.4</c:v>
                </c:pt>
                <c:pt idx="632">
                  <c:v>88</c:v>
                </c:pt>
                <c:pt idx="633">
                  <c:v>88</c:v>
                </c:pt>
                <c:pt idx="634">
                  <c:v>88</c:v>
                </c:pt>
                <c:pt idx="635">
                  <c:v>88</c:v>
                </c:pt>
                <c:pt idx="636">
                  <c:v>88</c:v>
                </c:pt>
                <c:pt idx="637">
                  <c:v>88</c:v>
                </c:pt>
                <c:pt idx="638">
                  <c:v>88</c:v>
                </c:pt>
                <c:pt idx="639">
                  <c:v>88</c:v>
                </c:pt>
                <c:pt idx="640">
                  <c:v>87.4</c:v>
                </c:pt>
                <c:pt idx="641">
                  <c:v>87.4</c:v>
                </c:pt>
                <c:pt idx="642">
                  <c:v>87.4</c:v>
                </c:pt>
                <c:pt idx="643">
                  <c:v>87.4</c:v>
                </c:pt>
                <c:pt idx="644">
                  <c:v>88</c:v>
                </c:pt>
                <c:pt idx="645">
                  <c:v>88</c:v>
                </c:pt>
                <c:pt idx="646">
                  <c:v>88</c:v>
                </c:pt>
                <c:pt idx="647">
                  <c:v>88.4</c:v>
                </c:pt>
                <c:pt idx="648">
                  <c:v>88.4</c:v>
                </c:pt>
                <c:pt idx="649">
                  <c:v>88.4</c:v>
                </c:pt>
                <c:pt idx="650">
                  <c:v>88.4</c:v>
                </c:pt>
                <c:pt idx="651">
                  <c:v>88.4</c:v>
                </c:pt>
                <c:pt idx="652">
                  <c:v>88.4</c:v>
                </c:pt>
                <c:pt idx="653">
                  <c:v>88</c:v>
                </c:pt>
                <c:pt idx="654">
                  <c:v>88</c:v>
                </c:pt>
                <c:pt idx="655">
                  <c:v>88</c:v>
                </c:pt>
                <c:pt idx="656">
                  <c:v>87.5</c:v>
                </c:pt>
                <c:pt idx="657">
                  <c:v>88</c:v>
                </c:pt>
                <c:pt idx="658">
                  <c:v>88</c:v>
                </c:pt>
                <c:pt idx="659">
                  <c:v>88</c:v>
                </c:pt>
                <c:pt idx="660">
                  <c:v>88</c:v>
                </c:pt>
                <c:pt idx="661">
                  <c:v>88</c:v>
                </c:pt>
                <c:pt idx="662">
                  <c:v>87</c:v>
                </c:pt>
                <c:pt idx="663">
                  <c:v>87</c:v>
                </c:pt>
                <c:pt idx="664">
                  <c:v>87</c:v>
                </c:pt>
                <c:pt idx="665">
                  <c:v>87</c:v>
                </c:pt>
                <c:pt idx="666">
                  <c:v>87</c:v>
                </c:pt>
                <c:pt idx="667">
                  <c:v>86.5</c:v>
                </c:pt>
                <c:pt idx="668">
                  <c:v>87</c:v>
                </c:pt>
                <c:pt idx="669">
                  <c:v>85</c:v>
                </c:pt>
                <c:pt idx="670">
                  <c:v>86.5</c:v>
                </c:pt>
                <c:pt idx="671">
                  <c:v>85</c:v>
                </c:pt>
                <c:pt idx="672">
                  <c:v>86</c:v>
                </c:pt>
                <c:pt idx="673">
                  <c:v>86</c:v>
                </c:pt>
                <c:pt idx="675">
                  <c:v>83</c:v>
                </c:pt>
                <c:pt idx="676">
                  <c:v>83</c:v>
                </c:pt>
                <c:pt idx="677">
                  <c:v>83</c:v>
                </c:pt>
                <c:pt idx="678">
                  <c:v>83</c:v>
                </c:pt>
                <c:pt idx="679">
                  <c:v>83</c:v>
                </c:pt>
                <c:pt idx="680">
                  <c:v>83</c:v>
                </c:pt>
                <c:pt idx="681">
                  <c:v>84</c:v>
                </c:pt>
                <c:pt idx="682">
                  <c:v>84</c:v>
                </c:pt>
                <c:pt idx="683">
                  <c:v>84</c:v>
                </c:pt>
                <c:pt idx="684">
                  <c:v>84</c:v>
                </c:pt>
                <c:pt idx="685">
                  <c:v>86.2</c:v>
                </c:pt>
                <c:pt idx="686">
                  <c:v>86.2</c:v>
                </c:pt>
                <c:pt idx="687">
                  <c:v>86.2</c:v>
                </c:pt>
                <c:pt idx="688">
                  <c:v>86.2</c:v>
                </c:pt>
                <c:pt idx="689">
                  <c:v>85.6</c:v>
                </c:pt>
                <c:pt idx="690">
                  <c:v>87.7</c:v>
                </c:pt>
                <c:pt idx="691">
                  <c:v>87.7</c:v>
                </c:pt>
                <c:pt idx="692">
                  <c:v>87.7</c:v>
                </c:pt>
                <c:pt idx="693">
                  <c:v>88.3</c:v>
                </c:pt>
                <c:pt idx="694">
                  <c:v>88.3</c:v>
                </c:pt>
                <c:pt idx="695">
                  <c:v>88.3</c:v>
                </c:pt>
                <c:pt idx="696">
                  <c:v>88.3</c:v>
                </c:pt>
                <c:pt idx="697">
                  <c:v>88.3</c:v>
                </c:pt>
                <c:pt idx="698">
                  <c:v>88.3</c:v>
                </c:pt>
                <c:pt idx="699">
                  <c:v>87.2</c:v>
                </c:pt>
                <c:pt idx="700">
                  <c:v>87.2</c:v>
                </c:pt>
                <c:pt idx="701">
                  <c:v>87.2</c:v>
                </c:pt>
                <c:pt idx="702">
                  <c:v>87.2</c:v>
                </c:pt>
                <c:pt idx="703">
                  <c:v>87.2</c:v>
                </c:pt>
                <c:pt idx="704">
                  <c:v>87.2</c:v>
                </c:pt>
                <c:pt idx="705">
                  <c:v>87.2</c:v>
                </c:pt>
                <c:pt idx="706">
                  <c:v>87.8</c:v>
                </c:pt>
                <c:pt idx="707">
                  <c:v>87.8</c:v>
                </c:pt>
                <c:pt idx="708">
                  <c:v>87.8</c:v>
                </c:pt>
                <c:pt idx="709">
                  <c:v>87.8</c:v>
                </c:pt>
                <c:pt idx="710">
                  <c:v>87.8</c:v>
                </c:pt>
                <c:pt idx="711">
                  <c:v>88</c:v>
                </c:pt>
                <c:pt idx="712">
                  <c:v>88</c:v>
                </c:pt>
                <c:pt idx="713">
                  <c:v>88</c:v>
                </c:pt>
                <c:pt idx="714">
                  <c:v>88</c:v>
                </c:pt>
                <c:pt idx="715">
                  <c:v>88.5</c:v>
                </c:pt>
                <c:pt idx="716">
                  <c:v>88.3</c:v>
                </c:pt>
                <c:pt idx="717">
                  <c:v>88.3</c:v>
                </c:pt>
                <c:pt idx="718">
                  <c:v>88.3</c:v>
                </c:pt>
                <c:pt idx="719">
                  <c:v>88.3</c:v>
                </c:pt>
                <c:pt idx="720">
                  <c:v>88.3</c:v>
                </c:pt>
                <c:pt idx="721">
                  <c:v>88.3</c:v>
                </c:pt>
                <c:pt idx="722">
                  <c:v>88.3</c:v>
                </c:pt>
                <c:pt idx="723">
                  <c:v>87.9</c:v>
                </c:pt>
                <c:pt idx="724">
                  <c:v>87.9</c:v>
                </c:pt>
                <c:pt idx="725">
                  <c:v>87.9</c:v>
                </c:pt>
                <c:pt idx="726">
                  <c:v>87.9</c:v>
                </c:pt>
                <c:pt idx="727">
                  <c:v>87.9</c:v>
                </c:pt>
                <c:pt idx="728">
                  <c:v>87.9</c:v>
                </c:pt>
                <c:pt idx="729">
                  <c:v>87.9</c:v>
                </c:pt>
                <c:pt idx="730">
                  <c:v>87.9</c:v>
                </c:pt>
                <c:pt idx="731">
                  <c:v>87.9</c:v>
                </c:pt>
                <c:pt idx="732">
                  <c:v>72</c:v>
                </c:pt>
                <c:pt idx="733">
                  <c:v>70</c:v>
                </c:pt>
                <c:pt idx="734">
                  <c:v>70.5</c:v>
                </c:pt>
                <c:pt idx="735">
                  <c:v>70.5</c:v>
                </c:pt>
                <c:pt idx="736">
                  <c:v>76</c:v>
                </c:pt>
                <c:pt idx="737">
                  <c:v>76</c:v>
                </c:pt>
                <c:pt idx="738">
                  <c:v>76</c:v>
                </c:pt>
                <c:pt idx="739">
                  <c:v>76</c:v>
                </c:pt>
                <c:pt idx="740">
                  <c:v>76</c:v>
                </c:pt>
                <c:pt idx="741">
                  <c:v>76</c:v>
                </c:pt>
                <c:pt idx="742">
                  <c:v>76</c:v>
                </c:pt>
                <c:pt idx="743">
                  <c:v>76</c:v>
                </c:pt>
                <c:pt idx="744">
                  <c:v>82</c:v>
                </c:pt>
                <c:pt idx="745">
                  <c:v>82</c:v>
                </c:pt>
                <c:pt idx="746">
                  <c:v>82</c:v>
                </c:pt>
                <c:pt idx="747">
                  <c:v>82</c:v>
                </c:pt>
                <c:pt idx="748">
                  <c:v>81.5</c:v>
                </c:pt>
                <c:pt idx="749">
                  <c:v>81.5</c:v>
                </c:pt>
                <c:pt idx="750">
                  <c:v>81.5</c:v>
                </c:pt>
                <c:pt idx="751">
                  <c:v>82</c:v>
                </c:pt>
                <c:pt idx="752">
                  <c:v>82</c:v>
                </c:pt>
                <c:pt idx="753">
                  <c:v>82</c:v>
                </c:pt>
                <c:pt idx="754">
                  <c:v>83</c:v>
                </c:pt>
                <c:pt idx="755">
                  <c:v>83</c:v>
                </c:pt>
                <c:pt idx="756">
                  <c:v>83</c:v>
                </c:pt>
                <c:pt idx="757">
                  <c:v>83</c:v>
                </c:pt>
                <c:pt idx="758">
                  <c:v>83</c:v>
                </c:pt>
                <c:pt idx="759">
                  <c:v>83</c:v>
                </c:pt>
                <c:pt idx="760">
                  <c:v>83</c:v>
                </c:pt>
                <c:pt idx="761">
                  <c:v>83</c:v>
                </c:pt>
                <c:pt idx="762">
                  <c:v>83</c:v>
                </c:pt>
                <c:pt idx="763">
                  <c:v>83</c:v>
                </c:pt>
                <c:pt idx="764">
                  <c:v>83</c:v>
                </c:pt>
                <c:pt idx="765">
                  <c:v>83</c:v>
                </c:pt>
                <c:pt idx="766">
                  <c:v>83</c:v>
                </c:pt>
                <c:pt idx="767">
                  <c:v>83</c:v>
                </c:pt>
                <c:pt idx="768">
                  <c:v>83</c:v>
                </c:pt>
                <c:pt idx="769">
                  <c:v>83</c:v>
                </c:pt>
                <c:pt idx="770">
                  <c:v>83</c:v>
                </c:pt>
                <c:pt idx="771">
                  <c:v>83</c:v>
                </c:pt>
                <c:pt idx="772">
                  <c:v>83</c:v>
                </c:pt>
                <c:pt idx="773">
                  <c:v>84</c:v>
                </c:pt>
                <c:pt idx="774">
                  <c:v>84</c:v>
                </c:pt>
                <c:pt idx="775">
                  <c:v>84</c:v>
                </c:pt>
                <c:pt idx="776">
                  <c:v>84</c:v>
                </c:pt>
                <c:pt idx="777">
                  <c:v>84</c:v>
                </c:pt>
                <c:pt idx="778">
                  <c:v>83</c:v>
                </c:pt>
                <c:pt idx="779">
                  <c:v>83</c:v>
                </c:pt>
                <c:pt idx="780">
                  <c:v>83</c:v>
                </c:pt>
                <c:pt idx="781">
                  <c:v>83</c:v>
                </c:pt>
                <c:pt idx="782">
                  <c:v>83</c:v>
                </c:pt>
                <c:pt idx="783">
                  <c:v>83</c:v>
                </c:pt>
                <c:pt idx="784">
                  <c:v>83</c:v>
                </c:pt>
                <c:pt idx="785">
                  <c:v>83</c:v>
                </c:pt>
                <c:pt idx="786">
                  <c:v>83</c:v>
                </c:pt>
                <c:pt idx="787">
                  <c:v>83</c:v>
                </c:pt>
                <c:pt idx="788">
                  <c:v>82.5</c:v>
                </c:pt>
                <c:pt idx="789">
                  <c:v>82.5</c:v>
                </c:pt>
                <c:pt idx="790">
                  <c:v>82.5</c:v>
                </c:pt>
                <c:pt idx="791">
                  <c:v>82.5</c:v>
                </c:pt>
                <c:pt idx="792">
                  <c:v>82.5</c:v>
                </c:pt>
                <c:pt idx="793">
                  <c:v>82.5</c:v>
                </c:pt>
                <c:pt idx="794">
                  <c:v>82.5</c:v>
                </c:pt>
                <c:pt idx="795">
                  <c:v>82.5</c:v>
                </c:pt>
                <c:pt idx="796">
                  <c:v>82.5</c:v>
                </c:pt>
                <c:pt idx="797">
                  <c:v>82.5</c:v>
                </c:pt>
                <c:pt idx="798">
                  <c:v>82.5</c:v>
                </c:pt>
                <c:pt idx="799">
                  <c:v>82.5</c:v>
                </c:pt>
                <c:pt idx="800">
                  <c:v>82.5</c:v>
                </c:pt>
                <c:pt idx="801">
                  <c:v>82.5</c:v>
                </c:pt>
                <c:pt idx="802">
                  <c:v>82.5</c:v>
                </c:pt>
                <c:pt idx="803">
                  <c:v>82.5</c:v>
                </c:pt>
                <c:pt idx="804">
                  <c:v>82.5</c:v>
                </c:pt>
                <c:pt idx="805">
                  <c:v>82.5</c:v>
                </c:pt>
                <c:pt idx="806">
                  <c:v>82.5</c:v>
                </c:pt>
                <c:pt idx="807">
                  <c:v>84.5</c:v>
                </c:pt>
                <c:pt idx="808">
                  <c:v>84.5</c:v>
                </c:pt>
                <c:pt idx="809">
                  <c:v>84.5</c:v>
                </c:pt>
                <c:pt idx="810">
                  <c:v>84.5</c:v>
                </c:pt>
                <c:pt idx="811">
                  <c:v>84.5</c:v>
                </c:pt>
                <c:pt idx="812">
                  <c:v>84.5</c:v>
                </c:pt>
                <c:pt idx="813">
                  <c:v>84</c:v>
                </c:pt>
                <c:pt idx="814">
                  <c:v>84</c:v>
                </c:pt>
                <c:pt idx="815">
                  <c:v>84</c:v>
                </c:pt>
                <c:pt idx="816">
                  <c:v>84</c:v>
                </c:pt>
                <c:pt idx="817">
                  <c:v>84</c:v>
                </c:pt>
                <c:pt idx="818">
                  <c:v>85</c:v>
                </c:pt>
                <c:pt idx="819">
                  <c:v>85</c:v>
                </c:pt>
                <c:pt idx="820">
                  <c:v>86</c:v>
                </c:pt>
                <c:pt idx="821">
                  <c:v>85</c:v>
                </c:pt>
                <c:pt idx="822">
                  <c:v>85</c:v>
                </c:pt>
                <c:pt idx="823">
                  <c:v>86</c:v>
                </c:pt>
                <c:pt idx="824">
                  <c:v>86</c:v>
                </c:pt>
                <c:pt idx="825">
                  <c:v>86</c:v>
                </c:pt>
                <c:pt idx="826">
                  <c:v>86</c:v>
                </c:pt>
                <c:pt idx="827">
                  <c:v>87</c:v>
                </c:pt>
                <c:pt idx="828">
                  <c:v>84.8</c:v>
                </c:pt>
                <c:pt idx="829">
                  <c:v>86</c:v>
                </c:pt>
                <c:pt idx="830">
                  <c:v>87</c:v>
                </c:pt>
                <c:pt idx="831">
                  <c:v>84.8</c:v>
                </c:pt>
                <c:pt idx="832">
                  <c:v>84.8</c:v>
                </c:pt>
                <c:pt idx="833">
                  <c:v>84.8</c:v>
                </c:pt>
                <c:pt idx="834">
                  <c:v>84</c:v>
                </c:pt>
                <c:pt idx="835">
                  <c:v>84.8</c:v>
                </c:pt>
                <c:pt idx="836">
                  <c:v>84.8</c:v>
                </c:pt>
                <c:pt idx="837">
                  <c:v>84.8</c:v>
                </c:pt>
                <c:pt idx="838">
                  <c:v>84.5</c:v>
                </c:pt>
                <c:pt idx="839">
                  <c:v>88</c:v>
                </c:pt>
                <c:pt idx="840">
                  <c:v>88</c:v>
                </c:pt>
                <c:pt idx="841">
                  <c:v>88</c:v>
                </c:pt>
                <c:pt idx="842">
                  <c:v>88</c:v>
                </c:pt>
                <c:pt idx="843">
                  <c:v>88</c:v>
                </c:pt>
                <c:pt idx="844">
                  <c:v>87</c:v>
                </c:pt>
                <c:pt idx="845">
                  <c:v>86.5</c:v>
                </c:pt>
                <c:pt idx="846">
                  <c:v>88</c:v>
                </c:pt>
                <c:pt idx="847">
                  <c:v>86.5</c:v>
                </c:pt>
                <c:pt idx="848">
                  <c:v>88</c:v>
                </c:pt>
                <c:pt idx="849">
                  <c:v>86.5</c:v>
                </c:pt>
                <c:pt idx="850">
                  <c:v>86.5</c:v>
                </c:pt>
                <c:pt idx="851">
                  <c:v>86.5</c:v>
                </c:pt>
                <c:pt idx="852">
                  <c:v>86.5</c:v>
                </c:pt>
                <c:pt idx="853">
                  <c:v>86.5</c:v>
                </c:pt>
                <c:pt idx="854">
                  <c:v>86.5</c:v>
                </c:pt>
                <c:pt idx="855">
                  <c:v>86.5</c:v>
                </c:pt>
                <c:pt idx="856">
                  <c:v>86.5</c:v>
                </c:pt>
                <c:pt idx="857">
                  <c:v>86.5</c:v>
                </c:pt>
                <c:pt idx="858">
                  <c:v>86.5</c:v>
                </c:pt>
                <c:pt idx="859">
                  <c:v>85.5</c:v>
                </c:pt>
                <c:pt idx="860">
                  <c:v>85.5</c:v>
                </c:pt>
                <c:pt idx="861">
                  <c:v>85.5</c:v>
                </c:pt>
                <c:pt idx="862">
                  <c:v>85.5</c:v>
                </c:pt>
                <c:pt idx="863">
                  <c:v>85.5</c:v>
                </c:pt>
                <c:pt idx="864">
                  <c:v>85</c:v>
                </c:pt>
                <c:pt idx="865">
                  <c:v>85</c:v>
                </c:pt>
                <c:pt idx="866">
                  <c:v>83</c:v>
                </c:pt>
                <c:pt idx="867">
                  <c:v>83</c:v>
                </c:pt>
                <c:pt idx="868">
                  <c:v>83</c:v>
                </c:pt>
                <c:pt idx="869">
                  <c:v>83</c:v>
                </c:pt>
                <c:pt idx="870">
                  <c:v>83</c:v>
                </c:pt>
                <c:pt idx="871">
                  <c:v>83</c:v>
                </c:pt>
                <c:pt idx="872">
                  <c:v>83</c:v>
                </c:pt>
                <c:pt idx="873">
                  <c:v>83</c:v>
                </c:pt>
                <c:pt idx="874">
                  <c:v>83</c:v>
                </c:pt>
                <c:pt idx="875">
                  <c:v>83</c:v>
                </c:pt>
                <c:pt idx="876">
                  <c:v>83</c:v>
                </c:pt>
                <c:pt idx="877">
                  <c:v>83</c:v>
                </c:pt>
                <c:pt idx="878">
                  <c:v>83</c:v>
                </c:pt>
                <c:pt idx="879">
                  <c:v>82</c:v>
                </c:pt>
                <c:pt idx="880">
                  <c:v>82</c:v>
                </c:pt>
                <c:pt idx="881">
                  <c:v>82</c:v>
                </c:pt>
                <c:pt idx="882">
                  <c:v>82</c:v>
                </c:pt>
                <c:pt idx="883">
                  <c:v>82</c:v>
                </c:pt>
                <c:pt idx="884">
                  <c:v>81.5</c:v>
                </c:pt>
                <c:pt idx="885">
                  <c:v>81.5</c:v>
                </c:pt>
                <c:pt idx="886">
                  <c:v>81.5</c:v>
                </c:pt>
                <c:pt idx="887">
                  <c:v>81.5</c:v>
                </c:pt>
                <c:pt idx="888">
                  <c:v>81.5</c:v>
                </c:pt>
                <c:pt idx="889">
                  <c:v>80</c:v>
                </c:pt>
                <c:pt idx="890">
                  <c:v>82</c:v>
                </c:pt>
                <c:pt idx="891">
                  <c:v>82</c:v>
                </c:pt>
                <c:pt idx="892">
                  <c:v>80</c:v>
                </c:pt>
                <c:pt idx="893">
                  <c:v>80</c:v>
                </c:pt>
                <c:pt idx="894">
                  <c:v>80</c:v>
                </c:pt>
                <c:pt idx="895">
                  <c:v>80</c:v>
                </c:pt>
                <c:pt idx="896">
                  <c:v>80</c:v>
                </c:pt>
                <c:pt idx="897">
                  <c:v>80</c:v>
                </c:pt>
                <c:pt idx="898">
                  <c:v>80</c:v>
                </c:pt>
                <c:pt idx="899">
                  <c:v>80</c:v>
                </c:pt>
                <c:pt idx="900">
                  <c:v>80</c:v>
                </c:pt>
                <c:pt idx="901">
                  <c:v>80</c:v>
                </c:pt>
                <c:pt idx="902">
                  <c:v>80</c:v>
                </c:pt>
                <c:pt idx="903">
                  <c:v>80</c:v>
                </c:pt>
                <c:pt idx="904">
                  <c:v>80</c:v>
                </c:pt>
                <c:pt idx="905">
                  <c:v>80</c:v>
                </c:pt>
                <c:pt idx="906">
                  <c:v>80</c:v>
                </c:pt>
                <c:pt idx="907">
                  <c:v>80</c:v>
                </c:pt>
                <c:pt idx="908">
                  <c:v>80</c:v>
                </c:pt>
                <c:pt idx="909">
                  <c:v>80</c:v>
                </c:pt>
                <c:pt idx="910">
                  <c:v>81</c:v>
                </c:pt>
                <c:pt idx="911">
                  <c:v>81</c:v>
                </c:pt>
                <c:pt idx="912">
                  <c:v>83</c:v>
                </c:pt>
                <c:pt idx="913">
                  <c:v>83</c:v>
                </c:pt>
                <c:pt idx="914">
                  <c:v>83</c:v>
                </c:pt>
                <c:pt idx="915">
                  <c:v>83</c:v>
                </c:pt>
                <c:pt idx="916">
                  <c:v>83</c:v>
                </c:pt>
                <c:pt idx="917">
                  <c:v>83</c:v>
                </c:pt>
                <c:pt idx="918">
                  <c:v>80</c:v>
                </c:pt>
                <c:pt idx="919">
                  <c:v>83</c:v>
                </c:pt>
                <c:pt idx="920">
                  <c:v>83</c:v>
                </c:pt>
                <c:pt idx="921">
                  <c:v>83</c:v>
                </c:pt>
                <c:pt idx="922">
                  <c:v>83</c:v>
                </c:pt>
                <c:pt idx="923">
                  <c:v>83</c:v>
                </c:pt>
                <c:pt idx="924">
                  <c:v>83</c:v>
                </c:pt>
                <c:pt idx="925">
                  <c:v>82</c:v>
                </c:pt>
                <c:pt idx="926">
                  <c:v>82</c:v>
                </c:pt>
                <c:pt idx="927">
                  <c:v>80.5</c:v>
                </c:pt>
                <c:pt idx="928">
                  <c:v>80.5</c:v>
                </c:pt>
                <c:pt idx="929">
                  <c:v>80.5</c:v>
                </c:pt>
                <c:pt idx="930">
                  <c:v>80.5</c:v>
                </c:pt>
                <c:pt idx="931">
                  <c:v>78.5</c:v>
                </c:pt>
                <c:pt idx="932">
                  <c:v>78</c:v>
                </c:pt>
                <c:pt idx="933">
                  <c:v>77</c:v>
                </c:pt>
                <c:pt idx="934">
                  <c:v>76</c:v>
                </c:pt>
                <c:pt idx="935">
                  <c:v>77</c:v>
                </c:pt>
                <c:pt idx="936">
                  <c:v>77</c:v>
                </c:pt>
                <c:pt idx="937">
                  <c:v>77</c:v>
                </c:pt>
                <c:pt idx="938">
                  <c:v>78</c:v>
                </c:pt>
                <c:pt idx="939">
                  <c:v>78</c:v>
                </c:pt>
                <c:pt idx="940">
                  <c:v>80</c:v>
                </c:pt>
                <c:pt idx="941">
                  <c:v>80</c:v>
                </c:pt>
                <c:pt idx="942">
                  <c:v>80</c:v>
                </c:pt>
                <c:pt idx="943">
                  <c:v>81</c:v>
                </c:pt>
                <c:pt idx="944">
                  <c:v>81</c:v>
                </c:pt>
                <c:pt idx="945">
                  <c:v>81</c:v>
                </c:pt>
                <c:pt idx="946">
                  <c:v>81</c:v>
                </c:pt>
                <c:pt idx="947">
                  <c:v>81</c:v>
                </c:pt>
                <c:pt idx="948">
                  <c:v>81</c:v>
                </c:pt>
                <c:pt idx="949">
                  <c:v>81.5</c:v>
                </c:pt>
                <c:pt idx="950">
                  <c:v>82</c:v>
                </c:pt>
                <c:pt idx="951">
                  <c:v>81</c:v>
                </c:pt>
                <c:pt idx="952">
                  <c:v>81</c:v>
                </c:pt>
                <c:pt idx="953">
                  <c:v>81</c:v>
                </c:pt>
                <c:pt idx="954">
                  <c:v>81</c:v>
                </c:pt>
                <c:pt idx="955">
                  <c:v>81</c:v>
                </c:pt>
                <c:pt idx="956">
                  <c:v>81</c:v>
                </c:pt>
                <c:pt idx="957">
                  <c:v>81</c:v>
                </c:pt>
                <c:pt idx="958">
                  <c:v>81</c:v>
                </c:pt>
                <c:pt idx="959">
                  <c:v>81</c:v>
                </c:pt>
                <c:pt idx="960">
                  <c:v>80.5</c:v>
                </c:pt>
                <c:pt idx="961">
                  <c:v>80.5</c:v>
                </c:pt>
                <c:pt idx="962">
                  <c:v>80.5</c:v>
                </c:pt>
                <c:pt idx="963">
                  <c:v>79.5</c:v>
                </c:pt>
                <c:pt idx="964">
                  <c:v>80</c:v>
                </c:pt>
                <c:pt idx="965">
                  <c:v>81</c:v>
                </c:pt>
                <c:pt idx="966">
                  <c:v>79.5</c:v>
                </c:pt>
                <c:pt idx="967">
                  <c:v>79.5</c:v>
                </c:pt>
                <c:pt idx="968">
                  <c:v>79.5</c:v>
                </c:pt>
                <c:pt idx="969">
                  <c:v>79.5</c:v>
                </c:pt>
                <c:pt idx="970">
                  <c:v>79.5</c:v>
                </c:pt>
                <c:pt idx="971">
                  <c:v>79.5</c:v>
                </c:pt>
                <c:pt idx="972">
                  <c:v>80</c:v>
                </c:pt>
                <c:pt idx="973">
                  <c:v>80</c:v>
                </c:pt>
                <c:pt idx="974">
                  <c:v>80</c:v>
                </c:pt>
                <c:pt idx="975">
                  <c:v>80</c:v>
                </c:pt>
                <c:pt idx="976">
                  <c:v>80.5</c:v>
                </c:pt>
                <c:pt idx="977">
                  <c:v>80.5</c:v>
                </c:pt>
                <c:pt idx="978">
                  <c:v>81</c:v>
                </c:pt>
                <c:pt idx="979">
                  <c:v>81</c:v>
                </c:pt>
                <c:pt idx="980">
                  <c:v>81.5</c:v>
                </c:pt>
                <c:pt idx="981">
                  <c:v>82</c:v>
                </c:pt>
                <c:pt idx="982">
                  <c:v>82</c:v>
                </c:pt>
                <c:pt idx="983">
                  <c:v>82</c:v>
                </c:pt>
                <c:pt idx="984">
                  <c:v>82</c:v>
                </c:pt>
                <c:pt idx="985">
                  <c:v>82</c:v>
                </c:pt>
                <c:pt idx="986">
                  <c:v>82</c:v>
                </c:pt>
                <c:pt idx="987">
                  <c:v>82</c:v>
                </c:pt>
                <c:pt idx="988">
                  <c:v>82</c:v>
                </c:pt>
                <c:pt idx="989">
                  <c:v>82</c:v>
                </c:pt>
                <c:pt idx="990">
                  <c:v>82</c:v>
                </c:pt>
                <c:pt idx="991">
                  <c:v>82.5</c:v>
                </c:pt>
                <c:pt idx="992">
                  <c:v>82</c:v>
                </c:pt>
                <c:pt idx="993">
                  <c:v>82</c:v>
                </c:pt>
                <c:pt idx="994">
                  <c:v>82.5</c:v>
                </c:pt>
                <c:pt idx="995">
                  <c:v>82.5</c:v>
                </c:pt>
                <c:pt idx="996">
                  <c:v>82.5</c:v>
                </c:pt>
                <c:pt idx="997">
                  <c:v>82.5</c:v>
                </c:pt>
                <c:pt idx="998">
                  <c:v>82.5</c:v>
                </c:pt>
                <c:pt idx="999">
                  <c:v>84.5</c:v>
                </c:pt>
                <c:pt idx="1000">
                  <c:v>84</c:v>
                </c:pt>
                <c:pt idx="1001">
                  <c:v>84</c:v>
                </c:pt>
                <c:pt idx="1002">
                  <c:v>84.9</c:v>
                </c:pt>
                <c:pt idx="1003">
                  <c:v>84.9</c:v>
                </c:pt>
                <c:pt idx="1004">
                  <c:v>84.9</c:v>
                </c:pt>
                <c:pt idx="1005">
                  <c:v>84.9</c:v>
                </c:pt>
                <c:pt idx="1006">
                  <c:v>84.9</c:v>
                </c:pt>
                <c:pt idx="1007">
                  <c:v>84.9</c:v>
                </c:pt>
                <c:pt idx="1008">
                  <c:v>84.9</c:v>
                </c:pt>
                <c:pt idx="1009">
                  <c:v>84.9</c:v>
                </c:pt>
                <c:pt idx="1010">
                  <c:v>84.5</c:v>
                </c:pt>
                <c:pt idx="1011">
                  <c:v>84.5</c:v>
                </c:pt>
                <c:pt idx="1012">
                  <c:v>84.9</c:v>
                </c:pt>
                <c:pt idx="1013">
                  <c:v>84.9</c:v>
                </c:pt>
                <c:pt idx="1014">
                  <c:v>84.9</c:v>
                </c:pt>
                <c:pt idx="1015">
                  <c:v>84.9</c:v>
                </c:pt>
                <c:pt idx="1016">
                  <c:v>84.9</c:v>
                </c:pt>
                <c:pt idx="1017">
                  <c:v>84.4</c:v>
                </c:pt>
                <c:pt idx="1018">
                  <c:v>84.4</c:v>
                </c:pt>
                <c:pt idx="1019">
                  <c:v>84.4</c:v>
                </c:pt>
                <c:pt idx="1020">
                  <c:v>84.5</c:v>
                </c:pt>
                <c:pt idx="1021">
                  <c:v>84.5</c:v>
                </c:pt>
                <c:pt idx="1022">
                  <c:v>84.5</c:v>
                </c:pt>
                <c:pt idx="1023">
                  <c:v>84.5</c:v>
                </c:pt>
                <c:pt idx="1024">
                  <c:v>84.5</c:v>
                </c:pt>
                <c:pt idx="1025">
                  <c:v>84.3</c:v>
                </c:pt>
                <c:pt idx="1026">
                  <c:v>84.3</c:v>
                </c:pt>
                <c:pt idx="1027">
                  <c:v>84.3</c:v>
                </c:pt>
                <c:pt idx="1028">
                  <c:v>84.2</c:v>
                </c:pt>
                <c:pt idx="1029">
                  <c:v>84.2</c:v>
                </c:pt>
                <c:pt idx="1030">
                  <c:v>83.9</c:v>
                </c:pt>
                <c:pt idx="1031">
                  <c:v>83.9</c:v>
                </c:pt>
                <c:pt idx="1032">
                  <c:v>83.5</c:v>
                </c:pt>
                <c:pt idx="1033">
                  <c:v>82.5</c:v>
                </c:pt>
                <c:pt idx="1034">
                  <c:v>82.5</c:v>
                </c:pt>
                <c:pt idx="1035">
                  <c:v>82.5</c:v>
                </c:pt>
                <c:pt idx="1036">
                  <c:v>82.5</c:v>
                </c:pt>
                <c:pt idx="1037">
                  <c:v>82.5</c:v>
                </c:pt>
                <c:pt idx="1038">
                  <c:v>82.5</c:v>
                </c:pt>
                <c:pt idx="1039">
                  <c:v>81.8</c:v>
                </c:pt>
                <c:pt idx="1040">
                  <c:v>80.8</c:v>
                </c:pt>
                <c:pt idx="1041">
                  <c:v>80.8</c:v>
                </c:pt>
                <c:pt idx="1042">
                  <c:v>80.5</c:v>
                </c:pt>
                <c:pt idx="1043">
                  <c:v>80.5</c:v>
                </c:pt>
                <c:pt idx="1044">
                  <c:v>80.3</c:v>
                </c:pt>
                <c:pt idx="1045">
                  <c:v>80.3</c:v>
                </c:pt>
                <c:pt idx="1046">
                  <c:v>80.3</c:v>
                </c:pt>
                <c:pt idx="1047">
                  <c:v>80.3</c:v>
                </c:pt>
                <c:pt idx="1048">
                  <c:v>80</c:v>
                </c:pt>
                <c:pt idx="1049">
                  <c:v>80</c:v>
                </c:pt>
                <c:pt idx="1050">
                  <c:v>79.8</c:v>
                </c:pt>
                <c:pt idx="1051">
                  <c:v>79.599999999999994</c:v>
                </c:pt>
                <c:pt idx="1052">
                  <c:v>79.8</c:v>
                </c:pt>
                <c:pt idx="1053">
                  <c:v>79.8</c:v>
                </c:pt>
                <c:pt idx="1054">
                  <c:v>79.599999999999994</c:v>
                </c:pt>
                <c:pt idx="1055">
                  <c:v>79.599999999999994</c:v>
                </c:pt>
                <c:pt idx="1056">
                  <c:v>79.599999999999994</c:v>
                </c:pt>
                <c:pt idx="1057">
                  <c:v>79.900000000000006</c:v>
                </c:pt>
                <c:pt idx="1058">
                  <c:v>79.900000000000006</c:v>
                </c:pt>
                <c:pt idx="1059">
                  <c:v>79.900000000000006</c:v>
                </c:pt>
                <c:pt idx="1060">
                  <c:v>79.900000000000006</c:v>
                </c:pt>
                <c:pt idx="1061">
                  <c:v>80.3</c:v>
                </c:pt>
                <c:pt idx="1062">
                  <c:v>79.900000000000006</c:v>
                </c:pt>
                <c:pt idx="1063">
                  <c:v>80.3</c:v>
                </c:pt>
                <c:pt idx="1064">
                  <c:v>80.5</c:v>
                </c:pt>
                <c:pt idx="1065">
                  <c:v>80.5</c:v>
                </c:pt>
                <c:pt idx="1066">
                  <c:v>80.5</c:v>
                </c:pt>
                <c:pt idx="1067">
                  <c:v>80.5</c:v>
                </c:pt>
                <c:pt idx="1068">
                  <c:v>80.5</c:v>
                </c:pt>
                <c:pt idx="1069">
                  <c:v>80.5</c:v>
                </c:pt>
                <c:pt idx="1070">
                  <c:v>80.5</c:v>
                </c:pt>
                <c:pt idx="1071">
                  <c:v>80.5</c:v>
                </c:pt>
                <c:pt idx="1072">
                  <c:v>79.8</c:v>
                </c:pt>
                <c:pt idx="1073">
                  <c:v>79.7</c:v>
                </c:pt>
                <c:pt idx="1074">
                  <c:v>79.900000000000006</c:v>
                </c:pt>
                <c:pt idx="1075">
                  <c:v>79.900000000000006</c:v>
                </c:pt>
                <c:pt idx="1076">
                  <c:v>79.900000000000006</c:v>
                </c:pt>
                <c:pt idx="1077">
                  <c:v>79.900000000000006</c:v>
                </c:pt>
                <c:pt idx="1078">
                  <c:v>79.900000000000006</c:v>
                </c:pt>
                <c:pt idx="1079">
                  <c:v>79.900000000000006</c:v>
                </c:pt>
                <c:pt idx="1080">
                  <c:v>79.7</c:v>
                </c:pt>
                <c:pt idx="1081">
                  <c:v>79.7</c:v>
                </c:pt>
                <c:pt idx="1082">
                  <c:v>79.7</c:v>
                </c:pt>
                <c:pt idx="1083">
                  <c:v>79.2</c:v>
                </c:pt>
                <c:pt idx="1084">
                  <c:v>78.5</c:v>
                </c:pt>
                <c:pt idx="1085">
                  <c:v>78.5</c:v>
                </c:pt>
                <c:pt idx="1086">
                  <c:v>78.3</c:v>
                </c:pt>
                <c:pt idx="1087">
                  <c:v>78.3</c:v>
                </c:pt>
                <c:pt idx="1088">
                  <c:v>78.3</c:v>
                </c:pt>
                <c:pt idx="1089">
                  <c:v>78.3</c:v>
                </c:pt>
                <c:pt idx="1090">
                  <c:v>78.3</c:v>
                </c:pt>
                <c:pt idx="1091">
                  <c:v>78.3</c:v>
                </c:pt>
                <c:pt idx="1092">
                  <c:v>77.3</c:v>
                </c:pt>
                <c:pt idx="1093">
                  <c:v>77.3</c:v>
                </c:pt>
                <c:pt idx="1094">
                  <c:v>76.3</c:v>
                </c:pt>
                <c:pt idx="1095">
                  <c:v>76.3</c:v>
                </c:pt>
                <c:pt idx="1096">
                  <c:v>75.3</c:v>
                </c:pt>
                <c:pt idx="1097">
                  <c:v>75.3</c:v>
                </c:pt>
                <c:pt idx="1098">
                  <c:v>74.3</c:v>
                </c:pt>
                <c:pt idx="1099">
                  <c:v>74.3</c:v>
                </c:pt>
                <c:pt idx="1100">
                  <c:v>74.3</c:v>
                </c:pt>
                <c:pt idx="1101">
                  <c:v>74.3</c:v>
                </c:pt>
                <c:pt idx="1102">
                  <c:v>74.5</c:v>
                </c:pt>
                <c:pt idx="1103">
                  <c:v>63</c:v>
                </c:pt>
                <c:pt idx="1104">
                  <c:v>63</c:v>
                </c:pt>
                <c:pt idx="1105">
                  <c:v>74.8</c:v>
                </c:pt>
                <c:pt idx="1106">
                  <c:v>74.8</c:v>
                </c:pt>
                <c:pt idx="1107">
                  <c:v>74.3</c:v>
                </c:pt>
                <c:pt idx="1108">
                  <c:v>74.3</c:v>
                </c:pt>
                <c:pt idx="1109">
                  <c:v>74.3</c:v>
                </c:pt>
                <c:pt idx="1110">
                  <c:v>74.5</c:v>
                </c:pt>
                <c:pt idx="1111">
                  <c:v>74.5</c:v>
                </c:pt>
                <c:pt idx="1112">
                  <c:v>75</c:v>
                </c:pt>
                <c:pt idx="1113">
                  <c:v>75</c:v>
                </c:pt>
                <c:pt idx="1114">
                  <c:v>75</c:v>
                </c:pt>
                <c:pt idx="1115">
                  <c:v>75</c:v>
                </c:pt>
                <c:pt idx="1116">
                  <c:v>75</c:v>
                </c:pt>
                <c:pt idx="1117">
                  <c:v>75.5</c:v>
                </c:pt>
                <c:pt idx="1118">
                  <c:v>75.5</c:v>
                </c:pt>
                <c:pt idx="1119">
                  <c:v>75.5</c:v>
                </c:pt>
                <c:pt idx="1120">
                  <c:v>75.5</c:v>
                </c:pt>
                <c:pt idx="1121">
                  <c:v>75.7</c:v>
                </c:pt>
                <c:pt idx="1122">
                  <c:v>75.7</c:v>
                </c:pt>
                <c:pt idx="1123">
                  <c:v>75.7</c:v>
                </c:pt>
                <c:pt idx="1124">
                  <c:v>75.7</c:v>
                </c:pt>
                <c:pt idx="1125">
                  <c:v>75.7</c:v>
                </c:pt>
                <c:pt idx="1126">
                  <c:v>75.8</c:v>
                </c:pt>
                <c:pt idx="1127">
                  <c:v>75.8</c:v>
                </c:pt>
                <c:pt idx="1128">
                  <c:v>75.8</c:v>
                </c:pt>
                <c:pt idx="1129">
                  <c:v>75.8</c:v>
                </c:pt>
                <c:pt idx="1130">
                  <c:v>75.3</c:v>
                </c:pt>
                <c:pt idx="1131">
                  <c:v>75</c:v>
                </c:pt>
                <c:pt idx="1132">
                  <c:v>74.099999999999994</c:v>
                </c:pt>
                <c:pt idx="1133">
                  <c:v>74.099999999999994</c:v>
                </c:pt>
                <c:pt idx="1134">
                  <c:v>74.099999999999994</c:v>
                </c:pt>
                <c:pt idx="1135">
                  <c:v>74.099999999999994</c:v>
                </c:pt>
                <c:pt idx="1136">
                  <c:v>73.2</c:v>
                </c:pt>
                <c:pt idx="1137">
                  <c:v>73.2</c:v>
                </c:pt>
                <c:pt idx="1138">
                  <c:v>73.2</c:v>
                </c:pt>
                <c:pt idx="1139">
                  <c:v>73.900000000000006</c:v>
                </c:pt>
                <c:pt idx="1140">
                  <c:v>73.5</c:v>
                </c:pt>
                <c:pt idx="1141">
                  <c:v>75</c:v>
                </c:pt>
                <c:pt idx="1142">
                  <c:v>75</c:v>
                </c:pt>
                <c:pt idx="1143">
                  <c:v>72.599999999999994</c:v>
                </c:pt>
                <c:pt idx="1144">
                  <c:v>72.3</c:v>
                </c:pt>
                <c:pt idx="1145">
                  <c:v>73.099999999999994</c:v>
                </c:pt>
                <c:pt idx="1146">
                  <c:v>72.099999999999994</c:v>
                </c:pt>
                <c:pt idx="1147">
                  <c:v>72.099999999999994</c:v>
                </c:pt>
                <c:pt idx="1148">
                  <c:v>72.099999999999994</c:v>
                </c:pt>
                <c:pt idx="1149">
                  <c:v>71.5</c:v>
                </c:pt>
                <c:pt idx="1150">
                  <c:v>70</c:v>
                </c:pt>
                <c:pt idx="1151">
                  <c:v>68.900000000000006</c:v>
                </c:pt>
                <c:pt idx="1152">
                  <c:v>64.8</c:v>
                </c:pt>
                <c:pt idx="1153">
                  <c:v>64.8</c:v>
                </c:pt>
                <c:pt idx="1154">
                  <c:v>64.8</c:v>
                </c:pt>
                <c:pt idx="1155">
                  <c:v>64.5</c:v>
                </c:pt>
                <c:pt idx="1156">
                  <c:v>64.8</c:v>
                </c:pt>
                <c:pt idx="1157">
                  <c:v>64.5</c:v>
                </c:pt>
                <c:pt idx="1158">
                  <c:v>63.5</c:v>
                </c:pt>
                <c:pt idx="1159">
                  <c:v>64</c:v>
                </c:pt>
                <c:pt idx="1160">
                  <c:v>64.2</c:v>
                </c:pt>
                <c:pt idx="1161">
                  <c:v>66.5</c:v>
                </c:pt>
                <c:pt idx="1162">
                  <c:v>66.5</c:v>
                </c:pt>
                <c:pt idx="1163">
                  <c:v>65.7</c:v>
                </c:pt>
                <c:pt idx="1164">
                  <c:v>66.5</c:v>
                </c:pt>
                <c:pt idx="1165">
                  <c:v>67</c:v>
                </c:pt>
                <c:pt idx="1166">
                  <c:v>67</c:v>
                </c:pt>
                <c:pt idx="1167">
                  <c:v>69.8</c:v>
                </c:pt>
                <c:pt idx="1168">
                  <c:v>69.8</c:v>
                </c:pt>
                <c:pt idx="1169">
                  <c:v>69.8</c:v>
                </c:pt>
                <c:pt idx="1170">
                  <c:v>70.599999999999994</c:v>
                </c:pt>
                <c:pt idx="1171">
                  <c:v>71.3</c:v>
                </c:pt>
                <c:pt idx="1172">
                  <c:v>71.3</c:v>
                </c:pt>
                <c:pt idx="1173">
                  <c:v>73.7</c:v>
                </c:pt>
                <c:pt idx="1174">
                  <c:v>73.7</c:v>
                </c:pt>
                <c:pt idx="1175">
                  <c:v>73.7</c:v>
                </c:pt>
                <c:pt idx="1176">
                  <c:v>74.3</c:v>
                </c:pt>
                <c:pt idx="1177">
                  <c:v>74.3</c:v>
                </c:pt>
                <c:pt idx="1178">
                  <c:v>75.400000000000006</c:v>
                </c:pt>
                <c:pt idx="1179">
                  <c:v>75.2</c:v>
                </c:pt>
                <c:pt idx="1180">
                  <c:v>76.7</c:v>
                </c:pt>
                <c:pt idx="1181">
                  <c:v>77.2</c:v>
                </c:pt>
                <c:pt idx="1182">
                  <c:v>78</c:v>
                </c:pt>
                <c:pt idx="1183">
                  <c:v>78</c:v>
                </c:pt>
                <c:pt idx="1184">
                  <c:v>77.2</c:v>
                </c:pt>
                <c:pt idx="1185">
                  <c:v>77.2</c:v>
                </c:pt>
                <c:pt idx="1186">
                  <c:v>77.2</c:v>
                </c:pt>
                <c:pt idx="1187">
                  <c:v>77.400000000000006</c:v>
                </c:pt>
                <c:pt idx="1188">
                  <c:v>78.3</c:v>
                </c:pt>
                <c:pt idx="1189">
                  <c:v>79.3</c:v>
                </c:pt>
                <c:pt idx="1190">
                  <c:v>79.599999999999994</c:v>
                </c:pt>
                <c:pt idx="1191">
                  <c:v>79.599999999999994</c:v>
                </c:pt>
                <c:pt idx="1192">
                  <c:v>80.099999999999994</c:v>
                </c:pt>
                <c:pt idx="1193">
                  <c:v>80.099999999999994</c:v>
                </c:pt>
                <c:pt idx="1194">
                  <c:v>80.099999999999994</c:v>
                </c:pt>
                <c:pt idx="1195">
                  <c:v>79.5</c:v>
                </c:pt>
                <c:pt idx="1196">
                  <c:v>79.5</c:v>
                </c:pt>
                <c:pt idx="1197">
                  <c:v>79.5</c:v>
                </c:pt>
                <c:pt idx="1198">
                  <c:v>79.5</c:v>
                </c:pt>
                <c:pt idx="1199">
                  <c:v>79.5</c:v>
                </c:pt>
                <c:pt idx="1200">
                  <c:v>79.7</c:v>
                </c:pt>
                <c:pt idx="1201">
                  <c:v>80.400000000000006</c:v>
                </c:pt>
                <c:pt idx="1202">
                  <c:v>80.400000000000006</c:v>
                </c:pt>
                <c:pt idx="1203">
                  <c:v>79.5</c:v>
                </c:pt>
                <c:pt idx="1204">
                  <c:v>79.5</c:v>
                </c:pt>
                <c:pt idx="1205">
                  <c:v>81.5</c:v>
                </c:pt>
                <c:pt idx="1206">
                  <c:v>81.5</c:v>
                </c:pt>
                <c:pt idx="1207">
                  <c:v>81.5</c:v>
                </c:pt>
                <c:pt idx="1208">
                  <c:v>82.6</c:v>
                </c:pt>
                <c:pt idx="1209">
                  <c:v>82.6</c:v>
                </c:pt>
                <c:pt idx="1210">
                  <c:v>82.6</c:v>
                </c:pt>
                <c:pt idx="1211">
                  <c:v>82.5</c:v>
                </c:pt>
                <c:pt idx="1212">
                  <c:v>82.5</c:v>
                </c:pt>
                <c:pt idx="1213">
                  <c:v>82.5</c:v>
                </c:pt>
                <c:pt idx="1214">
                  <c:v>82.5</c:v>
                </c:pt>
                <c:pt idx="1215">
                  <c:v>82.5</c:v>
                </c:pt>
                <c:pt idx="1216">
                  <c:v>82.5</c:v>
                </c:pt>
                <c:pt idx="1217">
                  <c:v>82.9</c:v>
                </c:pt>
                <c:pt idx="1218">
                  <c:v>82.9</c:v>
                </c:pt>
                <c:pt idx="1219">
                  <c:v>82.9</c:v>
                </c:pt>
                <c:pt idx="1220">
                  <c:v>82.9</c:v>
                </c:pt>
                <c:pt idx="1221">
                  <c:v>82.9</c:v>
                </c:pt>
                <c:pt idx="1222">
                  <c:v>82.9</c:v>
                </c:pt>
                <c:pt idx="1223">
                  <c:v>82.9</c:v>
                </c:pt>
                <c:pt idx="1224">
                  <c:v>82.9</c:v>
                </c:pt>
                <c:pt idx="1225">
                  <c:v>82.9</c:v>
                </c:pt>
                <c:pt idx="1226">
                  <c:v>82</c:v>
                </c:pt>
                <c:pt idx="1227">
                  <c:v>82</c:v>
                </c:pt>
                <c:pt idx="1228">
                  <c:v>82</c:v>
                </c:pt>
                <c:pt idx="1229">
                  <c:v>82</c:v>
                </c:pt>
                <c:pt idx="1230">
                  <c:v>82</c:v>
                </c:pt>
                <c:pt idx="1231">
                  <c:v>79.5</c:v>
                </c:pt>
                <c:pt idx="1232">
                  <c:v>79.5</c:v>
                </c:pt>
                <c:pt idx="1233">
                  <c:v>78.400000000000006</c:v>
                </c:pt>
                <c:pt idx="1234">
                  <c:v>76</c:v>
                </c:pt>
                <c:pt idx="1235">
                  <c:v>76.5</c:v>
                </c:pt>
                <c:pt idx="1236">
                  <c:v>76.5</c:v>
                </c:pt>
                <c:pt idx="1237">
                  <c:v>76.5</c:v>
                </c:pt>
                <c:pt idx="1238">
                  <c:v>75</c:v>
                </c:pt>
                <c:pt idx="1239">
                  <c:v>75</c:v>
                </c:pt>
                <c:pt idx="1240">
                  <c:v>76</c:v>
                </c:pt>
                <c:pt idx="1241">
                  <c:v>76</c:v>
                </c:pt>
                <c:pt idx="1242">
                  <c:v>76</c:v>
                </c:pt>
                <c:pt idx="1243">
                  <c:v>76</c:v>
                </c:pt>
                <c:pt idx="1244">
                  <c:v>76</c:v>
                </c:pt>
                <c:pt idx="1245">
                  <c:v>75.2</c:v>
                </c:pt>
                <c:pt idx="1246">
                  <c:v>75.2</c:v>
                </c:pt>
                <c:pt idx="1247">
                  <c:v>74.7</c:v>
                </c:pt>
                <c:pt idx="1248">
                  <c:v>74.7</c:v>
                </c:pt>
                <c:pt idx="1249">
                  <c:v>73.2</c:v>
                </c:pt>
                <c:pt idx="1250">
                  <c:v>73.2</c:v>
                </c:pt>
                <c:pt idx="1251">
                  <c:v>73.2</c:v>
                </c:pt>
                <c:pt idx="1252">
                  <c:v>73.2</c:v>
                </c:pt>
                <c:pt idx="1253">
                  <c:v>72</c:v>
                </c:pt>
                <c:pt idx="1254">
                  <c:v>72.3</c:v>
                </c:pt>
                <c:pt idx="1255">
                  <c:v>73.2</c:v>
                </c:pt>
                <c:pt idx="1256">
                  <c:v>73.2</c:v>
                </c:pt>
                <c:pt idx="1257">
                  <c:v>73.7</c:v>
                </c:pt>
                <c:pt idx="1258">
                  <c:v>74.099999999999994</c:v>
                </c:pt>
                <c:pt idx="1259">
                  <c:v>74.099999999999994</c:v>
                </c:pt>
                <c:pt idx="1260">
                  <c:v>71.3</c:v>
                </c:pt>
                <c:pt idx="1261">
                  <c:v>71.3</c:v>
                </c:pt>
                <c:pt idx="1262">
                  <c:v>71.3</c:v>
                </c:pt>
                <c:pt idx="1263">
                  <c:v>71</c:v>
                </c:pt>
                <c:pt idx="1264">
                  <c:v>71</c:v>
                </c:pt>
                <c:pt idx="1265">
                  <c:v>71.3</c:v>
                </c:pt>
                <c:pt idx="1266">
                  <c:v>71.3</c:v>
                </c:pt>
                <c:pt idx="1267">
                  <c:v>71.099999999999994</c:v>
                </c:pt>
                <c:pt idx="1268">
                  <c:v>71.099999999999994</c:v>
                </c:pt>
                <c:pt idx="1269">
                  <c:v>70</c:v>
                </c:pt>
                <c:pt idx="1270">
                  <c:v>70</c:v>
                </c:pt>
                <c:pt idx="1271">
                  <c:v>70</c:v>
                </c:pt>
                <c:pt idx="1272">
                  <c:v>70</c:v>
                </c:pt>
                <c:pt idx="1273">
                  <c:v>66</c:v>
                </c:pt>
                <c:pt idx="1274">
                  <c:v>66</c:v>
                </c:pt>
                <c:pt idx="1275">
                  <c:v>66.2</c:v>
                </c:pt>
                <c:pt idx="1276">
                  <c:v>66.2</c:v>
                </c:pt>
                <c:pt idx="1277">
                  <c:v>66.099999999999994</c:v>
                </c:pt>
                <c:pt idx="1278">
                  <c:v>66.5</c:v>
                </c:pt>
                <c:pt idx="1279">
                  <c:v>66.900000000000006</c:v>
                </c:pt>
                <c:pt idx="1280">
                  <c:v>66.900000000000006</c:v>
                </c:pt>
                <c:pt idx="1281">
                  <c:v>68</c:v>
                </c:pt>
                <c:pt idx="1282">
                  <c:v>68.400000000000006</c:v>
                </c:pt>
                <c:pt idx="1283">
                  <c:v>69.099999999999994</c:v>
                </c:pt>
                <c:pt idx="1284">
                  <c:v>69.099999999999994</c:v>
                </c:pt>
                <c:pt idx="1285">
                  <c:v>68.099999999999994</c:v>
                </c:pt>
                <c:pt idx="1286">
                  <c:v>68.099999999999994</c:v>
                </c:pt>
                <c:pt idx="1287">
                  <c:v>67.7</c:v>
                </c:pt>
                <c:pt idx="1288">
                  <c:v>67.7</c:v>
                </c:pt>
                <c:pt idx="1289">
                  <c:v>67.7</c:v>
                </c:pt>
                <c:pt idx="1290">
                  <c:v>67.5</c:v>
                </c:pt>
                <c:pt idx="1291">
                  <c:v>68.3</c:v>
                </c:pt>
                <c:pt idx="1292">
                  <c:v>69.2</c:v>
                </c:pt>
                <c:pt idx="1293">
                  <c:v>69.2</c:v>
                </c:pt>
                <c:pt idx="1294">
                  <c:v>69.2</c:v>
                </c:pt>
                <c:pt idx="1295">
                  <c:v>69.7</c:v>
                </c:pt>
                <c:pt idx="1296">
                  <c:v>70.8</c:v>
                </c:pt>
                <c:pt idx="1297">
                  <c:v>70.8</c:v>
                </c:pt>
                <c:pt idx="1298">
                  <c:v>70.599999999999994</c:v>
                </c:pt>
                <c:pt idx="1299">
                  <c:v>71</c:v>
                </c:pt>
                <c:pt idx="1300">
                  <c:v>70.400000000000006</c:v>
                </c:pt>
                <c:pt idx="1301">
                  <c:v>70.8</c:v>
                </c:pt>
                <c:pt idx="1302">
                  <c:v>71.8</c:v>
                </c:pt>
                <c:pt idx="1303">
                  <c:v>72</c:v>
                </c:pt>
                <c:pt idx="1304">
                  <c:v>72.099999999999994</c:v>
                </c:pt>
                <c:pt idx="1305">
                  <c:v>72</c:v>
                </c:pt>
                <c:pt idx="1306">
                  <c:v>72</c:v>
                </c:pt>
                <c:pt idx="1307">
                  <c:v>71.400000000000006</c:v>
                </c:pt>
                <c:pt idx="1308">
                  <c:v>71.400000000000006</c:v>
                </c:pt>
                <c:pt idx="1309">
                  <c:v>71.2</c:v>
                </c:pt>
                <c:pt idx="1310">
                  <c:v>71</c:v>
                </c:pt>
                <c:pt idx="1311">
                  <c:v>71</c:v>
                </c:pt>
                <c:pt idx="1312">
                  <c:v>71.2</c:v>
                </c:pt>
                <c:pt idx="1313">
                  <c:v>71.7</c:v>
                </c:pt>
                <c:pt idx="1314">
                  <c:v>72</c:v>
                </c:pt>
                <c:pt idx="1315">
                  <c:v>72</c:v>
                </c:pt>
                <c:pt idx="1316">
                  <c:v>71.599999999999994</c:v>
                </c:pt>
                <c:pt idx="1317">
                  <c:v>71.099999999999994</c:v>
                </c:pt>
                <c:pt idx="1318">
                  <c:v>72</c:v>
                </c:pt>
                <c:pt idx="1319">
                  <c:v>72.2</c:v>
                </c:pt>
                <c:pt idx="1320">
                  <c:v>72.599999999999994</c:v>
                </c:pt>
                <c:pt idx="1321">
                  <c:v>73.7</c:v>
                </c:pt>
                <c:pt idx="1322">
                  <c:v>76</c:v>
                </c:pt>
                <c:pt idx="1323">
                  <c:v>76</c:v>
                </c:pt>
                <c:pt idx="1324">
                  <c:v>76.400000000000006</c:v>
                </c:pt>
                <c:pt idx="1325">
                  <c:v>77.3</c:v>
                </c:pt>
                <c:pt idx="1326">
                  <c:v>77.7</c:v>
                </c:pt>
                <c:pt idx="1327">
                  <c:v>78.8</c:v>
                </c:pt>
                <c:pt idx="1328">
                  <c:v>78.8</c:v>
                </c:pt>
                <c:pt idx="1329">
                  <c:v>78.400000000000006</c:v>
                </c:pt>
                <c:pt idx="1330">
                  <c:v>78.5</c:v>
                </c:pt>
                <c:pt idx="1331">
                  <c:v>78.5</c:v>
                </c:pt>
                <c:pt idx="1332">
                  <c:v>79.3</c:v>
                </c:pt>
                <c:pt idx="1333">
                  <c:v>79.099999999999994</c:v>
                </c:pt>
                <c:pt idx="1334">
                  <c:v>79.099999999999994</c:v>
                </c:pt>
                <c:pt idx="1335">
                  <c:v>79.099999999999994</c:v>
                </c:pt>
                <c:pt idx="1336">
                  <c:v>79.099999999999994</c:v>
                </c:pt>
                <c:pt idx="1337">
                  <c:v>79.400000000000006</c:v>
                </c:pt>
                <c:pt idx="1338">
                  <c:v>79.400000000000006</c:v>
                </c:pt>
                <c:pt idx="1339">
                  <c:v>79.3</c:v>
                </c:pt>
                <c:pt idx="1340">
                  <c:v>79.2</c:v>
                </c:pt>
                <c:pt idx="1341">
                  <c:v>79.7</c:v>
                </c:pt>
                <c:pt idx="1342">
                  <c:v>79.7</c:v>
                </c:pt>
                <c:pt idx="1343">
                  <c:v>79.8</c:v>
                </c:pt>
                <c:pt idx="1344">
                  <c:v>79.8</c:v>
                </c:pt>
                <c:pt idx="1345">
                  <c:v>79.8</c:v>
                </c:pt>
                <c:pt idx="1346">
                  <c:v>80.599999999999994</c:v>
                </c:pt>
                <c:pt idx="1347">
                  <c:v>80.599999999999994</c:v>
                </c:pt>
                <c:pt idx="1348">
                  <c:v>80.900000000000006</c:v>
                </c:pt>
                <c:pt idx="1349">
                  <c:v>80.900000000000006</c:v>
                </c:pt>
                <c:pt idx="1350">
                  <c:v>80.900000000000006</c:v>
                </c:pt>
                <c:pt idx="1351">
                  <c:v>81</c:v>
                </c:pt>
                <c:pt idx="1352">
                  <c:v>80.7</c:v>
                </c:pt>
                <c:pt idx="1353">
                  <c:v>80.7</c:v>
                </c:pt>
                <c:pt idx="1354">
                  <c:v>80.3</c:v>
                </c:pt>
                <c:pt idx="1355">
                  <c:v>80.3</c:v>
                </c:pt>
                <c:pt idx="1356">
                  <c:v>80</c:v>
                </c:pt>
                <c:pt idx="1357">
                  <c:v>80.3</c:v>
                </c:pt>
                <c:pt idx="1358">
                  <c:v>80.099999999999994</c:v>
                </c:pt>
                <c:pt idx="1359">
                  <c:v>80.099999999999994</c:v>
                </c:pt>
                <c:pt idx="1360">
                  <c:v>80.2</c:v>
                </c:pt>
                <c:pt idx="1361">
                  <c:v>80</c:v>
                </c:pt>
                <c:pt idx="1362">
                  <c:v>80.599999999999994</c:v>
                </c:pt>
                <c:pt idx="1363">
                  <c:v>80.599999999999994</c:v>
                </c:pt>
                <c:pt idx="1364">
                  <c:v>80.400000000000006</c:v>
                </c:pt>
                <c:pt idx="1365">
                  <c:v>80</c:v>
                </c:pt>
                <c:pt idx="1366">
                  <c:v>80</c:v>
                </c:pt>
                <c:pt idx="1367">
                  <c:v>80</c:v>
                </c:pt>
                <c:pt idx="1368">
                  <c:v>79.599999999999994</c:v>
                </c:pt>
                <c:pt idx="1369">
                  <c:v>80.400000000000006</c:v>
                </c:pt>
                <c:pt idx="1370">
                  <c:v>80.400000000000006</c:v>
                </c:pt>
                <c:pt idx="1371">
                  <c:v>80.400000000000006</c:v>
                </c:pt>
                <c:pt idx="1372">
                  <c:v>80.400000000000006</c:v>
                </c:pt>
                <c:pt idx="1373">
                  <c:v>80.400000000000006</c:v>
                </c:pt>
                <c:pt idx="1374">
                  <c:v>80.400000000000006</c:v>
                </c:pt>
                <c:pt idx="1375">
                  <c:v>80.400000000000006</c:v>
                </c:pt>
                <c:pt idx="1376">
                  <c:v>80.400000000000006</c:v>
                </c:pt>
                <c:pt idx="1377">
                  <c:v>80.400000000000006</c:v>
                </c:pt>
                <c:pt idx="1378">
                  <c:v>80</c:v>
                </c:pt>
                <c:pt idx="1379">
                  <c:v>80</c:v>
                </c:pt>
                <c:pt idx="1380">
                  <c:v>80</c:v>
                </c:pt>
                <c:pt idx="1381">
                  <c:v>80</c:v>
                </c:pt>
                <c:pt idx="1382">
                  <c:v>79.3</c:v>
                </c:pt>
                <c:pt idx="1383">
                  <c:v>78.7</c:v>
                </c:pt>
                <c:pt idx="1384">
                  <c:v>79</c:v>
                </c:pt>
                <c:pt idx="1385">
                  <c:v>78.3</c:v>
                </c:pt>
                <c:pt idx="1386">
                  <c:v>77.099999999999994</c:v>
                </c:pt>
                <c:pt idx="1387">
                  <c:v>76.7</c:v>
                </c:pt>
                <c:pt idx="1388">
                  <c:v>76.7</c:v>
                </c:pt>
                <c:pt idx="1389">
                  <c:v>76.7</c:v>
                </c:pt>
                <c:pt idx="1390">
                  <c:v>76.7</c:v>
                </c:pt>
                <c:pt idx="1391">
                  <c:v>76.7</c:v>
                </c:pt>
                <c:pt idx="1392">
                  <c:v>76.7</c:v>
                </c:pt>
                <c:pt idx="1393">
                  <c:v>76.400000000000006</c:v>
                </c:pt>
                <c:pt idx="1394">
                  <c:v>75</c:v>
                </c:pt>
                <c:pt idx="1395">
                  <c:v>74.5</c:v>
                </c:pt>
                <c:pt idx="1396">
                  <c:v>73.7</c:v>
                </c:pt>
                <c:pt idx="1397">
                  <c:v>73</c:v>
                </c:pt>
                <c:pt idx="1398">
                  <c:v>72.3</c:v>
                </c:pt>
                <c:pt idx="1399">
                  <c:v>72</c:v>
                </c:pt>
                <c:pt idx="1400">
                  <c:v>72</c:v>
                </c:pt>
                <c:pt idx="1401">
                  <c:v>69.2</c:v>
                </c:pt>
                <c:pt idx="1402">
                  <c:v>69.2</c:v>
                </c:pt>
                <c:pt idx="1403">
                  <c:v>66.400000000000006</c:v>
                </c:pt>
                <c:pt idx="1404">
                  <c:v>65</c:v>
                </c:pt>
                <c:pt idx="1405">
                  <c:v>66.400000000000006</c:v>
                </c:pt>
                <c:pt idx="1406">
                  <c:v>69.599999999999994</c:v>
                </c:pt>
                <c:pt idx="1407">
                  <c:v>71</c:v>
                </c:pt>
                <c:pt idx="1408">
                  <c:v>71.599999999999994</c:v>
                </c:pt>
                <c:pt idx="1409">
                  <c:v>70.599999999999994</c:v>
                </c:pt>
                <c:pt idx="1410">
                  <c:v>70.8</c:v>
                </c:pt>
                <c:pt idx="1411">
                  <c:v>72.099999999999994</c:v>
                </c:pt>
                <c:pt idx="1412">
                  <c:v>73</c:v>
                </c:pt>
                <c:pt idx="1413">
                  <c:v>73.400000000000006</c:v>
                </c:pt>
                <c:pt idx="1414">
                  <c:v>73.400000000000006</c:v>
                </c:pt>
                <c:pt idx="1415">
                  <c:v>74.3</c:v>
                </c:pt>
                <c:pt idx="1416">
                  <c:v>75.599999999999994</c:v>
                </c:pt>
                <c:pt idx="1417" formatCode="General">
                  <c:v>75.599999999999994</c:v>
                </c:pt>
                <c:pt idx="1418" formatCode="General">
                  <c:v>76.3</c:v>
                </c:pt>
                <c:pt idx="1419" formatCode="General">
                  <c:v>76.599999999999994</c:v>
                </c:pt>
                <c:pt idx="1420" formatCode="General">
                  <c:v>77</c:v>
                </c:pt>
                <c:pt idx="1421" formatCode="General">
                  <c:v>78</c:v>
                </c:pt>
                <c:pt idx="1422" formatCode="General">
                  <c:v>78</c:v>
                </c:pt>
                <c:pt idx="1423" formatCode="General">
                  <c:v>78.099999999999994</c:v>
                </c:pt>
                <c:pt idx="1424" formatCode="General">
                  <c:v>78.3</c:v>
                </c:pt>
                <c:pt idx="1425" formatCode="General">
                  <c:v>79</c:v>
                </c:pt>
                <c:pt idx="1426" formatCode="General">
                  <c:v>79.2</c:v>
                </c:pt>
                <c:pt idx="1427" formatCode="General">
                  <c:v>79.2</c:v>
                </c:pt>
                <c:pt idx="1428" formatCode="General">
                  <c:v>79.400000000000006</c:v>
                </c:pt>
                <c:pt idx="1429" formatCode="General">
                  <c:v>79.7</c:v>
                </c:pt>
                <c:pt idx="1430" formatCode="General">
                  <c:v>78.900000000000006</c:v>
                </c:pt>
                <c:pt idx="1434" formatCode="General">
                  <c:v>78.900000000000006</c:v>
                </c:pt>
                <c:pt idx="1437" formatCode="General">
                  <c:v>78.599999999999994</c:v>
                </c:pt>
                <c:pt idx="1440" formatCode="General">
                  <c:v>78.599999999999994</c:v>
                </c:pt>
                <c:pt idx="1441" formatCode="General">
                  <c:v>79</c:v>
                </c:pt>
                <c:pt idx="1442" formatCode="General">
                  <c:v>79.400000000000006</c:v>
                </c:pt>
                <c:pt idx="1443" formatCode="General">
                  <c:v>80</c:v>
                </c:pt>
                <c:pt idx="1444" formatCode="General">
                  <c:v>80.900000000000006</c:v>
                </c:pt>
                <c:pt idx="1447" formatCode="General">
                  <c:v>81.8</c:v>
                </c:pt>
                <c:pt idx="1448" formatCode="General">
                  <c:v>82</c:v>
                </c:pt>
                <c:pt idx="1449" formatCode="General">
                  <c:v>82.2</c:v>
                </c:pt>
                <c:pt idx="1450" formatCode="General">
                  <c:v>83.1</c:v>
                </c:pt>
                <c:pt idx="1451" formatCode="General">
                  <c:v>84</c:v>
                </c:pt>
                <c:pt idx="1455" formatCode="General">
                  <c:v>84</c:v>
                </c:pt>
                <c:pt idx="1456" formatCode="General">
                  <c:v>85</c:v>
                </c:pt>
                <c:pt idx="1457" formatCode="General">
                  <c:v>85</c:v>
                </c:pt>
                <c:pt idx="1461" formatCode="General">
                  <c:v>84.7</c:v>
                </c:pt>
                <c:pt idx="1462" formatCode="General">
                  <c:v>84.7</c:v>
                </c:pt>
                <c:pt idx="1463" formatCode="General">
                  <c:v>84.7</c:v>
                </c:pt>
                <c:pt idx="1464" formatCode="General">
                  <c:v>84.6</c:v>
                </c:pt>
                <c:pt idx="1465" formatCode="General">
                  <c:v>84.6</c:v>
                </c:pt>
                <c:pt idx="1468" formatCode="General">
                  <c:v>84.7</c:v>
                </c:pt>
                <c:pt idx="1471" formatCode="General">
                  <c:v>84.7</c:v>
                </c:pt>
                <c:pt idx="1472" formatCode="General">
                  <c:v>84.3</c:v>
                </c:pt>
                <c:pt idx="1475" formatCode="General">
                  <c:v>84.2</c:v>
                </c:pt>
                <c:pt idx="1476" formatCode="General">
                  <c:v>84.2</c:v>
                </c:pt>
                <c:pt idx="1477" formatCode="General">
                  <c:v>84.3</c:v>
                </c:pt>
                <c:pt idx="1478" formatCode="General">
                  <c:v>84.2</c:v>
                </c:pt>
                <c:pt idx="1479" formatCode="General">
                  <c:v>84.1</c:v>
                </c:pt>
                <c:pt idx="1482" formatCode="General">
                  <c:v>83.3</c:v>
                </c:pt>
                <c:pt idx="1483" formatCode="General">
                  <c:v>83</c:v>
                </c:pt>
                <c:pt idx="1484" formatCode="General">
                  <c:v>83</c:v>
                </c:pt>
                <c:pt idx="1486" formatCode="General">
                  <c:v>83</c:v>
                </c:pt>
                <c:pt idx="1489" formatCode="General">
                  <c:v>81.2</c:v>
                </c:pt>
                <c:pt idx="1490" formatCode="General">
                  <c:v>81</c:v>
                </c:pt>
                <c:pt idx="1491" formatCode="General">
                  <c:v>80.599999999999994</c:v>
                </c:pt>
                <c:pt idx="1492" formatCode="General">
                  <c:v>80.599999999999994</c:v>
                </c:pt>
                <c:pt idx="1493" formatCode="General">
                  <c:v>80.599999999999994</c:v>
                </c:pt>
                <c:pt idx="1496" formatCode="General">
                  <c:v>78.8</c:v>
                </c:pt>
                <c:pt idx="1497" formatCode="General">
                  <c:v>78.8</c:v>
                </c:pt>
                <c:pt idx="1498" formatCode="General">
                  <c:v>78.8</c:v>
                </c:pt>
                <c:pt idx="1503" formatCode="General">
                  <c:v>79</c:v>
                </c:pt>
                <c:pt idx="1504" formatCode="General">
                  <c:v>79</c:v>
                </c:pt>
                <c:pt idx="1505" formatCode="General">
                  <c:v>79</c:v>
                </c:pt>
                <c:pt idx="1506" formatCode="General">
                  <c:v>78.400000000000006</c:v>
                </c:pt>
                <c:pt idx="1507" formatCode="General">
                  <c:v>78.400000000000006</c:v>
                </c:pt>
                <c:pt idx="1511" formatCode="General">
                  <c:v>77.8</c:v>
                </c:pt>
                <c:pt idx="1512" formatCode="General">
                  <c:v>77.8</c:v>
                </c:pt>
                <c:pt idx="1513" formatCode="General">
                  <c:v>77.8</c:v>
                </c:pt>
                <c:pt idx="1514" formatCode="General">
                  <c:v>77.8</c:v>
                </c:pt>
                <c:pt idx="1517" formatCode="General">
                  <c:v>77.2</c:v>
                </c:pt>
                <c:pt idx="1518" formatCode="General">
                  <c:v>76</c:v>
                </c:pt>
                <c:pt idx="1519" formatCode="General">
                  <c:v>76</c:v>
                </c:pt>
                <c:pt idx="1520" formatCode="General">
                  <c:v>76</c:v>
                </c:pt>
                <c:pt idx="1521" formatCode="General">
                  <c:v>76</c:v>
                </c:pt>
                <c:pt idx="1524" formatCode="General">
                  <c:v>75.3</c:v>
                </c:pt>
                <c:pt idx="1525" formatCode="General">
                  <c:v>75.400000000000006</c:v>
                </c:pt>
                <c:pt idx="1526" formatCode="General">
                  <c:v>75.400000000000006</c:v>
                </c:pt>
                <c:pt idx="1527" formatCode="General">
                  <c:v>73</c:v>
                </c:pt>
                <c:pt idx="1528" formatCode="General">
                  <c:v>73.2</c:v>
                </c:pt>
                <c:pt idx="1531" formatCode="General">
                  <c:v>72.599999999999994</c:v>
                </c:pt>
                <c:pt idx="1532" formatCode="General">
                  <c:v>73</c:v>
                </c:pt>
                <c:pt idx="1533" formatCode="General">
                  <c:v>73.05</c:v>
                </c:pt>
                <c:pt idx="1534" formatCode="General">
                  <c:v>73.099999999999994</c:v>
                </c:pt>
                <c:pt idx="1535" formatCode="General">
                  <c:v>73.099999999999994</c:v>
                </c:pt>
                <c:pt idx="1538" formatCode="General">
                  <c:v>73.7</c:v>
                </c:pt>
                <c:pt idx="1542" formatCode="General">
                  <c:v>72.599999999999994</c:v>
                </c:pt>
                <c:pt idx="1545" formatCode="General">
                  <c:v>72.599999999999994</c:v>
                </c:pt>
                <c:pt idx="1546" formatCode="General">
                  <c:v>73</c:v>
                </c:pt>
                <c:pt idx="1548" formatCode="General">
                  <c:v>69.8</c:v>
                </c:pt>
                <c:pt idx="1549" formatCode="General">
                  <c:v>73</c:v>
                </c:pt>
                <c:pt idx="1552" formatCode="General">
                  <c:v>73</c:v>
                </c:pt>
                <c:pt idx="1553" formatCode="General">
                  <c:v>72.900000000000006</c:v>
                </c:pt>
                <c:pt idx="1554" formatCode="General">
                  <c:v>72.900000000000006</c:v>
                </c:pt>
                <c:pt idx="1555" formatCode="General">
                  <c:v>72.400000000000006</c:v>
                </c:pt>
                <c:pt idx="1556" formatCode="General">
                  <c:v>71.900000000000006</c:v>
                </c:pt>
                <c:pt idx="1559" formatCode="General">
                  <c:v>71</c:v>
                </c:pt>
                <c:pt idx="1560" formatCode="General">
                  <c:v>71</c:v>
                </c:pt>
                <c:pt idx="1561" formatCode="General">
                  <c:v>71</c:v>
                </c:pt>
                <c:pt idx="1562" formatCode="General">
                  <c:v>70.2</c:v>
                </c:pt>
                <c:pt idx="1563" formatCode="General">
                  <c:v>70.2</c:v>
                </c:pt>
                <c:pt idx="1573" formatCode="General">
                  <c:v>71.2</c:v>
                </c:pt>
                <c:pt idx="1574" formatCode="General">
                  <c:v>71.2</c:v>
                </c:pt>
                <c:pt idx="1575" formatCode="General">
                  <c:v>72</c:v>
                </c:pt>
                <c:pt idx="1576" formatCode="General">
                  <c:v>72</c:v>
                </c:pt>
                <c:pt idx="1577" formatCode="General">
                  <c:v>72.2</c:v>
                </c:pt>
                <c:pt idx="1580" formatCode="General">
                  <c:v>74</c:v>
                </c:pt>
                <c:pt idx="1581" formatCode="General">
                  <c:v>74</c:v>
                </c:pt>
                <c:pt idx="1582" formatCode="General">
                  <c:v>76</c:v>
                </c:pt>
                <c:pt idx="1587" formatCode="General">
                  <c:v>76</c:v>
                </c:pt>
                <c:pt idx="1588" formatCode="General">
                  <c:v>76.5</c:v>
                </c:pt>
                <c:pt idx="1589" formatCode="General">
                  <c:v>76.5</c:v>
                </c:pt>
                <c:pt idx="1590" formatCode="General">
                  <c:v>77.900000000000006</c:v>
                </c:pt>
                <c:pt idx="1591" formatCode="General">
                  <c:v>79.2</c:v>
                </c:pt>
                <c:pt idx="1594" formatCode="General">
                  <c:v>79.2</c:v>
                </c:pt>
                <c:pt idx="1595" formatCode="General">
                  <c:v>79</c:v>
                </c:pt>
                <c:pt idx="1596" formatCode="General">
                  <c:v>79</c:v>
                </c:pt>
                <c:pt idx="1597" formatCode="General">
                  <c:v>79.2</c:v>
                </c:pt>
                <c:pt idx="1598" formatCode="General">
                  <c:v>79.099999999999994</c:v>
                </c:pt>
                <c:pt idx="1601" formatCode="General">
                  <c:v>79.2</c:v>
                </c:pt>
                <c:pt idx="1602" formatCode="General">
                  <c:v>79</c:v>
                </c:pt>
                <c:pt idx="1603" formatCode="General">
                  <c:v>79.2</c:v>
                </c:pt>
                <c:pt idx="1604" formatCode="General">
                  <c:v>78.7</c:v>
                </c:pt>
                <c:pt idx="1605" formatCode="General">
                  <c:v>78.7</c:v>
                </c:pt>
                <c:pt idx="1608" formatCode="General">
                  <c:v>78.400000000000006</c:v>
                </c:pt>
                <c:pt idx="1609" formatCode="General">
                  <c:v>78.400000000000006</c:v>
                </c:pt>
                <c:pt idx="1610" formatCode="General">
                  <c:v>78.3</c:v>
                </c:pt>
                <c:pt idx="1618" formatCode="General">
                  <c:v>78.3</c:v>
                </c:pt>
                <c:pt idx="1619" formatCode="General">
                  <c:v>77</c:v>
                </c:pt>
                <c:pt idx="1622" formatCode="General">
                  <c:v>76.3</c:v>
                </c:pt>
                <c:pt idx="1624" formatCode="General">
                  <c:v>76.3</c:v>
                </c:pt>
                <c:pt idx="1625" formatCode="General">
                  <c:v>76.3</c:v>
                </c:pt>
                <c:pt idx="1626" formatCode="General">
                  <c:v>76.3</c:v>
                </c:pt>
                <c:pt idx="1629" formatCode="General">
                  <c:v>76.3</c:v>
                </c:pt>
                <c:pt idx="1630" formatCode="General">
                  <c:v>76.099999999999994</c:v>
                </c:pt>
                <c:pt idx="1631" formatCode="General">
                  <c:v>75.900000000000006</c:v>
                </c:pt>
                <c:pt idx="1633" formatCode="General">
                  <c:v>76.3</c:v>
                </c:pt>
                <c:pt idx="1636" formatCode="General">
                  <c:v>76.3</c:v>
                </c:pt>
                <c:pt idx="1637" formatCode="General">
                  <c:v>76.3</c:v>
                </c:pt>
                <c:pt idx="1638" formatCode="General">
                  <c:v>76.3</c:v>
                </c:pt>
                <c:pt idx="1639" formatCode="General">
                  <c:v>76</c:v>
                </c:pt>
                <c:pt idx="1640" formatCode="General">
                  <c:v>76</c:v>
                </c:pt>
                <c:pt idx="1643" formatCode="General">
                  <c:v>76</c:v>
                </c:pt>
                <c:pt idx="1644" formatCode="General">
                  <c:v>76</c:v>
                </c:pt>
                <c:pt idx="1645" formatCode="General">
                  <c:v>76.900000000000006</c:v>
                </c:pt>
                <c:pt idx="1646" formatCode="General">
                  <c:v>76.900000000000006</c:v>
                </c:pt>
                <c:pt idx="1647" formatCode="General">
                  <c:v>76.900000000000006</c:v>
                </c:pt>
                <c:pt idx="1650" formatCode="General">
                  <c:v>77.400000000000006</c:v>
                </c:pt>
                <c:pt idx="1651" formatCode="General">
                  <c:v>77</c:v>
                </c:pt>
                <c:pt idx="1652" formatCode="General">
                  <c:v>77.3</c:v>
                </c:pt>
                <c:pt idx="1653" formatCode="General">
                  <c:v>77.3</c:v>
                </c:pt>
                <c:pt idx="1654" formatCode="General">
                  <c:v>77.3</c:v>
                </c:pt>
                <c:pt idx="1657" formatCode="General">
                  <c:v>77.3</c:v>
                </c:pt>
                <c:pt idx="1658" formatCode="General">
                  <c:v>77</c:v>
                </c:pt>
                <c:pt idx="1659" formatCode="General">
                  <c:v>76.7</c:v>
                </c:pt>
                <c:pt idx="1660" formatCode="General">
                  <c:v>76.400000000000006</c:v>
                </c:pt>
                <c:pt idx="1661" formatCode="General">
                  <c:v>76.400000000000006</c:v>
                </c:pt>
                <c:pt idx="1668" formatCode="General">
                  <c:v>77</c:v>
                </c:pt>
                <c:pt idx="1671" formatCode="General">
                  <c:v>77</c:v>
                </c:pt>
                <c:pt idx="1672" formatCode="General">
                  <c:v>77</c:v>
                </c:pt>
                <c:pt idx="1673" formatCode="General">
                  <c:v>76.7</c:v>
                </c:pt>
                <c:pt idx="1674" formatCode="General">
                  <c:v>75.400000000000006</c:v>
                </c:pt>
                <c:pt idx="1675" formatCode="General">
                  <c:v>75.400000000000006</c:v>
                </c:pt>
                <c:pt idx="1678" formatCode="General">
                  <c:v>75.400000000000006</c:v>
                </c:pt>
                <c:pt idx="1679" formatCode="General">
                  <c:v>76</c:v>
                </c:pt>
                <c:pt idx="1680" formatCode="General">
                  <c:v>76</c:v>
                </c:pt>
                <c:pt idx="1681" formatCode="General">
                  <c:v>75.900000000000006</c:v>
                </c:pt>
                <c:pt idx="1682" formatCode="General">
                  <c:v>75.900000000000006</c:v>
                </c:pt>
                <c:pt idx="1685" formatCode="General">
                  <c:v>75.599999999999994</c:v>
                </c:pt>
                <c:pt idx="1686" formatCode="General">
                  <c:v>76</c:v>
                </c:pt>
                <c:pt idx="1687" formatCode="General">
                  <c:v>75.7</c:v>
                </c:pt>
                <c:pt idx="1688" formatCode="General">
                  <c:v>75.5</c:v>
                </c:pt>
                <c:pt idx="1692" formatCode="General">
                  <c:v>75.2</c:v>
                </c:pt>
                <c:pt idx="1693" formatCode="General">
                  <c:v>75</c:v>
                </c:pt>
                <c:pt idx="1694" formatCode="General">
                  <c:v>75</c:v>
                </c:pt>
                <c:pt idx="1695" formatCode="General">
                  <c:v>75.2</c:v>
                </c:pt>
                <c:pt idx="1696" formatCode="General">
                  <c:v>74.5</c:v>
                </c:pt>
                <c:pt idx="1699" formatCode="General">
                  <c:v>74</c:v>
                </c:pt>
                <c:pt idx="1700" formatCode="General">
                  <c:v>74</c:v>
                </c:pt>
                <c:pt idx="1701" formatCode="General">
                  <c:v>73.5</c:v>
                </c:pt>
                <c:pt idx="1702" formatCode="General">
                  <c:v>73.5</c:v>
                </c:pt>
                <c:pt idx="1706" formatCode="General">
                  <c:v>72.5</c:v>
                </c:pt>
                <c:pt idx="1707" formatCode="General">
                  <c:v>74.5</c:v>
                </c:pt>
                <c:pt idx="1708" formatCode="General">
                  <c:v>73</c:v>
                </c:pt>
                <c:pt idx="1709" formatCode="General">
                  <c:v>72.900000000000006</c:v>
                </c:pt>
                <c:pt idx="1710" formatCode="General">
                  <c:v>70.900000000000006</c:v>
                </c:pt>
                <c:pt idx="1713" formatCode="General">
                  <c:v>70.900000000000006</c:v>
                </c:pt>
                <c:pt idx="1714" formatCode="General">
                  <c:v>70</c:v>
                </c:pt>
              </c:numCache>
            </c:numRef>
          </c:val>
        </c:ser>
        <c:ser>
          <c:idx val="1"/>
          <c:order val="1"/>
          <c:tx>
            <c:strRef>
              <c:f>开工率!$C$1</c:f>
              <c:strCache>
                <c:ptCount val="1"/>
                <c:pt idx="0">
                  <c:v>PTA负荷率</c:v>
                </c:pt>
              </c:strCache>
            </c:strRef>
          </c:tx>
          <c:spPr>
            <a:ln w="22225"/>
          </c:spPr>
          <c:marker>
            <c:symbol val="none"/>
          </c:marker>
          <c:cat>
            <c:numRef>
              <c:f>开工率!$A$2:$A$2500</c:f>
              <c:numCache>
                <c:formatCode>yyyy\-mm\-dd;@</c:formatCode>
                <c:ptCount val="2499"/>
                <c:pt idx="0">
                  <c:v>39819</c:v>
                </c:pt>
                <c:pt idx="1">
                  <c:v>39820</c:v>
                </c:pt>
                <c:pt idx="2">
                  <c:v>39821</c:v>
                </c:pt>
                <c:pt idx="3">
                  <c:v>39822</c:v>
                </c:pt>
                <c:pt idx="4">
                  <c:v>39825</c:v>
                </c:pt>
                <c:pt idx="5">
                  <c:v>39826</c:v>
                </c:pt>
                <c:pt idx="6">
                  <c:v>39827</c:v>
                </c:pt>
                <c:pt idx="7">
                  <c:v>39828</c:v>
                </c:pt>
                <c:pt idx="8">
                  <c:v>39829</c:v>
                </c:pt>
                <c:pt idx="9">
                  <c:v>39832</c:v>
                </c:pt>
                <c:pt idx="10">
                  <c:v>39833</c:v>
                </c:pt>
                <c:pt idx="11">
                  <c:v>39846</c:v>
                </c:pt>
                <c:pt idx="12">
                  <c:v>39847</c:v>
                </c:pt>
                <c:pt idx="13">
                  <c:v>39848</c:v>
                </c:pt>
                <c:pt idx="14">
                  <c:v>39849</c:v>
                </c:pt>
                <c:pt idx="15">
                  <c:v>39850</c:v>
                </c:pt>
                <c:pt idx="16">
                  <c:v>39853</c:v>
                </c:pt>
                <c:pt idx="17">
                  <c:v>39854</c:v>
                </c:pt>
                <c:pt idx="18">
                  <c:v>39855</c:v>
                </c:pt>
                <c:pt idx="19">
                  <c:v>39856</c:v>
                </c:pt>
                <c:pt idx="20">
                  <c:v>39857</c:v>
                </c:pt>
                <c:pt idx="21">
                  <c:v>39860</c:v>
                </c:pt>
                <c:pt idx="22">
                  <c:v>39861</c:v>
                </c:pt>
                <c:pt idx="23">
                  <c:v>39862</c:v>
                </c:pt>
                <c:pt idx="24">
                  <c:v>39863</c:v>
                </c:pt>
                <c:pt idx="25">
                  <c:v>39864</c:v>
                </c:pt>
                <c:pt idx="26">
                  <c:v>39867</c:v>
                </c:pt>
                <c:pt idx="27">
                  <c:v>39868</c:v>
                </c:pt>
                <c:pt idx="28">
                  <c:v>39869</c:v>
                </c:pt>
                <c:pt idx="29">
                  <c:v>39870</c:v>
                </c:pt>
                <c:pt idx="30">
                  <c:v>39871</c:v>
                </c:pt>
                <c:pt idx="31">
                  <c:v>39874</c:v>
                </c:pt>
                <c:pt idx="32">
                  <c:v>39875</c:v>
                </c:pt>
                <c:pt idx="33">
                  <c:v>39876</c:v>
                </c:pt>
                <c:pt idx="34">
                  <c:v>39877</c:v>
                </c:pt>
                <c:pt idx="35">
                  <c:v>39878</c:v>
                </c:pt>
                <c:pt idx="36">
                  <c:v>39881</c:v>
                </c:pt>
                <c:pt idx="37">
                  <c:v>39882</c:v>
                </c:pt>
                <c:pt idx="38">
                  <c:v>39883</c:v>
                </c:pt>
                <c:pt idx="39">
                  <c:v>39884</c:v>
                </c:pt>
                <c:pt idx="40">
                  <c:v>39885</c:v>
                </c:pt>
                <c:pt idx="41">
                  <c:v>39888</c:v>
                </c:pt>
                <c:pt idx="42">
                  <c:v>39889</c:v>
                </c:pt>
                <c:pt idx="43">
                  <c:v>39890</c:v>
                </c:pt>
                <c:pt idx="44">
                  <c:v>39891</c:v>
                </c:pt>
                <c:pt idx="45">
                  <c:v>39892</c:v>
                </c:pt>
                <c:pt idx="46">
                  <c:v>39895</c:v>
                </c:pt>
                <c:pt idx="47">
                  <c:v>39896</c:v>
                </c:pt>
                <c:pt idx="48">
                  <c:v>39897</c:v>
                </c:pt>
                <c:pt idx="49">
                  <c:v>39898</c:v>
                </c:pt>
                <c:pt idx="50">
                  <c:v>39899</c:v>
                </c:pt>
                <c:pt idx="51">
                  <c:v>39902</c:v>
                </c:pt>
                <c:pt idx="52">
                  <c:v>39903</c:v>
                </c:pt>
                <c:pt idx="53">
                  <c:v>39904</c:v>
                </c:pt>
                <c:pt idx="54">
                  <c:v>39905</c:v>
                </c:pt>
                <c:pt idx="55">
                  <c:v>39906</c:v>
                </c:pt>
                <c:pt idx="56">
                  <c:v>39910</c:v>
                </c:pt>
                <c:pt idx="57">
                  <c:v>39911</c:v>
                </c:pt>
                <c:pt idx="58">
                  <c:v>39912</c:v>
                </c:pt>
                <c:pt idx="59">
                  <c:v>39913</c:v>
                </c:pt>
                <c:pt idx="60">
                  <c:v>39916</c:v>
                </c:pt>
                <c:pt idx="61">
                  <c:v>39917</c:v>
                </c:pt>
                <c:pt idx="62">
                  <c:v>39918</c:v>
                </c:pt>
                <c:pt idx="63">
                  <c:v>39919</c:v>
                </c:pt>
                <c:pt idx="64">
                  <c:v>39920</c:v>
                </c:pt>
                <c:pt idx="65">
                  <c:v>39923</c:v>
                </c:pt>
                <c:pt idx="66">
                  <c:v>39924</c:v>
                </c:pt>
                <c:pt idx="67">
                  <c:v>39925</c:v>
                </c:pt>
                <c:pt idx="68">
                  <c:v>39926</c:v>
                </c:pt>
                <c:pt idx="69">
                  <c:v>39927</c:v>
                </c:pt>
                <c:pt idx="70">
                  <c:v>39930</c:v>
                </c:pt>
                <c:pt idx="71">
                  <c:v>39931</c:v>
                </c:pt>
                <c:pt idx="72">
                  <c:v>39932</c:v>
                </c:pt>
                <c:pt idx="73">
                  <c:v>39933</c:v>
                </c:pt>
                <c:pt idx="74">
                  <c:v>39937</c:v>
                </c:pt>
                <c:pt idx="75">
                  <c:v>39938</c:v>
                </c:pt>
                <c:pt idx="76">
                  <c:v>39939</c:v>
                </c:pt>
                <c:pt idx="77">
                  <c:v>39940</c:v>
                </c:pt>
                <c:pt idx="78">
                  <c:v>39941</c:v>
                </c:pt>
                <c:pt idx="79">
                  <c:v>39944</c:v>
                </c:pt>
                <c:pt idx="80">
                  <c:v>39945</c:v>
                </c:pt>
                <c:pt idx="81">
                  <c:v>39946</c:v>
                </c:pt>
                <c:pt idx="82">
                  <c:v>39947</c:v>
                </c:pt>
                <c:pt idx="83">
                  <c:v>39948</c:v>
                </c:pt>
                <c:pt idx="84">
                  <c:v>39951</c:v>
                </c:pt>
                <c:pt idx="85">
                  <c:v>39952</c:v>
                </c:pt>
                <c:pt idx="86">
                  <c:v>39953</c:v>
                </c:pt>
                <c:pt idx="87">
                  <c:v>39954</c:v>
                </c:pt>
                <c:pt idx="88">
                  <c:v>39955</c:v>
                </c:pt>
                <c:pt idx="89">
                  <c:v>39958</c:v>
                </c:pt>
                <c:pt idx="90">
                  <c:v>39959</c:v>
                </c:pt>
                <c:pt idx="91">
                  <c:v>39960</c:v>
                </c:pt>
                <c:pt idx="92">
                  <c:v>39965</c:v>
                </c:pt>
                <c:pt idx="93">
                  <c:v>39966</c:v>
                </c:pt>
                <c:pt idx="94">
                  <c:v>39967</c:v>
                </c:pt>
                <c:pt idx="95">
                  <c:v>39968</c:v>
                </c:pt>
                <c:pt idx="96">
                  <c:v>39969</c:v>
                </c:pt>
                <c:pt idx="97">
                  <c:v>39972</c:v>
                </c:pt>
                <c:pt idx="98">
                  <c:v>39973</c:v>
                </c:pt>
                <c:pt idx="99">
                  <c:v>39974</c:v>
                </c:pt>
                <c:pt idx="100">
                  <c:v>39975</c:v>
                </c:pt>
                <c:pt idx="101">
                  <c:v>39976</c:v>
                </c:pt>
                <c:pt idx="102">
                  <c:v>39979</c:v>
                </c:pt>
                <c:pt idx="103">
                  <c:v>39980</c:v>
                </c:pt>
                <c:pt idx="104">
                  <c:v>39981</c:v>
                </c:pt>
                <c:pt idx="105">
                  <c:v>39982</c:v>
                </c:pt>
                <c:pt idx="106">
                  <c:v>39983</c:v>
                </c:pt>
                <c:pt idx="107">
                  <c:v>39986</c:v>
                </c:pt>
                <c:pt idx="108">
                  <c:v>39987</c:v>
                </c:pt>
                <c:pt idx="109">
                  <c:v>39988</c:v>
                </c:pt>
                <c:pt idx="110">
                  <c:v>39989</c:v>
                </c:pt>
                <c:pt idx="111">
                  <c:v>39990</c:v>
                </c:pt>
                <c:pt idx="112">
                  <c:v>39993</c:v>
                </c:pt>
                <c:pt idx="113">
                  <c:v>39994</c:v>
                </c:pt>
                <c:pt idx="114">
                  <c:v>39995</c:v>
                </c:pt>
                <c:pt idx="115">
                  <c:v>39996</c:v>
                </c:pt>
                <c:pt idx="116">
                  <c:v>39997</c:v>
                </c:pt>
                <c:pt idx="117">
                  <c:v>40000</c:v>
                </c:pt>
                <c:pt idx="118">
                  <c:v>40001</c:v>
                </c:pt>
                <c:pt idx="119">
                  <c:v>40002</c:v>
                </c:pt>
                <c:pt idx="120">
                  <c:v>40003</c:v>
                </c:pt>
                <c:pt idx="121">
                  <c:v>40004</c:v>
                </c:pt>
                <c:pt idx="122">
                  <c:v>40007</c:v>
                </c:pt>
                <c:pt idx="123">
                  <c:v>40008</c:v>
                </c:pt>
                <c:pt idx="124">
                  <c:v>40009</c:v>
                </c:pt>
                <c:pt idx="125">
                  <c:v>40010</c:v>
                </c:pt>
                <c:pt idx="126">
                  <c:v>40011</c:v>
                </c:pt>
                <c:pt idx="127">
                  <c:v>40014</c:v>
                </c:pt>
                <c:pt idx="128">
                  <c:v>40015</c:v>
                </c:pt>
                <c:pt idx="129">
                  <c:v>40016</c:v>
                </c:pt>
                <c:pt idx="130">
                  <c:v>40017</c:v>
                </c:pt>
                <c:pt idx="131">
                  <c:v>40018</c:v>
                </c:pt>
                <c:pt idx="132">
                  <c:v>40021</c:v>
                </c:pt>
                <c:pt idx="133">
                  <c:v>40022</c:v>
                </c:pt>
                <c:pt idx="134">
                  <c:v>40023</c:v>
                </c:pt>
                <c:pt idx="135">
                  <c:v>40024</c:v>
                </c:pt>
                <c:pt idx="136">
                  <c:v>40025</c:v>
                </c:pt>
                <c:pt idx="137">
                  <c:v>40028</c:v>
                </c:pt>
                <c:pt idx="138">
                  <c:v>40029</c:v>
                </c:pt>
                <c:pt idx="139">
                  <c:v>40030</c:v>
                </c:pt>
                <c:pt idx="140">
                  <c:v>40031</c:v>
                </c:pt>
                <c:pt idx="141">
                  <c:v>40032</c:v>
                </c:pt>
                <c:pt idx="142">
                  <c:v>40035</c:v>
                </c:pt>
                <c:pt idx="143">
                  <c:v>40036</c:v>
                </c:pt>
                <c:pt idx="144">
                  <c:v>40037</c:v>
                </c:pt>
                <c:pt idx="145">
                  <c:v>40038</c:v>
                </c:pt>
                <c:pt idx="146">
                  <c:v>40039</c:v>
                </c:pt>
                <c:pt idx="147">
                  <c:v>40042</c:v>
                </c:pt>
                <c:pt idx="148">
                  <c:v>40043</c:v>
                </c:pt>
                <c:pt idx="149">
                  <c:v>40044</c:v>
                </c:pt>
                <c:pt idx="150">
                  <c:v>40045</c:v>
                </c:pt>
                <c:pt idx="151">
                  <c:v>40046</c:v>
                </c:pt>
                <c:pt idx="152">
                  <c:v>40049</c:v>
                </c:pt>
                <c:pt idx="153">
                  <c:v>40050</c:v>
                </c:pt>
                <c:pt idx="154">
                  <c:v>40051</c:v>
                </c:pt>
                <c:pt idx="155">
                  <c:v>40052</c:v>
                </c:pt>
                <c:pt idx="156">
                  <c:v>40053</c:v>
                </c:pt>
                <c:pt idx="157">
                  <c:v>40056</c:v>
                </c:pt>
                <c:pt idx="158">
                  <c:v>40057</c:v>
                </c:pt>
                <c:pt idx="159">
                  <c:v>40058</c:v>
                </c:pt>
                <c:pt idx="160">
                  <c:v>40059</c:v>
                </c:pt>
                <c:pt idx="161">
                  <c:v>40060</c:v>
                </c:pt>
                <c:pt idx="162">
                  <c:v>40063</c:v>
                </c:pt>
                <c:pt idx="163">
                  <c:v>40064</c:v>
                </c:pt>
                <c:pt idx="164">
                  <c:v>40065</c:v>
                </c:pt>
                <c:pt idx="165">
                  <c:v>40066</c:v>
                </c:pt>
                <c:pt idx="166">
                  <c:v>40067</c:v>
                </c:pt>
                <c:pt idx="167">
                  <c:v>40070</c:v>
                </c:pt>
                <c:pt idx="168">
                  <c:v>40071</c:v>
                </c:pt>
                <c:pt idx="169">
                  <c:v>40072</c:v>
                </c:pt>
                <c:pt idx="170">
                  <c:v>40073</c:v>
                </c:pt>
                <c:pt idx="171">
                  <c:v>40074</c:v>
                </c:pt>
                <c:pt idx="172">
                  <c:v>40077</c:v>
                </c:pt>
                <c:pt idx="173">
                  <c:v>40078</c:v>
                </c:pt>
                <c:pt idx="174">
                  <c:v>40079</c:v>
                </c:pt>
                <c:pt idx="175">
                  <c:v>40080</c:v>
                </c:pt>
                <c:pt idx="176">
                  <c:v>40081</c:v>
                </c:pt>
                <c:pt idx="177">
                  <c:v>40084</c:v>
                </c:pt>
                <c:pt idx="178">
                  <c:v>40085</c:v>
                </c:pt>
                <c:pt idx="179">
                  <c:v>40086</c:v>
                </c:pt>
                <c:pt idx="180">
                  <c:v>40095</c:v>
                </c:pt>
                <c:pt idx="181">
                  <c:v>40098</c:v>
                </c:pt>
                <c:pt idx="182">
                  <c:v>40099</c:v>
                </c:pt>
                <c:pt idx="183">
                  <c:v>40100</c:v>
                </c:pt>
                <c:pt idx="184">
                  <c:v>40101</c:v>
                </c:pt>
                <c:pt idx="185">
                  <c:v>40102</c:v>
                </c:pt>
                <c:pt idx="186">
                  <c:v>40105</c:v>
                </c:pt>
                <c:pt idx="187">
                  <c:v>40106</c:v>
                </c:pt>
                <c:pt idx="188">
                  <c:v>40107</c:v>
                </c:pt>
                <c:pt idx="189">
                  <c:v>40108</c:v>
                </c:pt>
                <c:pt idx="190">
                  <c:v>40109</c:v>
                </c:pt>
                <c:pt idx="191">
                  <c:v>40112</c:v>
                </c:pt>
                <c:pt idx="192">
                  <c:v>40113</c:v>
                </c:pt>
                <c:pt idx="193">
                  <c:v>40114</c:v>
                </c:pt>
                <c:pt idx="194">
                  <c:v>40115</c:v>
                </c:pt>
                <c:pt idx="195">
                  <c:v>40116</c:v>
                </c:pt>
                <c:pt idx="196">
                  <c:v>40119</c:v>
                </c:pt>
                <c:pt idx="197">
                  <c:v>40120</c:v>
                </c:pt>
                <c:pt idx="198">
                  <c:v>40121</c:v>
                </c:pt>
                <c:pt idx="199">
                  <c:v>40122</c:v>
                </c:pt>
                <c:pt idx="200">
                  <c:v>40123</c:v>
                </c:pt>
                <c:pt idx="201">
                  <c:v>40126</c:v>
                </c:pt>
                <c:pt idx="202">
                  <c:v>40127</c:v>
                </c:pt>
                <c:pt idx="203">
                  <c:v>40128</c:v>
                </c:pt>
                <c:pt idx="204">
                  <c:v>40129</c:v>
                </c:pt>
                <c:pt idx="205">
                  <c:v>40130</c:v>
                </c:pt>
                <c:pt idx="206">
                  <c:v>40133</c:v>
                </c:pt>
                <c:pt idx="207">
                  <c:v>40134</c:v>
                </c:pt>
                <c:pt idx="208">
                  <c:v>40135</c:v>
                </c:pt>
                <c:pt idx="209">
                  <c:v>40136</c:v>
                </c:pt>
                <c:pt idx="210">
                  <c:v>40137</c:v>
                </c:pt>
                <c:pt idx="211">
                  <c:v>40140</c:v>
                </c:pt>
                <c:pt idx="212">
                  <c:v>40141</c:v>
                </c:pt>
                <c:pt idx="213">
                  <c:v>40142</c:v>
                </c:pt>
                <c:pt idx="214">
                  <c:v>40143</c:v>
                </c:pt>
                <c:pt idx="215">
                  <c:v>40144</c:v>
                </c:pt>
                <c:pt idx="216">
                  <c:v>40147</c:v>
                </c:pt>
                <c:pt idx="217">
                  <c:v>40148</c:v>
                </c:pt>
                <c:pt idx="218">
                  <c:v>40149</c:v>
                </c:pt>
                <c:pt idx="219">
                  <c:v>40150</c:v>
                </c:pt>
                <c:pt idx="220">
                  <c:v>40151</c:v>
                </c:pt>
                <c:pt idx="221">
                  <c:v>40154</c:v>
                </c:pt>
                <c:pt idx="222">
                  <c:v>40155</c:v>
                </c:pt>
                <c:pt idx="223">
                  <c:v>40156</c:v>
                </c:pt>
                <c:pt idx="224">
                  <c:v>40157</c:v>
                </c:pt>
                <c:pt idx="225">
                  <c:v>40158</c:v>
                </c:pt>
                <c:pt idx="226">
                  <c:v>40161</c:v>
                </c:pt>
                <c:pt idx="227">
                  <c:v>40162</c:v>
                </c:pt>
                <c:pt idx="228">
                  <c:v>40163</c:v>
                </c:pt>
                <c:pt idx="229">
                  <c:v>40164</c:v>
                </c:pt>
                <c:pt idx="230">
                  <c:v>40165</c:v>
                </c:pt>
                <c:pt idx="231">
                  <c:v>40168</c:v>
                </c:pt>
                <c:pt idx="232">
                  <c:v>40169</c:v>
                </c:pt>
                <c:pt idx="233">
                  <c:v>40170</c:v>
                </c:pt>
                <c:pt idx="234">
                  <c:v>40171</c:v>
                </c:pt>
                <c:pt idx="235">
                  <c:v>40172</c:v>
                </c:pt>
                <c:pt idx="236">
                  <c:v>40175</c:v>
                </c:pt>
                <c:pt idx="237">
                  <c:v>40176</c:v>
                </c:pt>
                <c:pt idx="238">
                  <c:v>40177</c:v>
                </c:pt>
                <c:pt idx="239">
                  <c:v>40182</c:v>
                </c:pt>
                <c:pt idx="240">
                  <c:v>40183</c:v>
                </c:pt>
                <c:pt idx="241">
                  <c:v>40184</c:v>
                </c:pt>
                <c:pt idx="242">
                  <c:v>40185</c:v>
                </c:pt>
                <c:pt idx="243">
                  <c:v>40186</c:v>
                </c:pt>
                <c:pt idx="244">
                  <c:v>40189</c:v>
                </c:pt>
                <c:pt idx="245">
                  <c:v>40190</c:v>
                </c:pt>
                <c:pt idx="246">
                  <c:v>40191</c:v>
                </c:pt>
                <c:pt idx="247">
                  <c:v>40192</c:v>
                </c:pt>
                <c:pt idx="248">
                  <c:v>40193</c:v>
                </c:pt>
                <c:pt idx="249">
                  <c:v>40196</c:v>
                </c:pt>
                <c:pt idx="250">
                  <c:v>40197</c:v>
                </c:pt>
                <c:pt idx="251">
                  <c:v>40198</c:v>
                </c:pt>
                <c:pt idx="252">
                  <c:v>40199</c:v>
                </c:pt>
                <c:pt idx="253">
                  <c:v>40200</c:v>
                </c:pt>
                <c:pt idx="254">
                  <c:v>40203</c:v>
                </c:pt>
                <c:pt idx="255">
                  <c:v>40204</c:v>
                </c:pt>
                <c:pt idx="256">
                  <c:v>40205</c:v>
                </c:pt>
                <c:pt idx="257">
                  <c:v>40206</c:v>
                </c:pt>
                <c:pt idx="258">
                  <c:v>40207</c:v>
                </c:pt>
                <c:pt idx="259">
                  <c:v>40210</c:v>
                </c:pt>
                <c:pt idx="260">
                  <c:v>40211</c:v>
                </c:pt>
                <c:pt idx="261">
                  <c:v>40212</c:v>
                </c:pt>
                <c:pt idx="262">
                  <c:v>40213</c:v>
                </c:pt>
                <c:pt idx="263">
                  <c:v>40214</c:v>
                </c:pt>
                <c:pt idx="264">
                  <c:v>40231</c:v>
                </c:pt>
                <c:pt idx="265">
                  <c:v>40232</c:v>
                </c:pt>
                <c:pt idx="266">
                  <c:v>40233</c:v>
                </c:pt>
                <c:pt idx="267">
                  <c:v>40234</c:v>
                </c:pt>
                <c:pt idx="268">
                  <c:v>40235</c:v>
                </c:pt>
                <c:pt idx="269">
                  <c:v>40238</c:v>
                </c:pt>
                <c:pt idx="270">
                  <c:v>40239</c:v>
                </c:pt>
                <c:pt idx="271">
                  <c:v>40240</c:v>
                </c:pt>
                <c:pt idx="272">
                  <c:v>40242</c:v>
                </c:pt>
                <c:pt idx="273">
                  <c:v>40245</c:v>
                </c:pt>
                <c:pt idx="274">
                  <c:v>40246</c:v>
                </c:pt>
                <c:pt idx="275">
                  <c:v>40248</c:v>
                </c:pt>
                <c:pt idx="276">
                  <c:v>40249</c:v>
                </c:pt>
                <c:pt idx="277">
                  <c:v>40252</c:v>
                </c:pt>
                <c:pt idx="278">
                  <c:v>40253</c:v>
                </c:pt>
                <c:pt idx="279">
                  <c:v>40254</c:v>
                </c:pt>
                <c:pt idx="280">
                  <c:v>40255</c:v>
                </c:pt>
                <c:pt idx="281">
                  <c:v>40256</c:v>
                </c:pt>
                <c:pt idx="282">
                  <c:v>40259</c:v>
                </c:pt>
                <c:pt idx="283">
                  <c:v>40260</c:v>
                </c:pt>
                <c:pt idx="284">
                  <c:v>40261</c:v>
                </c:pt>
                <c:pt idx="285">
                  <c:v>40262</c:v>
                </c:pt>
                <c:pt idx="286">
                  <c:v>40263</c:v>
                </c:pt>
                <c:pt idx="287">
                  <c:v>40266</c:v>
                </c:pt>
                <c:pt idx="288">
                  <c:v>40267</c:v>
                </c:pt>
                <c:pt idx="289">
                  <c:v>40268</c:v>
                </c:pt>
                <c:pt idx="290">
                  <c:v>40269</c:v>
                </c:pt>
                <c:pt idx="291">
                  <c:v>40270</c:v>
                </c:pt>
                <c:pt idx="292">
                  <c:v>40274</c:v>
                </c:pt>
                <c:pt idx="293">
                  <c:v>40275</c:v>
                </c:pt>
                <c:pt idx="294">
                  <c:v>40277</c:v>
                </c:pt>
                <c:pt idx="295">
                  <c:v>40280</c:v>
                </c:pt>
                <c:pt idx="296">
                  <c:v>40281</c:v>
                </c:pt>
                <c:pt idx="297">
                  <c:v>40282</c:v>
                </c:pt>
                <c:pt idx="298">
                  <c:v>40283</c:v>
                </c:pt>
                <c:pt idx="299">
                  <c:v>40284</c:v>
                </c:pt>
                <c:pt idx="300">
                  <c:v>40287</c:v>
                </c:pt>
                <c:pt idx="301">
                  <c:v>40288</c:v>
                </c:pt>
                <c:pt idx="302">
                  <c:v>40289</c:v>
                </c:pt>
                <c:pt idx="303">
                  <c:v>40290</c:v>
                </c:pt>
                <c:pt idx="304">
                  <c:v>40291</c:v>
                </c:pt>
                <c:pt idx="305">
                  <c:v>40294</c:v>
                </c:pt>
                <c:pt idx="306">
                  <c:v>40295</c:v>
                </c:pt>
                <c:pt idx="307">
                  <c:v>40296</c:v>
                </c:pt>
                <c:pt idx="308">
                  <c:v>40297</c:v>
                </c:pt>
                <c:pt idx="309">
                  <c:v>40298</c:v>
                </c:pt>
                <c:pt idx="310">
                  <c:v>40302</c:v>
                </c:pt>
                <c:pt idx="311">
                  <c:v>40303</c:v>
                </c:pt>
                <c:pt idx="312">
                  <c:v>40304</c:v>
                </c:pt>
                <c:pt idx="313">
                  <c:v>40305</c:v>
                </c:pt>
                <c:pt idx="314">
                  <c:v>40308</c:v>
                </c:pt>
                <c:pt idx="315">
                  <c:v>40309</c:v>
                </c:pt>
                <c:pt idx="316">
                  <c:v>40310</c:v>
                </c:pt>
                <c:pt idx="317">
                  <c:v>40311</c:v>
                </c:pt>
                <c:pt idx="318">
                  <c:v>40312</c:v>
                </c:pt>
                <c:pt idx="319">
                  <c:v>40315</c:v>
                </c:pt>
                <c:pt idx="320">
                  <c:v>40316</c:v>
                </c:pt>
                <c:pt idx="321">
                  <c:v>40317</c:v>
                </c:pt>
                <c:pt idx="322">
                  <c:v>40318</c:v>
                </c:pt>
                <c:pt idx="323">
                  <c:v>40319</c:v>
                </c:pt>
                <c:pt idx="324">
                  <c:v>40322</c:v>
                </c:pt>
                <c:pt idx="325">
                  <c:v>40323</c:v>
                </c:pt>
                <c:pt idx="326">
                  <c:v>40324</c:v>
                </c:pt>
                <c:pt idx="327">
                  <c:v>40325</c:v>
                </c:pt>
                <c:pt idx="328">
                  <c:v>40326</c:v>
                </c:pt>
                <c:pt idx="329">
                  <c:v>40329</c:v>
                </c:pt>
                <c:pt idx="330">
                  <c:v>40330</c:v>
                </c:pt>
                <c:pt idx="331">
                  <c:v>40331</c:v>
                </c:pt>
                <c:pt idx="332">
                  <c:v>40333</c:v>
                </c:pt>
                <c:pt idx="333">
                  <c:v>40336</c:v>
                </c:pt>
                <c:pt idx="334">
                  <c:v>40337</c:v>
                </c:pt>
                <c:pt idx="335">
                  <c:v>40338</c:v>
                </c:pt>
                <c:pt idx="336">
                  <c:v>40340</c:v>
                </c:pt>
                <c:pt idx="337">
                  <c:v>40346</c:v>
                </c:pt>
                <c:pt idx="338">
                  <c:v>40347</c:v>
                </c:pt>
                <c:pt idx="339">
                  <c:v>40350</c:v>
                </c:pt>
                <c:pt idx="340">
                  <c:v>40351</c:v>
                </c:pt>
                <c:pt idx="341">
                  <c:v>40352</c:v>
                </c:pt>
                <c:pt idx="342">
                  <c:v>40353</c:v>
                </c:pt>
                <c:pt idx="343">
                  <c:v>40354</c:v>
                </c:pt>
                <c:pt idx="344">
                  <c:v>40357</c:v>
                </c:pt>
                <c:pt idx="345">
                  <c:v>40358</c:v>
                </c:pt>
                <c:pt idx="346">
                  <c:v>40359</c:v>
                </c:pt>
                <c:pt idx="347">
                  <c:v>40360</c:v>
                </c:pt>
                <c:pt idx="348">
                  <c:v>40361</c:v>
                </c:pt>
                <c:pt idx="349">
                  <c:v>40364</c:v>
                </c:pt>
                <c:pt idx="350">
                  <c:v>40365</c:v>
                </c:pt>
                <c:pt idx="351">
                  <c:v>40366</c:v>
                </c:pt>
                <c:pt idx="352">
                  <c:v>40367</c:v>
                </c:pt>
                <c:pt idx="353">
                  <c:v>40368</c:v>
                </c:pt>
                <c:pt idx="354">
                  <c:v>40371</c:v>
                </c:pt>
                <c:pt idx="355">
                  <c:v>40372</c:v>
                </c:pt>
                <c:pt idx="356">
                  <c:v>40373</c:v>
                </c:pt>
                <c:pt idx="357">
                  <c:v>40374</c:v>
                </c:pt>
                <c:pt idx="358">
                  <c:v>40375</c:v>
                </c:pt>
                <c:pt idx="359">
                  <c:v>40378</c:v>
                </c:pt>
                <c:pt idx="360">
                  <c:v>40379</c:v>
                </c:pt>
                <c:pt idx="361">
                  <c:v>40380</c:v>
                </c:pt>
                <c:pt idx="362">
                  <c:v>40381</c:v>
                </c:pt>
                <c:pt idx="363">
                  <c:v>40382</c:v>
                </c:pt>
                <c:pt idx="364">
                  <c:v>40385</c:v>
                </c:pt>
                <c:pt idx="365">
                  <c:v>40386</c:v>
                </c:pt>
                <c:pt idx="366">
                  <c:v>40388</c:v>
                </c:pt>
                <c:pt idx="367">
                  <c:v>40389</c:v>
                </c:pt>
                <c:pt idx="368">
                  <c:v>40392</c:v>
                </c:pt>
                <c:pt idx="369">
                  <c:v>40393</c:v>
                </c:pt>
                <c:pt idx="370">
                  <c:v>40394</c:v>
                </c:pt>
                <c:pt idx="371">
                  <c:v>40395</c:v>
                </c:pt>
                <c:pt idx="372">
                  <c:v>40396</c:v>
                </c:pt>
                <c:pt idx="373">
                  <c:v>40399</c:v>
                </c:pt>
                <c:pt idx="374">
                  <c:v>40400</c:v>
                </c:pt>
                <c:pt idx="375">
                  <c:v>40401</c:v>
                </c:pt>
                <c:pt idx="376">
                  <c:v>40402</c:v>
                </c:pt>
                <c:pt idx="377">
                  <c:v>40403</c:v>
                </c:pt>
                <c:pt idx="378">
                  <c:v>40406</c:v>
                </c:pt>
                <c:pt idx="379">
                  <c:v>40407</c:v>
                </c:pt>
                <c:pt idx="380">
                  <c:v>40408</c:v>
                </c:pt>
                <c:pt idx="381">
                  <c:v>40409</c:v>
                </c:pt>
                <c:pt idx="382">
                  <c:v>40410</c:v>
                </c:pt>
                <c:pt idx="383">
                  <c:v>40413</c:v>
                </c:pt>
                <c:pt idx="384">
                  <c:v>40414</c:v>
                </c:pt>
                <c:pt idx="385">
                  <c:v>40415</c:v>
                </c:pt>
                <c:pt idx="386">
                  <c:v>40417</c:v>
                </c:pt>
                <c:pt idx="387">
                  <c:v>40420</c:v>
                </c:pt>
                <c:pt idx="388">
                  <c:v>40421</c:v>
                </c:pt>
                <c:pt idx="389">
                  <c:v>40422</c:v>
                </c:pt>
                <c:pt idx="390">
                  <c:v>40423</c:v>
                </c:pt>
                <c:pt idx="391">
                  <c:v>40424</c:v>
                </c:pt>
                <c:pt idx="392">
                  <c:v>40427</c:v>
                </c:pt>
                <c:pt idx="393">
                  <c:v>40428</c:v>
                </c:pt>
                <c:pt idx="394">
                  <c:v>40429</c:v>
                </c:pt>
                <c:pt idx="395">
                  <c:v>40430</c:v>
                </c:pt>
                <c:pt idx="396">
                  <c:v>40431</c:v>
                </c:pt>
                <c:pt idx="397">
                  <c:v>40434</c:v>
                </c:pt>
                <c:pt idx="398">
                  <c:v>40435</c:v>
                </c:pt>
                <c:pt idx="399">
                  <c:v>40436</c:v>
                </c:pt>
                <c:pt idx="400">
                  <c:v>40437</c:v>
                </c:pt>
                <c:pt idx="401">
                  <c:v>40438</c:v>
                </c:pt>
                <c:pt idx="402">
                  <c:v>40441</c:v>
                </c:pt>
                <c:pt idx="403">
                  <c:v>40442</c:v>
                </c:pt>
                <c:pt idx="404">
                  <c:v>40448</c:v>
                </c:pt>
                <c:pt idx="405">
                  <c:v>40449</c:v>
                </c:pt>
                <c:pt idx="406">
                  <c:v>40450</c:v>
                </c:pt>
                <c:pt idx="407">
                  <c:v>40451</c:v>
                </c:pt>
                <c:pt idx="408">
                  <c:v>40459</c:v>
                </c:pt>
                <c:pt idx="409">
                  <c:v>40462</c:v>
                </c:pt>
                <c:pt idx="410">
                  <c:v>40463</c:v>
                </c:pt>
                <c:pt idx="411">
                  <c:v>40464</c:v>
                </c:pt>
                <c:pt idx="412">
                  <c:v>40465</c:v>
                </c:pt>
                <c:pt idx="413">
                  <c:v>40466</c:v>
                </c:pt>
                <c:pt idx="414">
                  <c:v>40469</c:v>
                </c:pt>
                <c:pt idx="415">
                  <c:v>40470</c:v>
                </c:pt>
                <c:pt idx="416">
                  <c:v>40471</c:v>
                </c:pt>
                <c:pt idx="417">
                  <c:v>40472</c:v>
                </c:pt>
                <c:pt idx="418">
                  <c:v>40473</c:v>
                </c:pt>
                <c:pt idx="419">
                  <c:v>40476</c:v>
                </c:pt>
                <c:pt idx="420">
                  <c:v>40477</c:v>
                </c:pt>
                <c:pt idx="421">
                  <c:v>40478</c:v>
                </c:pt>
                <c:pt idx="422">
                  <c:v>40479</c:v>
                </c:pt>
                <c:pt idx="423">
                  <c:v>40480</c:v>
                </c:pt>
                <c:pt idx="424">
                  <c:v>40483</c:v>
                </c:pt>
                <c:pt idx="425">
                  <c:v>40484</c:v>
                </c:pt>
                <c:pt idx="426">
                  <c:v>40485</c:v>
                </c:pt>
                <c:pt idx="427">
                  <c:v>40486</c:v>
                </c:pt>
                <c:pt idx="428">
                  <c:v>40487</c:v>
                </c:pt>
                <c:pt idx="429">
                  <c:v>40490</c:v>
                </c:pt>
                <c:pt idx="430">
                  <c:v>40491</c:v>
                </c:pt>
                <c:pt idx="431">
                  <c:v>40492</c:v>
                </c:pt>
                <c:pt idx="432">
                  <c:v>40493</c:v>
                </c:pt>
                <c:pt idx="433">
                  <c:v>40494</c:v>
                </c:pt>
                <c:pt idx="434">
                  <c:v>40497</c:v>
                </c:pt>
                <c:pt idx="435">
                  <c:v>40498</c:v>
                </c:pt>
                <c:pt idx="436">
                  <c:v>40499</c:v>
                </c:pt>
                <c:pt idx="437">
                  <c:v>40500</c:v>
                </c:pt>
                <c:pt idx="438">
                  <c:v>40501</c:v>
                </c:pt>
                <c:pt idx="439">
                  <c:v>40504</c:v>
                </c:pt>
                <c:pt idx="440">
                  <c:v>40505</c:v>
                </c:pt>
                <c:pt idx="441">
                  <c:v>40506</c:v>
                </c:pt>
                <c:pt idx="442">
                  <c:v>40507</c:v>
                </c:pt>
                <c:pt idx="443">
                  <c:v>40508</c:v>
                </c:pt>
                <c:pt idx="444">
                  <c:v>40511</c:v>
                </c:pt>
                <c:pt idx="445">
                  <c:v>40512</c:v>
                </c:pt>
                <c:pt idx="446">
                  <c:v>40513</c:v>
                </c:pt>
                <c:pt idx="447">
                  <c:v>40514</c:v>
                </c:pt>
                <c:pt idx="448">
                  <c:v>40515</c:v>
                </c:pt>
                <c:pt idx="449">
                  <c:v>40518</c:v>
                </c:pt>
                <c:pt idx="450">
                  <c:v>40519</c:v>
                </c:pt>
                <c:pt idx="451">
                  <c:v>40520</c:v>
                </c:pt>
                <c:pt idx="452">
                  <c:v>40521</c:v>
                </c:pt>
                <c:pt idx="453">
                  <c:v>40522</c:v>
                </c:pt>
                <c:pt idx="454">
                  <c:v>40525</c:v>
                </c:pt>
                <c:pt idx="455">
                  <c:v>40526</c:v>
                </c:pt>
                <c:pt idx="456">
                  <c:v>40527</c:v>
                </c:pt>
                <c:pt idx="457">
                  <c:v>40528</c:v>
                </c:pt>
                <c:pt idx="458">
                  <c:v>40529</c:v>
                </c:pt>
                <c:pt idx="459">
                  <c:v>40532</c:v>
                </c:pt>
                <c:pt idx="460">
                  <c:v>40533</c:v>
                </c:pt>
                <c:pt idx="461">
                  <c:v>40534</c:v>
                </c:pt>
                <c:pt idx="462">
                  <c:v>40535</c:v>
                </c:pt>
                <c:pt idx="463">
                  <c:v>40536</c:v>
                </c:pt>
                <c:pt idx="464">
                  <c:v>40539</c:v>
                </c:pt>
                <c:pt idx="465">
                  <c:v>40540</c:v>
                </c:pt>
                <c:pt idx="466">
                  <c:v>40541</c:v>
                </c:pt>
                <c:pt idx="467">
                  <c:v>40542</c:v>
                </c:pt>
                <c:pt idx="468">
                  <c:v>40543</c:v>
                </c:pt>
                <c:pt idx="469">
                  <c:v>40547</c:v>
                </c:pt>
                <c:pt idx="470">
                  <c:v>40548</c:v>
                </c:pt>
                <c:pt idx="471">
                  <c:v>40549</c:v>
                </c:pt>
                <c:pt idx="472">
                  <c:v>40550</c:v>
                </c:pt>
                <c:pt idx="473">
                  <c:v>40553</c:v>
                </c:pt>
                <c:pt idx="474">
                  <c:v>40554</c:v>
                </c:pt>
                <c:pt idx="475">
                  <c:v>40555</c:v>
                </c:pt>
                <c:pt idx="476">
                  <c:v>40556</c:v>
                </c:pt>
                <c:pt idx="477">
                  <c:v>40557</c:v>
                </c:pt>
                <c:pt idx="478">
                  <c:v>40560</c:v>
                </c:pt>
                <c:pt idx="479">
                  <c:v>40561</c:v>
                </c:pt>
                <c:pt idx="480">
                  <c:v>40562</c:v>
                </c:pt>
                <c:pt idx="481">
                  <c:v>40563</c:v>
                </c:pt>
                <c:pt idx="482">
                  <c:v>40564</c:v>
                </c:pt>
                <c:pt idx="483">
                  <c:v>40567</c:v>
                </c:pt>
                <c:pt idx="484">
                  <c:v>40568</c:v>
                </c:pt>
                <c:pt idx="485">
                  <c:v>40569</c:v>
                </c:pt>
                <c:pt idx="486">
                  <c:v>40570</c:v>
                </c:pt>
                <c:pt idx="487">
                  <c:v>40583</c:v>
                </c:pt>
                <c:pt idx="488">
                  <c:v>40584</c:v>
                </c:pt>
                <c:pt idx="489">
                  <c:v>40585</c:v>
                </c:pt>
                <c:pt idx="490">
                  <c:v>40588</c:v>
                </c:pt>
                <c:pt idx="491">
                  <c:v>40589</c:v>
                </c:pt>
                <c:pt idx="492">
                  <c:v>40590</c:v>
                </c:pt>
                <c:pt idx="493">
                  <c:v>40591</c:v>
                </c:pt>
                <c:pt idx="494">
                  <c:v>40592</c:v>
                </c:pt>
                <c:pt idx="495">
                  <c:v>40595</c:v>
                </c:pt>
                <c:pt idx="496">
                  <c:v>40596</c:v>
                </c:pt>
                <c:pt idx="497">
                  <c:v>40597</c:v>
                </c:pt>
                <c:pt idx="498">
                  <c:v>40598</c:v>
                </c:pt>
                <c:pt idx="499">
                  <c:v>40602</c:v>
                </c:pt>
                <c:pt idx="500">
                  <c:v>40603</c:v>
                </c:pt>
                <c:pt idx="501">
                  <c:v>40604</c:v>
                </c:pt>
                <c:pt idx="502">
                  <c:v>40605</c:v>
                </c:pt>
                <c:pt idx="503">
                  <c:v>40606</c:v>
                </c:pt>
                <c:pt idx="504">
                  <c:v>40609</c:v>
                </c:pt>
                <c:pt idx="505">
                  <c:v>40610</c:v>
                </c:pt>
                <c:pt idx="506">
                  <c:v>40611</c:v>
                </c:pt>
                <c:pt idx="507">
                  <c:v>40612</c:v>
                </c:pt>
                <c:pt idx="508">
                  <c:v>40613</c:v>
                </c:pt>
                <c:pt idx="509">
                  <c:v>40616</c:v>
                </c:pt>
                <c:pt idx="510">
                  <c:v>40617</c:v>
                </c:pt>
                <c:pt idx="511">
                  <c:v>40618</c:v>
                </c:pt>
                <c:pt idx="512">
                  <c:v>40619</c:v>
                </c:pt>
                <c:pt idx="513">
                  <c:v>40621</c:v>
                </c:pt>
                <c:pt idx="514">
                  <c:v>40623</c:v>
                </c:pt>
                <c:pt idx="515">
                  <c:v>40624</c:v>
                </c:pt>
                <c:pt idx="516">
                  <c:v>40625</c:v>
                </c:pt>
                <c:pt idx="517">
                  <c:v>40626</c:v>
                </c:pt>
                <c:pt idx="518">
                  <c:v>40627</c:v>
                </c:pt>
                <c:pt idx="519">
                  <c:v>40630</c:v>
                </c:pt>
                <c:pt idx="520">
                  <c:v>40631</c:v>
                </c:pt>
                <c:pt idx="521">
                  <c:v>40632</c:v>
                </c:pt>
                <c:pt idx="522">
                  <c:v>40634</c:v>
                </c:pt>
                <c:pt idx="523">
                  <c:v>40639</c:v>
                </c:pt>
                <c:pt idx="524">
                  <c:v>40640</c:v>
                </c:pt>
                <c:pt idx="525">
                  <c:v>40641</c:v>
                </c:pt>
                <c:pt idx="526">
                  <c:v>40644</c:v>
                </c:pt>
                <c:pt idx="527">
                  <c:v>40645</c:v>
                </c:pt>
                <c:pt idx="528">
                  <c:v>40646</c:v>
                </c:pt>
                <c:pt idx="529">
                  <c:v>40647</c:v>
                </c:pt>
                <c:pt idx="530">
                  <c:v>40648</c:v>
                </c:pt>
                <c:pt idx="531">
                  <c:v>40651</c:v>
                </c:pt>
                <c:pt idx="532">
                  <c:v>40652</c:v>
                </c:pt>
                <c:pt idx="533">
                  <c:v>40653</c:v>
                </c:pt>
                <c:pt idx="534">
                  <c:v>40654</c:v>
                </c:pt>
                <c:pt idx="535">
                  <c:v>40655</c:v>
                </c:pt>
                <c:pt idx="536">
                  <c:v>40658</c:v>
                </c:pt>
                <c:pt idx="537">
                  <c:v>40659</c:v>
                </c:pt>
                <c:pt idx="538">
                  <c:v>40660</c:v>
                </c:pt>
                <c:pt idx="539">
                  <c:v>40662</c:v>
                </c:pt>
                <c:pt idx="540">
                  <c:v>40666</c:v>
                </c:pt>
                <c:pt idx="541">
                  <c:v>40667</c:v>
                </c:pt>
                <c:pt idx="542">
                  <c:v>40668</c:v>
                </c:pt>
                <c:pt idx="543">
                  <c:v>40669</c:v>
                </c:pt>
                <c:pt idx="544">
                  <c:v>40672</c:v>
                </c:pt>
                <c:pt idx="545">
                  <c:v>40673</c:v>
                </c:pt>
                <c:pt idx="546">
                  <c:v>40674</c:v>
                </c:pt>
                <c:pt idx="547">
                  <c:v>40676</c:v>
                </c:pt>
                <c:pt idx="548">
                  <c:v>40679</c:v>
                </c:pt>
                <c:pt idx="549">
                  <c:v>40680</c:v>
                </c:pt>
                <c:pt idx="550">
                  <c:v>40681</c:v>
                </c:pt>
                <c:pt idx="551">
                  <c:v>40683</c:v>
                </c:pt>
                <c:pt idx="552">
                  <c:v>40686</c:v>
                </c:pt>
                <c:pt idx="553">
                  <c:v>40687</c:v>
                </c:pt>
                <c:pt idx="554">
                  <c:v>40688</c:v>
                </c:pt>
                <c:pt idx="555">
                  <c:v>40689</c:v>
                </c:pt>
                <c:pt idx="556">
                  <c:v>40690</c:v>
                </c:pt>
                <c:pt idx="557">
                  <c:v>40693</c:v>
                </c:pt>
                <c:pt idx="558">
                  <c:v>40694</c:v>
                </c:pt>
                <c:pt idx="559">
                  <c:v>40695</c:v>
                </c:pt>
                <c:pt idx="560">
                  <c:v>40696</c:v>
                </c:pt>
                <c:pt idx="561">
                  <c:v>40697</c:v>
                </c:pt>
                <c:pt idx="562">
                  <c:v>40701</c:v>
                </c:pt>
                <c:pt idx="563">
                  <c:v>40702</c:v>
                </c:pt>
                <c:pt idx="564">
                  <c:v>40703</c:v>
                </c:pt>
                <c:pt idx="565">
                  <c:v>40704</c:v>
                </c:pt>
                <c:pt idx="566">
                  <c:v>40707</c:v>
                </c:pt>
                <c:pt idx="567">
                  <c:v>40708</c:v>
                </c:pt>
                <c:pt idx="568">
                  <c:v>40709</c:v>
                </c:pt>
                <c:pt idx="569">
                  <c:v>40710</c:v>
                </c:pt>
                <c:pt idx="570">
                  <c:v>40711</c:v>
                </c:pt>
                <c:pt idx="571">
                  <c:v>40714</c:v>
                </c:pt>
                <c:pt idx="572">
                  <c:v>40715</c:v>
                </c:pt>
                <c:pt idx="573">
                  <c:v>40717</c:v>
                </c:pt>
                <c:pt idx="574">
                  <c:v>40718</c:v>
                </c:pt>
                <c:pt idx="575">
                  <c:v>40721</c:v>
                </c:pt>
                <c:pt idx="576">
                  <c:v>40722</c:v>
                </c:pt>
                <c:pt idx="577">
                  <c:v>40723</c:v>
                </c:pt>
                <c:pt idx="578">
                  <c:v>40724</c:v>
                </c:pt>
                <c:pt idx="579">
                  <c:v>40725</c:v>
                </c:pt>
                <c:pt idx="580">
                  <c:v>40728</c:v>
                </c:pt>
                <c:pt idx="581">
                  <c:v>40729</c:v>
                </c:pt>
                <c:pt idx="582">
                  <c:v>40730</c:v>
                </c:pt>
                <c:pt idx="583">
                  <c:v>40732</c:v>
                </c:pt>
                <c:pt idx="584">
                  <c:v>40735</c:v>
                </c:pt>
                <c:pt idx="585">
                  <c:v>40736</c:v>
                </c:pt>
                <c:pt idx="586">
                  <c:v>40737</c:v>
                </c:pt>
                <c:pt idx="587">
                  <c:v>40738</c:v>
                </c:pt>
                <c:pt idx="588">
                  <c:v>40739</c:v>
                </c:pt>
                <c:pt idx="589">
                  <c:v>40742</c:v>
                </c:pt>
                <c:pt idx="590">
                  <c:v>40743</c:v>
                </c:pt>
                <c:pt idx="591">
                  <c:v>40744</c:v>
                </c:pt>
                <c:pt idx="592">
                  <c:v>40745</c:v>
                </c:pt>
                <c:pt idx="593">
                  <c:v>40746</c:v>
                </c:pt>
                <c:pt idx="594">
                  <c:v>40749</c:v>
                </c:pt>
                <c:pt idx="595">
                  <c:v>40750</c:v>
                </c:pt>
                <c:pt idx="596">
                  <c:v>40751</c:v>
                </c:pt>
                <c:pt idx="597">
                  <c:v>40752</c:v>
                </c:pt>
                <c:pt idx="598">
                  <c:v>40753</c:v>
                </c:pt>
                <c:pt idx="599">
                  <c:v>40756</c:v>
                </c:pt>
                <c:pt idx="600">
                  <c:v>40757</c:v>
                </c:pt>
                <c:pt idx="601">
                  <c:v>40758</c:v>
                </c:pt>
                <c:pt idx="602">
                  <c:v>40759</c:v>
                </c:pt>
                <c:pt idx="603">
                  <c:v>40760</c:v>
                </c:pt>
                <c:pt idx="604">
                  <c:v>40763</c:v>
                </c:pt>
                <c:pt idx="605">
                  <c:v>40764</c:v>
                </c:pt>
                <c:pt idx="606">
                  <c:v>40765</c:v>
                </c:pt>
                <c:pt idx="607">
                  <c:v>40766</c:v>
                </c:pt>
                <c:pt idx="608">
                  <c:v>40767</c:v>
                </c:pt>
                <c:pt idx="609">
                  <c:v>40770</c:v>
                </c:pt>
                <c:pt idx="610">
                  <c:v>40771</c:v>
                </c:pt>
                <c:pt idx="611">
                  <c:v>40772</c:v>
                </c:pt>
                <c:pt idx="612">
                  <c:v>40773</c:v>
                </c:pt>
                <c:pt idx="613">
                  <c:v>40774</c:v>
                </c:pt>
                <c:pt idx="614">
                  <c:v>40777</c:v>
                </c:pt>
                <c:pt idx="615">
                  <c:v>40778</c:v>
                </c:pt>
                <c:pt idx="616">
                  <c:v>40779</c:v>
                </c:pt>
                <c:pt idx="617">
                  <c:v>40780</c:v>
                </c:pt>
                <c:pt idx="618">
                  <c:v>40781</c:v>
                </c:pt>
                <c:pt idx="619">
                  <c:v>40784</c:v>
                </c:pt>
                <c:pt idx="620">
                  <c:v>40785</c:v>
                </c:pt>
                <c:pt idx="621">
                  <c:v>40786</c:v>
                </c:pt>
                <c:pt idx="622">
                  <c:v>40787</c:v>
                </c:pt>
                <c:pt idx="623">
                  <c:v>40788</c:v>
                </c:pt>
                <c:pt idx="624">
                  <c:v>40791</c:v>
                </c:pt>
                <c:pt idx="625">
                  <c:v>40792</c:v>
                </c:pt>
                <c:pt idx="626">
                  <c:v>40793</c:v>
                </c:pt>
                <c:pt idx="627">
                  <c:v>40794</c:v>
                </c:pt>
                <c:pt idx="628">
                  <c:v>40795</c:v>
                </c:pt>
                <c:pt idx="629">
                  <c:v>40799</c:v>
                </c:pt>
                <c:pt idx="630">
                  <c:v>40800</c:v>
                </c:pt>
                <c:pt idx="631">
                  <c:v>40801</c:v>
                </c:pt>
                <c:pt idx="632">
                  <c:v>40805</c:v>
                </c:pt>
                <c:pt idx="633">
                  <c:v>40806</c:v>
                </c:pt>
                <c:pt idx="634">
                  <c:v>40807</c:v>
                </c:pt>
                <c:pt idx="635">
                  <c:v>40808</c:v>
                </c:pt>
                <c:pt idx="636">
                  <c:v>40809</c:v>
                </c:pt>
                <c:pt idx="637">
                  <c:v>40812</c:v>
                </c:pt>
                <c:pt idx="638">
                  <c:v>40813</c:v>
                </c:pt>
                <c:pt idx="639">
                  <c:v>40814</c:v>
                </c:pt>
                <c:pt idx="640">
                  <c:v>40815</c:v>
                </c:pt>
                <c:pt idx="641">
                  <c:v>40816</c:v>
                </c:pt>
                <c:pt idx="642">
                  <c:v>40826</c:v>
                </c:pt>
                <c:pt idx="643">
                  <c:v>40827</c:v>
                </c:pt>
                <c:pt idx="644">
                  <c:v>40828</c:v>
                </c:pt>
                <c:pt idx="645">
                  <c:v>40829</c:v>
                </c:pt>
                <c:pt idx="646">
                  <c:v>40830</c:v>
                </c:pt>
                <c:pt idx="647">
                  <c:v>40833</c:v>
                </c:pt>
                <c:pt idx="648">
                  <c:v>40834</c:v>
                </c:pt>
                <c:pt idx="649">
                  <c:v>40835</c:v>
                </c:pt>
                <c:pt idx="650">
                  <c:v>40836</c:v>
                </c:pt>
                <c:pt idx="651">
                  <c:v>40837</c:v>
                </c:pt>
                <c:pt idx="652">
                  <c:v>40840</c:v>
                </c:pt>
                <c:pt idx="653">
                  <c:v>40841</c:v>
                </c:pt>
                <c:pt idx="654">
                  <c:v>40842</c:v>
                </c:pt>
                <c:pt idx="655">
                  <c:v>40843</c:v>
                </c:pt>
                <c:pt idx="656">
                  <c:v>40844</c:v>
                </c:pt>
                <c:pt idx="657">
                  <c:v>40847</c:v>
                </c:pt>
                <c:pt idx="658">
                  <c:v>40848</c:v>
                </c:pt>
                <c:pt idx="659">
                  <c:v>40849</c:v>
                </c:pt>
                <c:pt idx="660">
                  <c:v>40850</c:v>
                </c:pt>
                <c:pt idx="661">
                  <c:v>40851</c:v>
                </c:pt>
                <c:pt idx="662">
                  <c:v>40854</c:v>
                </c:pt>
                <c:pt idx="663">
                  <c:v>40855</c:v>
                </c:pt>
                <c:pt idx="664">
                  <c:v>40856</c:v>
                </c:pt>
                <c:pt idx="665">
                  <c:v>40857</c:v>
                </c:pt>
                <c:pt idx="666">
                  <c:v>40858</c:v>
                </c:pt>
                <c:pt idx="667">
                  <c:v>40861</c:v>
                </c:pt>
                <c:pt idx="668">
                  <c:v>40862</c:v>
                </c:pt>
                <c:pt idx="669">
                  <c:v>40863</c:v>
                </c:pt>
                <c:pt idx="670">
                  <c:v>40864</c:v>
                </c:pt>
                <c:pt idx="671">
                  <c:v>40865</c:v>
                </c:pt>
                <c:pt idx="672">
                  <c:v>40868</c:v>
                </c:pt>
                <c:pt idx="673">
                  <c:v>40869</c:v>
                </c:pt>
                <c:pt idx="674">
                  <c:v>40870</c:v>
                </c:pt>
                <c:pt idx="675">
                  <c:v>40871</c:v>
                </c:pt>
                <c:pt idx="676">
                  <c:v>40872</c:v>
                </c:pt>
                <c:pt idx="677">
                  <c:v>40875</c:v>
                </c:pt>
                <c:pt idx="678">
                  <c:v>40876</c:v>
                </c:pt>
                <c:pt idx="679">
                  <c:v>40877</c:v>
                </c:pt>
                <c:pt idx="680">
                  <c:v>40878</c:v>
                </c:pt>
                <c:pt idx="681">
                  <c:v>40879</c:v>
                </c:pt>
                <c:pt idx="682">
                  <c:v>40882</c:v>
                </c:pt>
                <c:pt idx="683">
                  <c:v>40883</c:v>
                </c:pt>
                <c:pt idx="684">
                  <c:v>40885</c:v>
                </c:pt>
                <c:pt idx="685">
                  <c:v>40886</c:v>
                </c:pt>
                <c:pt idx="686">
                  <c:v>40889</c:v>
                </c:pt>
                <c:pt idx="687">
                  <c:v>40891</c:v>
                </c:pt>
                <c:pt idx="688">
                  <c:v>40892</c:v>
                </c:pt>
                <c:pt idx="689">
                  <c:v>40893</c:v>
                </c:pt>
                <c:pt idx="690">
                  <c:v>40896</c:v>
                </c:pt>
                <c:pt idx="691">
                  <c:v>40897</c:v>
                </c:pt>
                <c:pt idx="692">
                  <c:v>40898</c:v>
                </c:pt>
                <c:pt idx="693">
                  <c:v>40900</c:v>
                </c:pt>
                <c:pt idx="694">
                  <c:v>40903</c:v>
                </c:pt>
                <c:pt idx="695">
                  <c:v>40904</c:v>
                </c:pt>
                <c:pt idx="696">
                  <c:v>40905</c:v>
                </c:pt>
                <c:pt idx="697">
                  <c:v>40906</c:v>
                </c:pt>
                <c:pt idx="698">
                  <c:v>40907</c:v>
                </c:pt>
                <c:pt idx="699">
                  <c:v>40912</c:v>
                </c:pt>
                <c:pt idx="700">
                  <c:v>40913</c:v>
                </c:pt>
                <c:pt idx="701">
                  <c:v>40914</c:v>
                </c:pt>
                <c:pt idx="702">
                  <c:v>40917</c:v>
                </c:pt>
                <c:pt idx="703">
                  <c:v>40918</c:v>
                </c:pt>
                <c:pt idx="704">
                  <c:v>40919</c:v>
                </c:pt>
                <c:pt idx="705">
                  <c:v>40920</c:v>
                </c:pt>
                <c:pt idx="706">
                  <c:v>40921</c:v>
                </c:pt>
                <c:pt idx="707">
                  <c:v>40924</c:v>
                </c:pt>
                <c:pt idx="708">
                  <c:v>40925</c:v>
                </c:pt>
                <c:pt idx="709">
                  <c:v>40926</c:v>
                </c:pt>
                <c:pt idx="710">
                  <c:v>40938</c:v>
                </c:pt>
                <c:pt idx="711">
                  <c:v>40939</c:v>
                </c:pt>
                <c:pt idx="712">
                  <c:v>40940</c:v>
                </c:pt>
                <c:pt idx="713">
                  <c:v>40941</c:v>
                </c:pt>
                <c:pt idx="714">
                  <c:v>40942</c:v>
                </c:pt>
                <c:pt idx="715">
                  <c:v>40945</c:v>
                </c:pt>
                <c:pt idx="716">
                  <c:v>40946</c:v>
                </c:pt>
                <c:pt idx="717">
                  <c:v>40947</c:v>
                </c:pt>
                <c:pt idx="718">
                  <c:v>40948</c:v>
                </c:pt>
                <c:pt idx="719">
                  <c:v>40949</c:v>
                </c:pt>
                <c:pt idx="720">
                  <c:v>40952</c:v>
                </c:pt>
                <c:pt idx="721">
                  <c:v>40954</c:v>
                </c:pt>
                <c:pt idx="722">
                  <c:v>40955</c:v>
                </c:pt>
                <c:pt idx="723">
                  <c:v>40959</c:v>
                </c:pt>
                <c:pt idx="724">
                  <c:v>40960</c:v>
                </c:pt>
                <c:pt idx="725">
                  <c:v>40961</c:v>
                </c:pt>
                <c:pt idx="726">
                  <c:v>40962</c:v>
                </c:pt>
                <c:pt idx="727">
                  <c:v>40963</c:v>
                </c:pt>
                <c:pt idx="728">
                  <c:v>40966</c:v>
                </c:pt>
                <c:pt idx="729">
                  <c:v>40967</c:v>
                </c:pt>
                <c:pt idx="730">
                  <c:v>40968</c:v>
                </c:pt>
                <c:pt idx="731">
                  <c:v>40969</c:v>
                </c:pt>
                <c:pt idx="732">
                  <c:v>40991</c:v>
                </c:pt>
                <c:pt idx="733">
                  <c:v>40994</c:v>
                </c:pt>
                <c:pt idx="734">
                  <c:v>40995</c:v>
                </c:pt>
                <c:pt idx="735">
                  <c:v>40996</c:v>
                </c:pt>
                <c:pt idx="736">
                  <c:v>40997</c:v>
                </c:pt>
                <c:pt idx="737">
                  <c:v>40998</c:v>
                </c:pt>
                <c:pt idx="738">
                  <c:v>41000</c:v>
                </c:pt>
                <c:pt idx="739">
                  <c:v>41004</c:v>
                </c:pt>
                <c:pt idx="740">
                  <c:v>41008</c:v>
                </c:pt>
                <c:pt idx="741">
                  <c:v>41009</c:v>
                </c:pt>
                <c:pt idx="742">
                  <c:v>41010</c:v>
                </c:pt>
                <c:pt idx="743">
                  <c:v>41011</c:v>
                </c:pt>
                <c:pt idx="744">
                  <c:v>41012</c:v>
                </c:pt>
                <c:pt idx="745">
                  <c:v>41015</c:v>
                </c:pt>
                <c:pt idx="746">
                  <c:v>41017</c:v>
                </c:pt>
                <c:pt idx="747">
                  <c:v>41018</c:v>
                </c:pt>
                <c:pt idx="748">
                  <c:v>41019</c:v>
                </c:pt>
                <c:pt idx="749">
                  <c:v>41022</c:v>
                </c:pt>
                <c:pt idx="750">
                  <c:v>41023</c:v>
                </c:pt>
                <c:pt idx="751">
                  <c:v>41024</c:v>
                </c:pt>
                <c:pt idx="752">
                  <c:v>41025</c:v>
                </c:pt>
                <c:pt idx="753">
                  <c:v>41031</c:v>
                </c:pt>
                <c:pt idx="754">
                  <c:v>41033</c:v>
                </c:pt>
                <c:pt idx="755">
                  <c:v>41036</c:v>
                </c:pt>
                <c:pt idx="756">
                  <c:v>41037</c:v>
                </c:pt>
                <c:pt idx="757">
                  <c:v>41038</c:v>
                </c:pt>
                <c:pt idx="758">
                  <c:v>41040</c:v>
                </c:pt>
                <c:pt idx="759">
                  <c:v>41043</c:v>
                </c:pt>
                <c:pt idx="760">
                  <c:v>41044</c:v>
                </c:pt>
                <c:pt idx="761">
                  <c:v>41045</c:v>
                </c:pt>
                <c:pt idx="762">
                  <c:v>41046</c:v>
                </c:pt>
                <c:pt idx="763">
                  <c:v>41047</c:v>
                </c:pt>
                <c:pt idx="764">
                  <c:v>41050</c:v>
                </c:pt>
                <c:pt idx="765">
                  <c:v>41051</c:v>
                </c:pt>
                <c:pt idx="766">
                  <c:v>41052</c:v>
                </c:pt>
                <c:pt idx="767">
                  <c:v>41053</c:v>
                </c:pt>
                <c:pt idx="768">
                  <c:v>41054</c:v>
                </c:pt>
                <c:pt idx="769">
                  <c:v>41057</c:v>
                </c:pt>
                <c:pt idx="770">
                  <c:v>41058</c:v>
                </c:pt>
                <c:pt idx="771">
                  <c:v>41059</c:v>
                </c:pt>
                <c:pt idx="772">
                  <c:v>41060</c:v>
                </c:pt>
                <c:pt idx="773">
                  <c:v>41061</c:v>
                </c:pt>
                <c:pt idx="774">
                  <c:v>41064</c:v>
                </c:pt>
                <c:pt idx="775">
                  <c:v>41065</c:v>
                </c:pt>
                <c:pt idx="776">
                  <c:v>41066</c:v>
                </c:pt>
                <c:pt idx="777">
                  <c:v>41067</c:v>
                </c:pt>
                <c:pt idx="778">
                  <c:v>41068</c:v>
                </c:pt>
                <c:pt idx="779">
                  <c:v>41071</c:v>
                </c:pt>
                <c:pt idx="780">
                  <c:v>41072</c:v>
                </c:pt>
                <c:pt idx="781">
                  <c:v>41073</c:v>
                </c:pt>
                <c:pt idx="782">
                  <c:v>41074</c:v>
                </c:pt>
                <c:pt idx="783">
                  <c:v>41075</c:v>
                </c:pt>
                <c:pt idx="784">
                  <c:v>41078</c:v>
                </c:pt>
                <c:pt idx="785">
                  <c:v>41079</c:v>
                </c:pt>
                <c:pt idx="786">
                  <c:v>41080</c:v>
                </c:pt>
                <c:pt idx="787">
                  <c:v>41081</c:v>
                </c:pt>
                <c:pt idx="788">
                  <c:v>41085</c:v>
                </c:pt>
                <c:pt idx="789">
                  <c:v>41086</c:v>
                </c:pt>
                <c:pt idx="790">
                  <c:v>41087</c:v>
                </c:pt>
                <c:pt idx="791">
                  <c:v>41088</c:v>
                </c:pt>
                <c:pt idx="792">
                  <c:v>41089</c:v>
                </c:pt>
                <c:pt idx="793">
                  <c:v>41092</c:v>
                </c:pt>
                <c:pt idx="794">
                  <c:v>41093</c:v>
                </c:pt>
                <c:pt idx="795">
                  <c:v>41094</c:v>
                </c:pt>
                <c:pt idx="796">
                  <c:v>41095</c:v>
                </c:pt>
                <c:pt idx="797">
                  <c:v>41096</c:v>
                </c:pt>
                <c:pt idx="798">
                  <c:v>41099</c:v>
                </c:pt>
                <c:pt idx="799">
                  <c:v>41100</c:v>
                </c:pt>
                <c:pt idx="800">
                  <c:v>41101</c:v>
                </c:pt>
                <c:pt idx="801">
                  <c:v>41102</c:v>
                </c:pt>
                <c:pt idx="802">
                  <c:v>41103</c:v>
                </c:pt>
                <c:pt idx="803">
                  <c:v>41106</c:v>
                </c:pt>
                <c:pt idx="804">
                  <c:v>41107</c:v>
                </c:pt>
                <c:pt idx="805">
                  <c:v>41108</c:v>
                </c:pt>
                <c:pt idx="806">
                  <c:v>41109</c:v>
                </c:pt>
                <c:pt idx="807">
                  <c:v>41110</c:v>
                </c:pt>
                <c:pt idx="808">
                  <c:v>41113</c:v>
                </c:pt>
                <c:pt idx="809">
                  <c:v>41114</c:v>
                </c:pt>
                <c:pt idx="810">
                  <c:v>41115</c:v>
                </c:pt>
                <c:pt idx="811">
                  <c:v>41116</c:v>
                </c:pt>
                <c:pt idx="812">
                  <c:v>41117</c:v>
                </c:pt>
                <c:pt idx="813">
                  <c:v>41120</c:v>
                </c:pt>
                <c:pt idx="814">
                  <c:v>41121</c:v>
                </c:pt>
                <c:pt idx="815">
                  <c:v>41122</c:v>
                </c:pt>
                <c:pt idx="816">
                  <c:v>41123</c:v>
                </c:pt>
                <c:pt idx="817">
                  <c:v>41124</c:v>
                </c:pt>
                <c:pt idx="818">
                  <c:v>41127</c:v>
                </c:pt>
                <c:pt idx="819">
                  <c:v>41128</c:v>
                </c:pt>
                <c:pt idx="820">
                  <c:v>41129</c:v>
                </c:pt>
                <c:pt idx="821">
                  <c:v>41130</c:v>
                </c:pt>
                <c:pt idx="822">
                  <c:v>41131</c:v>
                </c:pt>
                <c:pt idx="823">
                  <c:v>41134</c:v>
                </c:pt>
                <c:pt idx="824">
                  <c:v>41135</c:v>
                </c:pt>
                <c:pt idx="825">
                  <c:v>41136</c:v>
                </c:pt>
                <c:pt idx="826">
                  <c:v>41137</c:v>
                </c:pt>
                <c:pt idx="827">
                  <c:v>41138</c:v>
                </c:pt>
                <c:pt idx="828">
                  <c:v>41141</c:v>
                </c:pt>
                <c:pt idx="829">
                  <c:v>41142</c:v>
                </c:pt>
                <c:pt idx="830">
                  <c:v>41143</c:v>
                </c:pt>
                <c:pt idx="831">
                  <c:v>41144</c:v>
                </c:pt>
                <c:pt idx="832">
                  <c:v>41145</c:v>
                </c:pt>
                <c:pt idx="833">
                  <c:v>41148</c:v>
                </c:pt>
                <c:pt idx="834">
                  <c:v>41149</c:v>
                </c:pt>
                <c:pt idx="835">
                  <c:v>41150</c:v>
                </c:pt>
                <c:pt idx="836">
                  <c:v>41151</c:v>
                </c:pt>
                <c:pt idx="837">
                  <c:v>41152</c:v>
                </c:pt>
                <c:pt idx="838">
                  <c:v>41155</c:v>
                </c:pt>
                <c:pt idx="839">
                  <c:v>41162</c:v>
                </c:pt>
                <c:pt idx="840">
                  <c:v>41163</c:v>
                </c:pt>
                <c:pt idx="841">
                  <c:v>41164</c:v>
                </c:pt>
                <c:pt idx="842">
                  <c:v>41165</c:v>
                </c:pt>
                <c:pt idx="843">
                  <c:v>41166</c:v>
                </c:pt>
                <c:pt idx="844">
                  <c:v>41169</c:v>
                </c:pt>
                <c:pt idx="845">
                  <c:v>41170</c:v>
                </c:pt>
                <c:pt idx="846">
                  <c:v>41171</c:v>
                </c:pt>
                <c:pt idx="847">
                  <c:v>41172</c:v>
                </c:pt>
                <c:pt idx="848">
                  <c:v>41173</c:v>
                </c:pt>
                <c:pt idx="849">
                  <c:v>41176</c:v>
                </c:pt>
                <c:pt idx="850">
                  <c:v>41177</c:v>
                </c:pt>
                <c:pt idx="851">
                  <c:v>41178</c:v>
                </c:pt>
                <c:pt idx="852">
                  <c:v>41179</c:v>
                </c:pt>
                <c:pt idx="853">
                  <c:v>41180</c:v>
                </c:pt>
                <c:pt idx="854">
                  <c:v>41190</c:v>
                </c:pt>
                <c:pt idx="855">
                  <c:v>41191</c:v>
                </c:pt>
                <c:pt idx="856">
                  <c:v>41192</c:v>
                </c:pt>
                <c:pt idx="857">
                  <c:v>41193</c:v>
                </c:pt>
                <c:pt idx="858">
                  <c:v>41194</c:v>
                </c:pt>
                <c:pt idx="859">
                  <c:v>41197</c:v>
                </c:pt>
                <c:pt idx="860">
                  <c:v>41198</c:v>
                </c:pt>
                <c:pt idx="861">
                  <c:v>41199</c:v>
                </c:pt>
                <c:pt idx="862">
                  <c:v>41200</c:v>
                </c:pt>
                <c:pt idx="863">
                  <c:v>41201</c:v>
                </c:pt>
                <c:pt idx="864">
                  <c:v>41204</c:v>
                </c:pt>
                <c:pt idx="865">
                  <c:v>41205</c:v>
                </c:pt>
                <c:pt idx="866">
                  <c:v>41206</c:v>
                </c:pt>
                <c:pt idx="867">
                  <c:v>41207</c:v>
                </c:pt>
                <c:pt idx="868">
                  <c:v>41208</c:v>
                </c:pt>
                <c:pt idx="869">
                  <c:v>41211</c:v>
                </c:pt>
                <c:pt idx="870">
                  <c:v>41212</c:v>
                </c:pt>
                <c:pt idx="871">
                  <c:v>41213</c:v>
                </c:pt>
                <c:pt idx="872">
                  <c:v>41214</c:v>
                </c:pt>
                <c:pt idx="873">
                  <c:v>41215</c:v>
                </c:pt>
                <c:pt idx="874">
                  <c:v>41218</c:v>
                </c:pt>
                <c:pt idx="875">
                  <c:v>41219</c:v>
                </c:pt>
                <c:pt idx="876">
                  <c:v>41220</c:v>
                </c:pt>
                <c:pt idx="877">
                  <c:v>41221</c:v>
                </c:pt>
                <c:pt idx="878">
                  <c:v>41222</c:v>
                </c:pt>
                <c:pt idx="879">
                  <c:v>41225</c:v>
                </c:pt>
                <c:pt idx="880">
                  <c:v>41226</c:v>
                </c:pt>
                <c:pt idx="881">
                  <c:v>41227</c:v>
                </c:pt>
                <c:pt idx="882">
                  <c:v>41228</c:v>
                </c:pt>
                <c:pt idx="883">
                  <c:v>41229</c:v>
                </c:pt>
                <c:pt idx="884">
                  <c:v>41232</c:v>
                </c:pt>
                <c:pt idx="885">
                  <c:v>41233</c:v>
                </c:pt>
                <c:pt idx="886">
                  <c:v>41234</c:v>
                </c:pt>
                <c:pt idx="887">
                  <c:v>41235</c:v>
                </c:pt>
                <c:pt idx="888">
                  <c:v>41236</c:v>
                </c:pt>
                <c:pt idx="889">
                  <c:v>41239</c:v>
                </c:pt>
                <c:pt idx="890">
                  <c:v>41240</c:v>
                </c:pt>
                <c:pt idx="891">
                  <c:v>41241</c:v>
                </c:pt>
                <c:pt idx="892">
                  <c:v>41242</c:v>
                </c:pt>
                <c:pt idx="893">
                  <c:v>41243</c:v>
                </c:pt>
                <c:pt idx="894">
                  <c:v>41246</c:v>
                </c:pt>
                <c:pt idx="895">
                  <c:v>41247</c:v>
                </c:pt>
                <c:pt idx="896">
                  <c:v>41248</c:v>
                </c:pt>
                <c:pt idx="897">
                  <c:v>41249</c:v>
                </c:pt>
                <c:pt idx="898">
                  <c:v>41250</c:v>
                </c:pt>
                <c:pt idx="899">
                  <c:v>41253</c:v>
                </c:pt>
                <c:pt idx="900">
                  <c:v>41254</c:v>
                </c:pt>
                <c:pt idx="901">
                  <c:v>41255</c:v>
                </c:pt>
                <c:pt idx="902">
                  <c:v>41256</c:v>
                </c:pt>
                <c:pt idx="903">
                  <c:v>41257</c:v>
                </c:pt>
                <c:pt idx="904">
                  <c:v>41260</c:v>
                </c:pt>
                <c:pt idx="905">
                  <c:v>41261</c:v>
                </c:pt>
                <c:pt idx="906">
                  <c:v>41262</c:v>
                </c:pt>
                <c:pt idx="907">
                  <c:v>41263</c:v>
                </c:pt>
                <c:pt idx="908">
                  <c:v>41264</c:v>
                </c:pt>
                <c:pt idx="909">
                  <c:v>41267</c:v>
                </c:pt>
                <c:pt idx="910">
                  <c:v>41268</c:v>
                </c:pt>
                <c:pt idx="911">
                  <c:v>41269</c:v>
                </c:pt>
                <c:pt idx="912">
                  <c:v>41270</c:v>
                </c:pt>
                <c:pt idx="913">
                  <c:v>41271</c:v>
                </c:pt>
                <c:pt idx="914">
                  <c:v>41274</c:v>
                </c:pt>
                <c:pt idx="915">
                  <c:v>41281</c:v>
                </c:pt>
                <c:pt idx="916">
                  <c:v>41282</c:v>
                </c:pt>
                <c:pt idx="917">
                  <c:v>41283</c:v>
                </c:pt>
                <c:pt idx="918">
                  <c:v>41284</c:v>
                </c:pt>
                <c:pt idx="919">
                  <c:v>41285</c:v>
                </c:pt>
                <c:pt idx="920">
                  <c:v>41288</c:v>
                </c:pt>
                <c:pt idx="921">
                  <c:v>41289</c:v>
                </c:pt>
                <c:pt idx="922">
                  <c:v>41290</c:v>
                </c:pt>
                <c:pt idx="923">
                  <c:v>41292</c:v>
                </c:pt>
                <c:pt idx="924">
                  <c:v>41295</c:v>
                </c:pt>
                <c:pt idx="925">
                  <c:v>41296</c:v>
                </c:pt>
                <c:pt idx="926">
                  <c:v>41297</c:v>
                </c:pt>
                <c:pt idx="927">
                  <c:v>41298</c:v>
                </c:pt>
                <c:pt idx="928">
                  <c:v>41299</c:v>
                </c:pt>
                <c:pt idx="929">
                  <c:v>41302</c:v>
                </c:pt>
                <c:pt idx="930">
                  <c:v>41305</c:v>
                </c:pt>
                <c:pt idx="931">
                  <c:v>41306</c:v>
                </c:pt>
                <c:pt idx="932">
                  <c:v>41309</c:v>
                </c:pt>
                <c:pt idx="933">
                  <c:v>41310</c:v>
                </c:pt>
                <c:pt idx="934">
                  <c:v>41312</c:v>
                </c:pt>
                <c:pt idx="935">
                  <c:v>41324</c:v>
                </c:pt>
                <c:pt idx="936">
                  <c:v>41325</c:v>
                </c:pt>
                <c:pt idx="937">
                  <c:v>41326</c:v>
                </c:pt>
                <c:pt idx="938">
                  <c:v>41327</c:v>
                </c:pt>
                <c:pt idx="939">
                  <c:v>41330</c:v>
                </c:pt>
                <c:pt idx="940">
                  <c:v>41331</c:v>
                </c:pt>
                <c:pt idx="941">
                  <c:v>41332</c:v>
                </c:pt>
                <c:pt idx="942">
                  <c:v>41333</c:v>
                </c:pt>
                <c:pt idx="943">
                  <c:v>41334</c:v>
                </c:pt>
                <c:pt idx="944">
                  <c:v>41337</c:v>
                </c:pt>
                <c:pt idx="945">
                  <c:v>41338</c:v>
                </c:pt>
                <c:pt idx="946">
                  <c:v>41339</c:v>
                </c:pt>
                <c:pt idx="947">
                  <c:v>41340</c:v>
                </c:pt>
                <c:pt idx="948">
                  <c:v>41341</c:v>
                </c:pt>
                <c:pt idx="949">
                  <c:v>41344</c:v>
                </c:pt>
                <c:pt idx="950">
                  <c:v>41345</c:v>
                </c:pt>
                <c:pt idx="951">
                  <c:v>41351</c:v>
                </c:pt>
                <c:pt idx="952">
                  <c:v>41352</c:v>
                </c:pt>
                <c:pt idx="953">
                  <c:v>41353</c:v>
                </c:pt>
                <c:pt idx="954">
                  <c:v>41354</c:v>
                </c:pt>
                <c:pt idx="955">
                  <c:v>41355</c:v>
                </c:pt>
                <c:pt idx="956">
                  <c:v>41358</c:v>
                </c:pt>
                <c:pt idx="957">
                  <c:v>41359</c:v>
                </c:pt>
                <c:pt idx="958">
                  <c:v>41360</c:v>
                </c:pt>
                <c:pt idx="959">
                  <c:v>41361</c:v>
                </c:pt>
                <c:pt idx="960">
                  <c:v>41362</c:v>
                </c:pt>
                <c:pt idx="961">
                  <c:v>41365</c:v>
                </c:pt>
                <c:pt idx="962">
                  <c:v>41366</c:v>
                </c:pt>
                <c:pt idx="963">
                  <c:v>41367</c:v>
                </c:pt>
                <c:pt idx="964">
                  <c:v>41372</c:v>
                </c:pt>
                <c:pt idx="965">
                  <c:v>41373</c:v>
                </c:pt>
                <c:pt idx="966">
                  <c:v>41374</c:v>
                </c:pt>
                <c:pt idx="967">
                  <c:v>41375</c:v>
                </c:pt>
                <c:pt idx="968">
                  <c:v>41376</c:v>
                </c:pt>
                <c:pt idx="969">
                  <c:v>41379</c:v>
                </c:pt>
                <c:pt idx="970">
                  <c:v>41380</c:v>
                </c:pt>
                <c:pt idx="971">
                  <c:v>41381</c:v>
                </c:pt>
                <c:pt idx="972">
                  <c:v>41382</c:v>
                </c:pt>
                <c:pt idx="973">
                  <c:v>41383</c:v>
                </c:pt>
                <c:pt idx="974">
                  <c:v>41386</c:v>
                </c:pt>
                <c:pt idx="975">
                  <c:v>41387</c:v>
                </c:pt>
                <c:pt idx="976">
                  <c:v>41388</c:v>
                </c:pt>
                <c:pt idx="977">
                  <c:v>41389</c:v>
                </c:pt>
                <c:pt idx="978">
                  <c:v>41390</c:v>
                </c:pt>
                <c:pt idx="979">
                  <c:v>41396</c:v>
                </c:pt>
                <c:pt idx="980">
                  <c:v>41397</c:v>
                </c:pt>
                <c:pt idx="981">
                  <c:v>41400</c:v>
                </c:pt>
                <c:pt idx="982">
                  <c:v>41401</c:v>
                </c:pt>
                <c:pt idx="983">
                  <c:v>41402</c:v>
                </c:pt>
                <c:pt idx="984">
                  <c:v>41403</c:v>
                </c:pt>
                <c:pt idx="985">
                  <c:v>41404</c:v>
                </c:pt>
                <c:pt idx="986">
                  <c:v>41407</c:v>
                </c:pt>
                <c:pt idx="987">
                  <c:v>41408</c:v>
                </c:pt>
                <c:pt idx="988">
                  <c:v>41409</c:v>
                </c:pt>
                <c:pt idx="989">
                  <c:v>41410</c:v>
                </c:pt>
                <c:pt idx="990">
                  <c:v>41411</c:v>
                </c:pt>
                <c:pt idx="991">
                  <c:v>41414</c:v>
                </c:pt>
                <c:pt idx="992">
                  <c:v>41415</c:v>
                </c:pt>
                <c:pt idx="993">
                  <c:v>41416</c:v>
                </c:pt>
                <c:pt idx="994">
                  <c:v>41417</c:v>
                </c:pt>
                <c:pt idx="995">
                  <c:v>41418</c:v>
                </c:pt>
                <c:pt idx="996">
                  <c:v>41421</c:v>
                </c:pt>
                <c:pt idx="997">
                  <c:v>41422</c:v>
                </c:pt>
                <c:pt idx="998">
                  <c:v>41423</c:v>
                </c:pt>
                <c:pt idx="999">
                  <c:v>41428</c:v>
                </c:pt>
                <c:pt idx="1000">
                  <c:v>41429</c:v>
                </c:pt>
                <c:pt idx="1001">
                  <c:v>41430</c:v>
                </c:pt>
                <c:pt idx="1002">
                  <c:v>41431</c:v>
                </c:pt>
                <c:pt idx="1003">
                  <c:v>41432</c:v>
                </c:pt>
                <c:pt idx="1004">
                  <c:v>41438</c:v>
                </c:pt>
                <c:pt idx="1005">
                  <c:v>41439</c:v>
                </c:pt>
                <c:pt idx="1006">
                  <c:v>41442</c:v>
                </c:pt>
                <c:pt idx="1007">
                  <c:v>41443</c:v>
                </c:pt>
                <c:pt idx="1008">
                  <c:v>41444</c:v>
                </c:pt>
                <c:pt idx="1009">
                  <c:v>41445</c:v>
                </c:pt>
                <c:pt idx="1010">
                  <c:v>41446</c:v>
                </c:pt>
                <c:pt idx="1011">
                  <c:v>41449</c:v>
                </c:pt>
                <c:pt idx="1012">
                  <c:v>41450</c:v>
                </c:pt>
                <c:pt idx="1013">
                  <c:v>41451</c:v>
                </c:pt>
                <c:pt idx="1014">
                  <c:v>41452</c:v>
                </c:pt>
                <c:pt idx="1015">
                  <c:v>41453</c:v>
                </c:pt>
                <c:pt idx="1016">
                  <c:v>41456</c:v>
                </c:pt>
                <c:pt idx="1017">
                  <c:v>41457</c:v>
                </c:pt>
                <c:pt idx="1018">
                  <c:v>41458</c:v>
                </c:pt>
                <c:pt idx="1019">
                  <c:v>41459</c:v>
                </c:pt>
                <c:pt idx="1020">
                  <c:v>41460</c:v>
                </c:pt>
                <c:pt idx="1021">
                  <c:v>41463</c:v>
                </c:pt>
                <c:pt idx="1022">
                  <c:v>41464</c:v>
                </c:pt>
                <c:pt idx="1023">
                  <c:v>41465</c:v>
                </c:pt>
                <c:pt idx="1024">
                  <c:v>41466</c:v>
                </c:pt>
                <c:pt idx="1025">
                  <c:v>41467</c:v>
                </c:pt>
                <c:pt idx="1026">
                  <c:v>41470</c:v>
                </c:pt>
                <c:pt idx="1027">
                  <c:v>41471</c:v>
                </c:pt>
                <c:pt idx="1028">
                  <c:v>41472</c:v>
                </c:pt>
                <c:pt idx="1029">
                  <c:v>41473</c:v>
                </c:pt>
                <c:pt idx="1030">
                  <c:v>41474</c:v>
                </c:pt>
                <c:pt idx="1031">
                  <c:v>41477</c:v>
                </c:pt>
                <c:pt idx="1032">
                  <c:v>41478</c:v>
                </c:pt>
                <c:pt idx="1033">
                  <c:v>41479</c:v>
                </c:pt>
                <c:pt idx="1034">
                  <c:v>41480</c:v>
                </c:pt>
                <c:pt idx="1035">
                  <c:v>41481</c:v>
                </c:pt>
                <c:pt idx="1036">
                  <c:v>41484</c:v>
                </c:pt>
                <c:pt idx="1037">
                  <c:v>41485</c:v>
                </c:pt>
                <c:pt idx="1038">
                  <c:v>41486</c:v>
                </c:pt>
                <c:pt idx="1039">
                  <c:v>41487</c:v>
                </c:pt>
                <c:pt idx="1040">
                  <c:v>41488</c:v>
                </c:pt>
                <c:pt idx="1041">
                  <c:v>41491</c:v>
                </c:pt>
                <c:pt idx="1042">
                  <c:v>41492</c:v>
                </c:pt>
                <c:pt idx="1043">
                  <c:v>41493</c:v>
                </c:pt>
                <c:pt idx="1044">
                  <c:v>41494</c:v>
                </c:pt>
                <c:pt idx="1045">
                  <c:v>41495</c:v>
                </c:pt>
                <c:pt idx="1046">
                  <c:v>41498</c:v>
                </c:pt>
                <c:pt idx="1047">
                  <c:v>41499</c:v>
                </c:pt>
                <c:pt idx="1048">
                  <c:v>41500</c:v>
                </c:pt>
                <c:pt idx="1049">
                  <c:v>41501</c:v>
                </c:pt>
                <c:pt idx="1050">
                  <c:v>41502</c:v>
                </c:pt>
                <c:pt idx="1051">
                  <c:v>41505</c:v>
                </c:pt>
                <c:pt idx="1052">
                  <c:v>41506</c:v>
                </c:pt>
                <c:pt idx="1053">
                  <c:v>41507</c:v>
                </c:pt>
                <c:pt idx="1054">
                  <c:v>41508</c:v>
                </c:pt>
                <c:pt idx="1055">
                  <c:v>41509</c:v>
                </c:pt>
                <c:pt idx="1056">
                  <c:v>41512</c:v>
                </c:pt>
                <c:pt idx="1057">
                  <c:v>41513</c:v>
                </c:pt>
                <c:pt idx="1058">
                  <c:v>41514</c:v>
                </c:pt>
                <c:pt idx="1059">
                  <c:v>41515</c:v>
                </c:pt>
                <c:pt idx="1060">
                  <c:v>41516</c:v>
                </c:pt>
                <c:pt idx="1061">
                  <c:v>41519</c:v>
                </c:pt>
                <c:pt idx="1062">
                  <c:v>41520</c:v>
                </c:pt>
                <c:pt idx="1063">
                  <c:v>41521</c:v>
                </c:pt>
                <c:pt idx="1064">
                  <c:v>41522</c:v>
                </c:pt>
                <c:pt idx="1065">
                  <c:v>41523</c:v>
                </c:pt>
                <c:pt idx="1066">
                  <c:v>41526</c:v>
                </c:pt>
                <c:pt idx="1067">
                  <c:v>41527</c:v>
                </c:pt>
                <c:pt idx="1068">
                  <c:v>41528</c:v>
                </c:pt>
                <c:pt idx="1069">
                  <c:v>41529</c:v>
                </c:pt>
                <c:pt idx="1070">
                  <c:v>41530</c:v>
                </c:pt>
                <c:pt idx="1071">
                  <c:v>41533</c:v>
                </c:pt>
                <c:pt idx="1072">
                  <c:v>41534</c:v>
                </c:pt>
                <c:pt idx="1073">
                  <c:v>41535</c:v>
                </c:pt>
                <c:pt idx="1074">
                  <c:v>41540</c:v>
                </c:pt>
                <c:pt idx="1075">
                  <c:v>41541</c:v>
                </c:pt>
                <c:pt idx="1076">
                  <c:v>41542</c:v>
                </c:pt>
                <c:pt idx="1077">
                  <c:v>41543</c:v>
                </c:pt>
                <c:pt idx="1078">
                  <c:v>41544</c:v>
                </c:pt>
                <c:pt idx="1079">
                  <c:v>41547</c:v>
                </c:pt>
                <c:pt idx="1080">
                  <c:v>41556</c:v>
                </c:pt>
                <c:pt idx="1081">
                  <c:v>41557</c:v>
                </c:pt>
                <c:pt idx="1082">
                  <c:v>41558</c:v>
                </c:pt>
                <c:pt idx="1083">
                  <c:v>41561</c:v>
                </c:pt>
                <c:pt idx="1084">
                  <c:v>41563</c:v>
                </c:pt>
                <c:pt idx="1085">
                  <c:v>41564</c:v>
                </c:pt>
                <c:pt idx="1086">
                  <c:v>41565</c:v>
                </c:pt>
                <c:pt idx="1087">
                  <c:v>41568</c:v>
                </c:pt>
                <c:pt idx="1088">
                  <c:v>41569</c:v>
                </c:pt>
                <c:pt idx="1089">
                  <c:v>41570</c:v>
                </c:pt>
                <c:pt idx="1090">
                  <c:v>41571</c:v>
                </c:pt>
                <c:pt idx="1091">
                  <c:v>41572</c:v>
                </c:pt>
                <c:pt idx="1092">
                  <c:v>41575</c:v>
                </c:pt>
                <c:pt idx="1093">
                  <c:v>41576</c:v>
                </c:pt>
                <c:pt idx="1094">
                  <c:v>41577</c:v>
                </c:pt>
                <c:pt idx="1095">
                  <c:v>41578</c:v>
                </c:pt>
                <c:pt idx="1096">
                  <c:v>41579</c:v>
                </c:pt>
                <c:pt idx="1097">
                  <c:v>41582</c:v>
                </c:pt>
                <c:pt idx="1098">
                  <c:v>41583</c:v>
                </c:pt>
                <c:pt idx="1099">
                  <c:v>41584</c:v>
                </c:pt>
                <c:pt idx="1100">
                  <c:v>41585</c:v>
                </c:pt>
                <c:pt idx="1101">
                  <c:v>41586</c:v>
                </c:pt>
                <c:pt idx="1102">
                  <c:v>41589</c:v>
                </c:pt>
                <c:pt idx="1103">
                  <c:v>41590</c:v>
                </c:pt>
                <c:pt idx="1104">
                  <c:v>41591</c:v>
                </c:pt>
                <c:pt idx="1105">
                  <c:v>41592</c:v>
                </c:pt>
                <c:pt idx="1106">
                  <c:v>41593</c:v>
                </c:pt>
                <c:pt idx="1107">
                  <c:v>41596</c:v>
                </c:pt>
                <c:pt idx="1108">
                  <c:v>41597</c:v>
                </c:pt>
                <c:pt idx="1109">
                  <c:v>41598</c:v>
                </c:pt>
                <c:pt idx="1110">
                  <c:v>41599</c:v>
                </c:pt>
                <c:pt idx="1111">
                  <c:v>41600</c:v>
                </c:pt>
                <c:pt idx="1112">
                  <c:v>41603</c:v>
                </c:pt>
                <c:pt idx="1113">
                  <c:v>41604</c:v>
                </c:pt>
                <c:pt idx="1114">
                  <c:v>41605</c:v>
                </c:pt>
                <c:pt idx="1115">
                  <c:v>41606</c:v>
                </c:pt>
                <c:pt idx="1116">
                  <c:v>41607</c:v>
                </c:pt>
                <c:pt idx="1117">
                  <c:v>41610</c:v>
                </c:pt>
                <c:pt idx="1118">
                  <c:v>41611</c:v>
                </c:pt>
                <c:pt idx="1119">
                  <c:v>41612</c:v>
                </c:pt>
                <c:pt idx="1120">
                  <c:v>41613</c:v>
                </c:pt>
                <c:pt idx="1121">
                  <c:v>41614</c:v>
                </c:pt>
                <c:pt idx="1122">
                  <c:v>41617</c:v>
                </c:pt>
                <c:pt idx="1123">
                  <c:v>41618</c:v>
                </c:pt>
                <c:pt idx="1124">
                  <c:v>41619</c:v>
                </c:pt>
                <c:pt idx="1125">
                  <c:v>41620</c:v>
                </c:pt>
                <c:pt idx="1126">
                  <c:v>41621</c:v>
                </c:pt>
                <c:pt idx="1127">
                  <c:v>41624</c:v>
                </c:pt>
                <c:pt idx="1128">
                  <c:v>41625</c:v>
                </c:pt>
                <c:pt idx="1129">
                  <c:v>41626</c:v>
                </c:pt>
                <c:pt idx="1130">
                  <c:v>41627</c:v>
                </c:pt>
                <c:pt idx="1131">
                  <c:v>41628</c:v>
                </c:pt>
                <c:pt idx="1132">
                  <c:v>41631</c:v>
                </c:pt>
                <c:pt idx="1133">
                  <c:v>41632</c:v>
                </c:pt>
                <c:pt idx="1134">
                  <c:v>41633</c:v>
                </c:pt>
                <c:pt idx="1135">
                  <c:v>41634</c:v>
                </c:pt>
                <c:pt idx="1136">
                  <c:v>41635</c:v>
                </c:pt>
                <c:pt idx="1137">
                  <c:v>41638</c:v>
                </c:pt>
                <c:pt idx="1138">
                  <c:v>41639</c:v>
                </c:pt>
                <c:pt idx="1139">
                  <c:v>41641</c:v>
                </c:pt>
                <c:pt idx="1140">
                  <c:v>41642</c:v>
                </c:pt>
                <c:pt idx="1141">
                  <c:v>41645</c:v>
                </c:pt>
                <c:pt idx="1142">
                  <c:v>41646</c:v>
                </c:pt>
                <c:pt idx="1143">
                  <c:v>41647</c:v>
                </c:pt>
                <c:pt idx="1144">
                  <c:v>41648</c:v>
                </c:pt>
                <c:pt idx="1145">
                  <c:v>41649</c:v>
                </c:pt>
                <c:pt idx="1146">
                  <c:v>41652</c:v>
                </c:pt>
                <c:pt idx="1147">
                  <c:v>41653</c:v>
                </c:pt>
                <c:pt idx="1148">
                  <c:v>41654</c:v>
                </c:pt>
                <c:pt idx="1149">
                  <c:v>41655</c:v>
                </c:pt>
                <c:pt idx="1150">
                  <c:v>41656</c:v>
                </c:pt>
                <c:pt idx="1151">
                  <c:v>41659</c:v>
                </c:pt>
                <c:pt idx="1152">
                  <c:v>41660</c:v>
                </c:pt>
                <c:pt idx="1153">
                  <c:v>41661</c:v>
                </c:pt>
                <c:pt idx="1154">
                  <c:v>41662</c:v>
                </c:pt>
                <c:pt idx="1155">
                  <c:v>41663</c:v>
                </c:pt>
                <c:pt idx="1156">
                  <c:v>41680</c:v>
                </c:pt>
                <c:pt idx="1157">
                  <c:v>41681</c:v>
                </c:pt>
                <c:pt idx="1158">
                  <c:v>41682</c:v>
                </c:pt>
                <c:pt idx="1159">
                  <c:v>41683</c:v>
                </c:pt>
                <c:pt idx="1160">
                  <c:v>41684</c:v>
                </c:pt>
                <c:pt idx="1161">
                  <c:v>41687</c:v>
                </c:pt>
                <c:pt idx="1162">
                  <c:v>41688</c:v>
                </c:pt>
                <c:pt idx="1163">
                  <c:v>41689</c:v>
                </c:pt>
                <c:pt idx="1164">
                  <c:v>41690</c:v>
                </c:pt>
                <c:pt idx="1165">
                  <c:v>41691</c:v>
                </c:pt>
                <c:pt idx="1166">
                  <c:v>41694</c:v>
                </c:pt>
                <c:pt idx="1167">
                  <c:v>41695</c:v>
                </c:pt>
                <c:pt idx="1168">
                  <c:v>41696</c:v>
                </c:pt>
                <c:pt idx="1169">
                  <c:v>41697</c:v>
                </c:pt>
                <c:pt idx="1170">
                  <c:v>41698</c:v>
                </c:pt>
                <c:pt idx="1171">
                  <c:v>41701</c:v>
                </c:pt>
                <c:pt idx="1172">
                  <c:v>41702</c:v>
                </c:pt>
                <c:pt idx="1173">
                  <c:v>41703</c:v>
                </c:pt>
                <c:pt idx="1174">
                  <c:v>41704</c:v>
                </c:pt>
                <c:pt idx="1175">
                  <c:v>41705</c:v>
                </c:pt>
                <c:pt idx="1176">
                  <c:v>41708</c:v>
                </c:pt>
                <c:pt idx="1177">
                  <c:v>41709</c:v>
                </c:pt>
                <c:pt idx="1178">
                  <c:v>41711</c:v>
                </c:pt>
                <c:pt idx="1179">
                  <c:v>41712</c:v>
                </c:pt>
                <c:pt idx="1180">
                  <c:v>41715</c:v>
                </c:pt>
                <c:pt idx="1181">
                  <c:v>41716</c:v>
                </c:pt>
                <c:pt idx="1182">
                  <c:v>41717</c:v>
                </c:pt>
                <c:pt idx="1183">
                  <c:v>41718</c:v>
                </c:pt>
                <c:pt idx="1184">
                  <c:v>41719</c:v>
                </c:pt>
                <c:pt idx="1185">
                  <c:v>41722</c:v>
                </c:pt>
                <c:pt idx="1186">
                  <c:v>41723</c:v>
                </c:pt>
                <c:pt idx="1187">
                  <c:v>41724</c:v>
                </c:pt>
                <c:pt idx="1188">
                  <c:v>41725</c:v>
                </c:pt>
                <c:pt idx="1189">
                  <c:v>41726</c:v>
                </c:pt>
                <c:pt idx="1190">
                  <c:v>41729</c:v>
                </c:pt>
                <c:pt idx="1191">
                  <c:v>41730</c:v>
                </c:pt>
                <c:pt idx="1192">
                  <c:v>41731</c:v>
                </c:pt>
                <c:pt idx="1193">
                  <c:v>41732</c:v>
                </c:pt>
                <c:pt idx="1194">
                  <c:v>41733</c:v>
                </c:pt>
                <c:pt idx="1195">
                  <c:v>41737</c:v>
                </c:pt>
                <c:pt idx="1196">
                  <c:v>41738</c:v>
                </c:pt>
                <c:pt idx="1197">
                  <c:v>41740</c:v>
                </c:pt>
                <c:pt idx="1198">
                  <c:v>41743</c:v>
                </c:pt>
                <c:pt idx="1199">
                  <c:v>41744</c:v>
                </c:pt>
                <c:pt idx="1200">
                  <c:v>41745</c:v>
                </c:pt>
                <c:pt idx="1201">
                  <c:v>41746</c:v>
                </c:pt>
                <c:pt idx="1202">
                  <c:v>41747</c:v>
                </c:pt>
                <c:pt idx="1203">
                  <c:v>41750</c:v>
                </c:pt>
                <c:pt idx="1204">
                  <c:v>41751</c:v>
                </c:pt>
                <c:pt idx="1205">
                  <c:v>41752</c:v>
                </c:pt>
                <c:pt idx="1206">
                  <c:v>41753</c:v>
                </c:pt>
                <c:pt idx="1207">
                  <c:v>41754</c:v>
                </c:pt>
                <c:pt idx="1208">
                  <c:v>41757</c:v>
                </c:pt>
                <c:pt idx="1209">
                  <c:v>41758</c:v>
                </c:pt>
                <c:pt idx="1210">
                  <c:v>41759</c:v>
                </c:pt>
                <c:pt idx="1211">
                  <c:v>41764</c:v>
                </c:pt>
                <c:pt idx="1212">
                  <c:v>41765</c:v>
                </c:pt>
                <c:pt idx="1213">
                  <c:v>41766</c:v>
                </c:pt>
                <c:pt idx="1214">
                  <c:v>41767</c:v>
                </c:pt>
                <c:pt idx="1215">
                  <c:v>41768</c:v>
                </c:pt>
                <c:pt idx="1216">
                  <c:v>41771</c:v>
                </c:pt>
                <c:pt idx="1217">
                  <c:v>41772</c:v>
                </c:pt>
                <c:pt idx="1218">
                  <c:v>41773</c:v>
                </c:pt>
                <c:pt idx="1219">
                  <c:v>41774</c:v>
                </c:pt>
                <c:pt idx="1220">
                  <c:v>41775</c:v>
                </c:pt>
                <c:pt idx="1221">
                  <c:v>41778</c:v>
                </c:pt>
                <c:pt idx="1222">
                  <c:v>41779</c:v>
                </c:pt>
                <c:pt idx="1223">
                  <c:v>41780</c:v>
                </c:pt>
                <c:pt idx="1224">
                  <c:v>41781</c:v>
                </c:pt>
                <c:pt idx="1225">
                  <c:v>41782</c:v>
                </c:pt>
                <c:pt idx="1226">
                  <c:v>41785</c:v>
                </c:pt>
                <c:pt idx="1227">
                  <c:v>41786</c:v>
                </c:pt>
                <c:pt idx="1228">
                  <c:v>41787</c:v>
                </c:pt>
                <c:pt idx="1229">
                  <c:v>41788</c:v>
                </c:pt>
                <c:pt idx="1230">
                  <c:v>41789</c:v>
                </c:pt>
                <c:pt idx="1231">
                  <c:v>41793</c:v>
                </c:pt>
                <c:pt idx="1232">
                  <c:v>41794</c:v>
                </c:pt>
                <c:pt idx="1233">
                  <c:v>41795</c:v>
                </c:pt>
                <c:pt idx="1234">
                  <c:v>41796</c:v>
                </c:pt>
                <c:pt idx="1235">
                  <c:v>41799</c:v>
                </c:pt>
                <c:pt idx="1236">
                  <c:v>41800</c:v>
                </c:pt>
                <c:pt idx="1237">
                  <c:v>41801</c:v>
                </c:pt>
                <c:pt idx="1238">
                  <c:v>41802</c:v>
                </c:pt>
                <c:pt idx="1239">
                  <c:v>41803</c:v>
                </c:pt>
                <c:pt idx="1240">
                  <c:v>41806</c:v>
                </c:pt>
                <c:pt idx="1241">
                  <c:v>41807</c:v>
                </c:pt>
                <c:pt idx="1242">
                  <c:v>41808</c:v>
                </c:pt>
                <c:pt idx="1243">
                  <c:v>41809</c:v>
                </c:pt>
                <c:pt idx="1244">
                  <c:v>41810</c:v>
                </c:pt>
                <c:pt idx="1245">
                  <c:v>41813</c:v>
                </c:pt>
                <c:pt idx="1246">
                  <c:v>41814</c:v>
                </c:pt>
                <c:pt idx="1247">
                  <c:v>41815</c:v>
                </c:pt>
                <c:pt idx="1248">
                  <c:v>41816</c:v>
                </c:pt>
                <c:pt idx="1249">
                  <c:v>41817</c:v>
                </c:pt>
                <c:pt idx="1250">
                  <c:v>41820</c:v>
                </c:pt>
                <c:pt idx="1251">
                  <c:v>41821</c:v>
                </c:pt>
                <c:pt idx="1252">
                  <c:v>41822</c:v>
                </c:pt>
                <c:pt idx="1253">
                  <c:v>41823</c:v>
                </c:pt>
                <c:pt idx="1254">
                  <c:v>41824</c:v>
                </c:pt>
                <c:pt idx="1255">
                  <c:v>41827</c:v>
                </c:pt>
                <c:pt idx="1256">
                  <c:v>41828</c:v>
                </c:pt>
                <c:pt idx="1257">
                  <c:v>41829</c:v>
                </c:pt>
                <c:pt idx="1258">
                  <c:v>41830</c:v>
                </c:pt>
                <c:pt idx="1259">
                  <c:v>41831</c:v>
                </c:pt>
                <c:pt idx="1260">
                  <c:v>41834</c:v>
                </c:pt>
                <c:pt idx="1261">
                  <c:v>41835</c:v>
                </c:pt>
                <c:pt idx="1262">
                  <c:v>41836</c:v>
                </c:pt>
                <c:pt idx="1263">
                  <c:v>41837</c:v>
                </c:pt>
                <c:pt idx="1264">
                  <c:v>41838</c:v>
                </c:pt>
                <c:pt idx="1265">
                  <c:v>41841</c:v>
                </c:pt>
                <c:pt idx="1266">
                  <c:v>41842</c:v>
                </c:pt>
                <c:pt idx="1267">
                  <c:v>41843</c:v>
                </c:pt>
                <c:pt idx="1268">
                  <c:v>41844</c:v>
                </c:pt>
                <c:pt idx="1269">
                  <c:v>41845</c:v>
                </c:pt>
                <c:pt idx="1270">
                  <c:v>41848</c:v>
                </c:pt>
                <c:pt idx="1271">
                  <c:v>41849</c:v>
                </c:pt>
                <c:pt idx="1272">
                  <c:v>41850</c:v>
                </c:pt>
                <c:pt idx="1273">
                  <c:v>41851</c:v>
                </c:pt>
                <c:pt idx="1274">
                  <c:v>41852</c:v>
                </c:pt>
                <c:pt idx="1275">
                  <c:v>41855</c:v>
                </c:pt>
                <c:pt idx="1276">
                  <c:v>41856</c:v>
                </c:pt>
                <c:pt idx="1277">
                  <c:v>41857</c:v>
                </c:pt>
                <c:pt idx="1278">
                  <c:v>41858</c:v>
                </c:pt>
                <c:pt idx="1279">
                  <c:v>41859</c:v>
                </c:pt>
                <c:pt idx="1280">
                  <c:v>41862</c:v>
                </c:pt>
                <c:pt idx="1281">
                  <c:v>41863</c:v>
                </c:pt>
                <c:pt idx="1282">
                  <c:v>41864</c:v>
                </c:pt>
                <c:pt idx="1283">
                  <c:v>41865</c:v>
                </c:pt>
                <c:pt idx="1284">
                  <c:v>41866</c:v>
                </c:pt>
                <c:pt idx="1285">
                  <c:v>41869</c:v>
                </c:pt>
                <c:pt idx="1286">
                  <c:v>41870</c:v>
                </c:pt>
                <c:pt idx="1287">
                  <c:v>41871</c:v>
                </c:pt>
                <c:pt idx="1288">
                  <c:v>41872</c:v>
                </c:pt>
                <c:pt idx="1289">
                  <c:v>41873</c:v>
                </c:pt>
                <c:pt idx="1290">
                  <c:v>41876</c:v>
                </c:pt>
                <c:pt idx="1291">
                  <c:v>41879</c:v>
                </c:pt>
                <c:pt idx="1292">
                  <c:v>41880</c:v>
                </c:pt>
                <c:pt idx="1293">
                  <c:v>41883</c:v>
                </c:pt>
                <c:pt idx="1294">
                  <c:v>41884</c:v>
                </c:pt>
                <c:pt idx="1295">
                  <c:v>41885</c:v>
                </c:pt>
                <c:pt idx="1296">
                  <c:v>41886</c:v>
                </c:pt>
                <c:pt idx="1297">
                  <c:v>41887</c:v>
                </c:pt>
                <c:pt idx="1298">
                  <c:v>41891</c:v>
                </c:pt>
                <c:pt idx="1299">
                  <c:v>41892</c:v>
                </c:pt>
                <c:pt idx="1300">
                  <c:v>41893</c:v>
                </c:pt>
                <c:pt idx="1301">
                  <c:v>41894</c:v>
                </c:pt>
                <c:pt idx="1302">
                  <c:v>41897</c:v>
                </c:pt>
                <c:pt idx="1303">
                  <c:v>41898</c:v>
                </c:pt>
                <c:pt idx="1304">
                  <c:v>41899</c:v>
                </c:pt>
                <c:pt idx="1305">
                  <c:v>41900</c:v>
                </c:pt>
                <c:pt idx="1306">
                  <c:v>41901</c:v>
                </c:pt>
                <c:pt idx="1307">
                  <c:v>41904</c:v>
                </c:pt>
                <c:pt idx="1308">
                  <c:v>41905</c:v>
                </c:pt>
                <c:pt idx="1309">
                  <c:v>41906</c:v>
                </c:pt>
                <c:pt idx="1310">
                  <c:v>41907</c:v>
                </c:pt>
                <c:pt idx="1311">
                  <c:v>41908</c:v>
                </c:pt>
                <c:pt idx="1312">
                  <c:v>41911</c:v>
                </c:pt>
                <c:pt idx="1313">
                  <c:v>41912</c:v>
                </c:pt>
                <c:pt idx="1314">
                  <c:v>41920</c:v>
                </c:pt>
                <c:pt idx="1315">
                  <c:v>41921</c:v>
                </c:pt>
                <c:pt idx="1316">
                  <c:v>41922</c:v>
                </c:pt>
                <c:pt idx="1317">
                  <c:v>41925</c:v>
                </c:pt>
                <c:pt idx="1318">
                  <c:v>41926</c:v>
                </c:pt>
                <c:pt idx="1319">
                  <c:v>41927</c:v>
                </c:pt>
                <c:pt idx="1320">
                  <c:v>41928</c:v>
                </c:pt>
                <c:pt idx="1321">
                  <c:v>41929</c:v>
                </c:pt>
                <c:pt idx="1322">
                  <c:v>41932</c:v>
                </c:pt>
                <c:pt idx="1323">
                  <c:v>41933</c:v>
                </c:pt>
                <c:pt idx="1324">
                  <c:v>41934</c:v>
                </c:pt>
                <c:pt idx="1325">
                  <c:v>41935</c:v>
                </c:pt>
                <c:pt idx="1326">
                  <c:v>41936</c:v>
                </c:pt>
                <c:pt idx="1327">
                  <c:v>41939</c:v>
                </c:pt>
                <c:pt idx="1328">
                  <c:v>41940</c:v>
                </c:pt>
                <c:pt idx="1329">
                  <c:v>41941</c:v>
                </c:pt>
                <c:pt idx="1330">
                  <c:v>41942</c:v>
                </c:pt>
                <c:pt idx="1331">
                  <c:v>41943</c:v>
                </c:pt>
                <c:pt idx="1332">
                  <c:v>41946</c:v>
                </c:pt>
                <c:pt idx="1333">
                  <c:v>41947</c:v>
                </c:pt>
                <c:pt idx="1334">
                  <c:v>41948</c:v>
                </c:pt>
                <c:pt idx="1335">
                  <c:v>41949</c:v>
                </c:pt>
                <c:pt idx="1336">
                  <c:v>41950</c:v>
                </c:pt>
                <c:pt idx="1337">
                  <c:v>41953</c:v>
                </c:pt>
                <c:pt idx="1338">
                  <c:v>41954</c:v>
                </c:pt>
                <c:pt idx="1339">
                  <c:v>41955</c:v>
                </c:pt>
                <c:pt idx="1340">
                  <c:v>41956</c:v>
                </c:pt>
                <c:pt idx="1341">
                  <c:v>41960</c:v>
                </c:pt>
                <c:pt idx="1342">
                  <c:v>41961</c:v>
                </c:pt>
                <c:pt idx="1343">
                  <c:v>41962</c:v>
                </c:pt>
                <c:pt idx="1344">
                  <c:v>41963</c:v>
                </c:pt>
                <c:pt idx="1345">
                  <c:v>41964</c:v>
                </c:pt>
                <c:pt idx="1346">
                  <c:v>41967</c:v>
                </c:pt>
                <c:pt idx="1347">
                  <c:v>41968</c:v>
                </c:pt>
                <c:pt idx="1348">
                  <c:v>41969</c:v>
                </c:pt>
                <c:pt idx="1349">
                  <c:v>41970</c:v>
                </c:pt>
                <c:pt idx="1350">
                  <c:v>41971</c:v>
                </c:pt>
                <c:pt idx="1351">
                  <c:v>41975</c:v>
                </c:pt>
                <c:pt idx="1352">
                  <c:v>41976</c:v>
                </c:pt>
                <c:pt idx="1353">
                  <c:v>41977</c:v>
                </c:pt>
                <c:pt idx="1354">
                  <c:v>41978</c:v>
                </c:pt>
                <c:pt idx="1355">
                  <c:v>41981</c:v>
                </c:pt>
                <c:pt idx="1356">
                  <c:v>41982</c:v>
                </c:pt>
                <c:pt idx="1357">
                  <c:v>41983</c:v>
                </c:pt>
                <c:pt idx="1358">
                  <c:v>41984</c:v>
                </c:pt>
                <c:pt idx="1359">
                  <c:v>41985</c:v>
                </c:pt>
                <c:pt idx="1360">
                  <c:v>41988</c:v>
                </c:pt>
                <c:pt idx="1361">
                  <c:v>41989</c:v>
                </c:pt>
                <c:pt idx="1362">
                  <c:v>41990</c:v>
                </c:pt>
                <c:pt idx="1363">
                  <c:v>41992</c:v>
                </c:pt>
                <c:pt idx="1364">
                  <c:v>41995</c:v>
                </c:pt>
                <c:pt idx="1365">
                  <c:v>41996</c:v>
                </c:pt>
                <c:pt idx="1366">
                  <c:v>41997</c:v>
                </c:pt>
                <c:pt idx="1367">
                  <c:v>41998</c:v>
                </c:pt>
                <c:pt idx="1368">
                  <c:v>41999</c:v>
                </c:pt>
                <c:pt idx="1369">
                  <c:v>42002</c:v>
                </c:pt>
                <c:pt idx="1370">
                  <c:v>42003</c:v>
                </c:pt>
                <c:pt idx="1371">
                  <c:v>42004</c:v>
                </c:pt>
                <c:pt idx="1372">
                  <c:v>42008</c:v>
                </c:pt>
                <c:pt idx="1373">
                  <c:v>42009</c:v>
                </c:pt>
                <c:pt idx="1374">
                  <c:v>42010</c:v>
                </c:pt>
                <c:pt idx="1375">
                  <c:v>42011</c:v>
                </c:pt>
                <c:pt idx="1376">
                  <c:v>42012</c:v>
                </c:pt>
                <c:pt idx="1377">
                  <c:v>42013</c:v>
                </c:pt>
                <c:pt idx="1378">
                  <c:v>42016</c:v>
                </c:pt>
                <c:pt idx="1379">
                  <c:v>42017</c:v>
                </c:pt>
                <c:pt idx="1380">
                  <c:v>42018</c:v>
                </c:pt>
                <c:pt idx="1381">
                  <c:v>42019</c:v>
                </c:pt>
                <c:pt idx="1382">
                  <c:v>42020</c:v>
                </c:pt>
                <c:pt idx="1383">
                  <c:v>42023</c:v>
                </c:pt>
                <c:pt idx="1384">
                  <c:v>42024</c:v>
                </c:pt>
                <c:pt idx="1385">
                  <c:v>42025</c:v>
                </c:pt>
                <c:pt idx="1386">
                  <c:v>42026</c:v>
                </c:pt>
                <c:pt idx="1387">
                  <c:v>42027</c:v>
                </c:pt>
                <c:pt idx="1388">
                  <c:v>42030</c:v>
                </c:pt>
                <c:pt idx="1389">
                  <c:v>42031</c:v>
                </c:pt>
                <c:pt idx="1390">
                  <c:v>42032</c:v>
                </c:pt>
                <c:pt idx="1391">
                  <c:v>42033</c:v>
                </c:pt>
                <c:pt idx="1392">
                  <c:v>42034</c:v>
                </c:pt>
                <c:pt idx="1393">
                  <c:v>42037</c:v>
                </c:pt>
                <c:pt idx="1394">
                  <c:v>42038</c:v>
                </c:pt>
                <c:pt idx="1395">
                  <c:v>42039</c:v>
                </c:pt>
                <c:pt idx="1396">
                  <c:v>42040</c:v>
                </c:pt>
                <c:pt idx="1397">
                  <c:v>42041</c:v>
                </c:pt>
                <c:pt idx="1398">
                  <c:v>42044</c:v>
                </c:pt>
                <c:pt idx="1399">
                  <c:v>42045</c:v>
                </c:pt>
                <c:pt idx="1400">
                  <c:v>42046</c:v>
                </c:pt>
                <c:pt idx="1401">
                  <c:v>42047</c:v>
                </c:pt>
                <c:pt idx="1402">
                  <c:v>42048</c:v>
                </c:pt>
                <c:pt idx="1403">
                  <c:v>42051</c:v>
                </c:pt>
                <c:pt idx="1404">
                  <c:v>42061</c:v>
                </c:pt>
                <c:pt idx="1405">
                  <c:v>42062</c:v>
                </c:pt>
                <c:pt idx="1406">
                  <c:v>42065</c:v>
                </c:pt>
                <c:pt idx="1407">
                  <c:v>42066</c:v>
                </c:pt>
                <c:pt idx="1408">
                  <c:v>42067</c:v>
                </c:pt>
                <c:pt idx="1409">
                  <c:v>42068</c:v>
                </c:pt>
                <c:pt idx="1410">
                  <c:v>42069</c:v>
                </c:pt>
                <c:pt idx="1411">
                  <c:v>42072</c:v>
                </c:pt>
                <c:pt idx="1412">
                  <c:v>42073</c:v>
                </c:pt>
                <c:pt idx="1413">
                  <c:v>42074</c:v>
                </c:pt>
                <c:pt idx="1414">
                  <c:v>42075</c:v>
                </c:pt>
                <c:pt idx="1415">
                  <c:v>42076</c:v>
                </c:pt>
                <c:pt idx="1416">
                  <c:v>42079</c:v>
                </c:pt>
                <c:pt idx="1417" formatCode="m/d/yyyy">
                  <c:v>42080</c:v>
                </c:pt>
                <c:pt idx="1418" formatCode="m/d/yyyy">
                  <c:v>42081</c:v>
                </c:pt>
                <c:pt idx="1419" formatCode="m/d/yyyy">
                  <c:v>42082</c:v>
                </c:pt>
                <c:pt idx="1420" formatCode="m/d/yyyy">
                  <c:v>42083</c:v>
                </c:pt>
                <c:pt idx="1421" formatCode="m/d/yyyy">
                  <c:v>42086</c:v>
                </c:pt>
                <c:pt idx="1422" formatCode="m/d/yyyy">
                  <c:v>42087</c:v>
                </c:pt>
                <c:pt idx="1423" formatCode="m/d/yyyy">
                  <c:v>42088</c:v>
                </c:pt>
                <c:pt idx="1424" formatCode="m/d/yyyy">
                  <c:v>42089</c:v>
                </c:pt>
                <c:pt idx="1425" formatCode="m/d/yyyy">
                  <c:v>42090</c:v>
                </c:pt>
                <c:pt idx="1426" formatCode="m/d/yyyy">
                  <c:v>42093</c:v>
                </c:pt>
                <c:pt idx="1427" formatCode="m/d/yyyy">
                  <c:v>42094</c:v>
                </c:pt>
                <c:pt idx="1428" formatCode="m/d/yyyy">
                  <c:v>42095</c:v>
                </c:pt>
                <c:pt idx="1429" formatCode="m/d/yyyy">
                  <c:v>42096</c:v>
                </c:pt>
                <c:pt idx="1430" formatCode="m/d/yyyy">
                  <c:v>42097</c:v>
                </c:pt>
                <c:pt idx="1431" formatCode="m/d/yyyy">
                  <c:v>42098</c:v>
                </c:pt>
                <c:pt idx="1432" formatCode="m/d/yyyy">
                  <c:v>42099</c:v>
                </c:pt>
                <c:pt idx="1433" formatCode="m/d/yyyy">
                  <c:v>42100</c:v>
                </c:pt>
                <c:pt idx="1434" formatCode="m/d/yyyy">
                  <c:v>42101</c:v>
                </c:pt>
                <c:pt idx="1435" formatCode="m/d/yyyy">
                  <c:v>42102</c:v>
                </c:pt>
                <c:pt idx="1436" formatCode="m/d/yyyy">
                  <c:v>42103</c:v>
                </c:pt>
                <c:pt idx="1437" formatCode="m/d/yyyy">
                  <c:v>42104</c:v>
                </c:pt>
                <c:pt idx="1438" formatCode="m/d/yyyy">
                  <c:v>42105</c:v>
                </c:pt>
                <c:pt idx="1439" formatCode="m/d/yyyy">
                  <c:v>42106</c:v>
                </c:pt>
                <c:pt idx="1440" formatCode="m/d/yyyy">
                  <c:v>42107</c:v>
                </c:pt>
                <c:pt idx="1441" formatCode="m/d/yyyy">
                  <c:v>42108</c:v>
                </c:pt>
                <c:pt idx="1442" formatCode="m/d/yyyy">
                  <c:v>42109</c:v>
                </c:pt>
                <c:pt idx="1443" formatCode="m/d/yyyy">
                  <c:v>42110</c:v>
                </c:pt>
                <c:pt idx="1444" formatCode="m/d/yyyy">
                  <c:v>42111</c:v>
                </c:pt>
                <c:pt idx="1445" formatCode="m/d/yyyy">
                  <c:v>42112</c:v>
                </c:pt>
                <c:pt idx="1446" formatCode="m/d/yyyy">
                  <c:v>42113</c:v>
                </c:pt>
                <c:pt idx="1447" formatCode="m/d/yyyy">
                  <c:v>42114</c:v>
                </c:pt>
                <c:pt idx="1448" formatCode="m/d/yyyy">
                  <c:v>42115</c:v>
                </c:pt>
                <c:pt idx="1449" formatCode="m/d/yyyy">
                  <c:v>42116</c:v>
                </c:pt>
                <c:pt idx="1450" formatCode="m/d/yyyy">
                  <c:v>42117</c:v>
                </c:pt>
                <c:pt idx="1451" formatCode="m/d/yyyy">
                  <c:v>42118</c:v>
                </c:pt>
                <c:pt idx="1452" formatCode="m/d/yyyy">
                  <c:v>42119</c:v>
                </c:pt>
                <c:pt idx="1453" formatCode="m/d/yyyy">
                  <c:v>42120</c:v>
                </c:pt>
                <c:pt idx="1454" formatCode="m/d/yyyy">
                  <c:v>42121</c:v>
                </c:pt>
                <c:pt idx="1455" formatCode="m/d/yyyy">
                  <c:v>42122</c:v>
                </c:pt>
                <c:pt idx="1456" formatCode="m/d/yyyy">
                  <c:v>42123</c:v>
                </c:pt>
                <c:pt idx="1457" formatCode="m/d/yyyy">
                  <c:v>42124</c:v>
                </c:pt>
                <c:pt idx="1458" formatCode="m/d/yyyy">
                  <c:v>42125</c:v>
                </c:pt>
                <c:pt idx="1459" formatCode="m/d/yyyy">
                  <c:v>42126</c:v>
                </c:pt>
                <c:pt idx="1460" formatCode="m/d/yyyy">
                  <c:v>42127</c:v>
                </c:pt>
                <c:pt idx="1461" formatCode="m/d/yyyy">
                  <c:v>42128</c:v>
                </c:pt>
                <c:pt idx="1462" formatCode="m/d/yyyy">
                  <c:v>42129</c:v>
                </c:pt>
                <c:pt idx="1463" formatCode="m/d/yyyy">
                  <c:v>42130</c:v>
                </c:pt>
                <c:pt idx="1464" formatCode="m/d/yyyy">
                  <c:v>42131</c:v>
                </c:pt>
                <c:pt idx="1465" formatCode="m/d/yyyy">
                  <c:v>42132</c:v>
                </c:pt>
                <c:pt idx="1466" formatCode="m/d/yyyy">
                  <c:v>42133</c:v>
                </c:pt>
                <c:pt idx="1467" formatCode="m/d/yyyy">
                  <c:v>42134</c:v>
                </c:pt>
                <c:pt idx="1468" formatCode="m/d/yyyy">
                  <c:v>42135</c:v>
                </c:pt>
                <c:pt idx="1469" formatCode="m/d/yyyy">
                  <c:v>42136</c:v>
                </c:pt>
                <c:pt idx="1470" formatCode="m/d/yyyy">
                  <c:v>42137</c:v>
                </c:pt>
                <c:pt idx="1471" formatCode="m/d/yyyy">
                  <c:v>42138</c:v>
                </c:pt>
                <c:pt idx="1472" formatCode="m/d/yyyy">
                  <c:v>42139</c:v>
                </c:pt>
                <c:pt idx="1473" formatCode="m/d/yyyy">
                  <c:v>42140</c:v>
                </c:pt>
                <c:pt idx="1474" formatCode="m/d/yyyy">
                  <c:v>42141</c:v>
                </c:pt>
                <c:pt idx="1475" formatCode="m/d/yyyy">
                  <c:v>42142</c:v>
                </c:pt>
                <c:pt idx="1476" formatCode="m/d/yyyy">
                  <c:v>42143</c:v>
                </c:pt>
                <c:pt idx="1477" formatCode="m/d/yyyy">
                  <c:v>42144</c:v>
                </c:pt>
                <c:pt idx="1478" formatCode="m/d/yyyy">
                  <c:v>42145</c:v>
                </c:pt>
                <c:pt idx="1479" formatCode="m/d/yyyy">
                  <c:v>42146</c:v>
                </c:pt>
                <c:pt idx="1480" formatCode="m/d/yyyy">
                  <c:v>42147</c:v>
                </c:pt>
                <c:pt idx="1481" formatCode="m/d/yyyy">
                  <c:v>42148</c:v>
                </c:pt>
                <c:pt idx="1482" formatCode="m/d/yyyy">
                  <c:v>42149</c:v>
                </c:pt>
                <c:pt idx="1483" formatCode="m/d/yyyy">
                  <c:v>42150</c:v>
                </c:pt>
                <c:pt idx="1484" formatCode="m/d/yyyy">
                  <c:v>42151</c:v>
                </c:pt>
                <c:pt idx="1485" formatCode="m/d/yyyy">
                  <c:v>42152</c:v>
                </c:pt>
                <c:pt idx="1486" formatCode="m/d/yyyy">
                  <c:v>42153</c:v>
                </c:pt>
                <c:pt idx="1487" formatCode="m/d/yyyy">
                  <c:v>42154</c:v>
                </c:pt>
                <c:pt idx="1488" formatCode="m/d/yyyy">
                  <c:v>42155</c:v>
                </c:pt>
                <c:pt idx="1489" formatCode="m/d/yyyy">
                  <c:v>42156</c:v>
                </c:pt>
                <c:pt idx="1490" formatCode="m/d/yyyy">
                  <c:v>42157</c:v>
                </c:pt>
                <c:pt idx="1491" formatCode="m/d/yyyy">
                  <c:v>42158</c:v>
                </c:pt>
                <c:pt idx="1492" formatCode="m/d/yyyy">
                  <c:v>42159</c:v>
                </c:pt>
                <c:pt idx="1493" formatCode="m/d/yyyy">
                  <c:v>42160</c:v>
                </c:pt>
                <c:pt idx="1494" formatCode="m/d/yyyy">
                  <c:v>42161</c:v>
                </c:pt>
                <c:pt idx="1495" formatCode="m/d/yyyy">
                  <c:v>42162</c:v>
                </c:pt>
                <c:pt idx="1496" formatCode="m/d/yyyy">
                  <c:v>42163</c:v>
                </c:pt>
                <c:pt idx="1497" formatCode="m/d/yyyy">
                  <c:v>42164</c:v>
                </c:pt>
                <c:pt idx="1498" formatCode="m/d/yyyy">
                  <c:v>42165</c:v>
                </c:pt>
                <c:pt idx="1499" formatCode="m/d/yyyy">
                  <c:v>42166</c:v>
                </c:pt>
                <c:pt idx="1500" formatCode="m/d/yyyy">
                  <c:v>42167</c:v>
                </c:pt>
                <c:pt idx="1501" formatCode="m/d/yyyy">
                  <c:v>42168</c:v>
                </c:pt>
                <c:pt idx="1502" formatCode="m/d/yyyy">
                  <c:v>42169</c:v>
                </c:pt>
                <c:pt idx="1503" formatCode="m/d/yyyy">
                  <c:v>42170</c:v>
                </c:pt>
                <c:pt idx="1504" formatCode="m/d/yyyy">
                  <c:v>42171</c:v>
                </c:pt>
                <c:pt idx="1505" formatCode="m/d/yyyy">
                  <c:v>42172</c:v>
                </c:pt>
                <c:pt idx="1506" formatCode="m/d/yyyy">
                  <c:v>42173</c:v>
                </c:pt>
                <c:pt idx="1507" formatCode="m/d/yyyy">
                  <c:v>42174</c:v>
                </c:pt>
                <c:pt idx="1508" formatCode="m/d/yyyy">
                  <c:v>42175</c:v>
                </c:pt>
                <c:pt idx="1509" formatCode="m/d/yyyy">
                  <c:v>42176</c:v>
                </c:pt>
                <c:pt idx="1510" formatCode="m/d/yyyy">
                  <c:v>42177</c:v>
                </c:pt>
                <c:pt idx="1511" formatCode="m/d/yyyy">
                  <c:v>42178</c:v>
                </c:pt>
                <c:pt idx="1512" formatCode="m/d/yyyy">
                  <c:v>42179</c:v>
                </c:pt>
                <c:pt idx="1513" formatCode="m/d/yyyy">
                  <c:v>42180</c:v>
                </c:pt>
                <c:pt idx="1514" formatCode="m/d/yyyy">
                  <c:v>42181</c:v>
                </c:pt>
                <c:pt idx="1515" formatCode="m/d/yyyy">
                  <c:v>42182</c:v>
                </c:pt>
                <c:pt idx="1516" formatCode="m/d/yyyy">
                  <c:v>42183</c:v>
                </c:pt>
                <c:pt idx="1517" formatCode="m/d/yyyy">
                  <c:v>42184</c:v>
                </c:pt>
                <c:pt idx="1518" formatCode="m/d/yyyy">
                  <c:v>42185</c:v>
                </c:pt>
                <c:pt idx="1519" formatCode="m/d/yyyy">
                  <c:v>42186</c:v>
                </c:pt>
                <c:pt idx="1520" formatCode="m/d/yyyy">
                  <c:v>42187</c:v>
                </c:pt>
                <c:pt idx="1521" formatCode="m/d/yyyy">
                  <c:v>42188</c:v>
                </c:pt>
                <c:pt idx="1522" formatCode="m/d/yyyy">
                  <c:v>42189</c:v>
                </c:pt>
                <c:pt idx="1523" formatCode="m/d/yyyy">
                  <c:v>42190</c:v>
                </c:pt>
                <c:pt idx="1524" formatCode="m/d/yyyy">
                  <c:v>42191</c:v>
                </c:pt>
                <c:pt idx="1525" formatCode="m/d/yyyy">
                  <c:v>42192</c:v>
                </c:pt>
                <c:pt idx="1526" formatCode="m/d/yyyy">
                  <c:v>42193</c:v>
                </c:pt>
                <c:pt idx="1527" formatCode="m/d/yyyy">
                  <c:v>42194</c:v>
                </c:pt>
                <c:pt idx="1528" formatCode="m/d/yyyy">
                  <c:v>42195</c:v>
                </c:pt>
                <c:pt idx="1529" formatCode="m/d/yyyy">
                  <c:v>42196</c:v>
                </c:pt>
                <c:pt idx="1530" formatCode="m/d/yyyy">
                  <c:v>42197</c:v>
                </c:pt>
                <c:pt idx="1531" formatCode="m/d/yyyy">
                  <c:v>42198</c:v>
                </c:pt>
                <c:pt idx="1532" formatCode="m/d/yyyy">
                  <c:v>42199</c:v>
                </c:pt>
                <c:pt idx="1533" formatCode="m/d/yyyy">
                  <c:v>42200</c:v>
                </c:pt>
                <c:pt idx="1534" formatCode="m/d/yyyy">
                  <c:v>42201</c:v>
                </c:pt>
                <c:pt idx="1535" formatCode="m/d/yyyy">
                  <c:v>42202</c:v>
                </c:pt>
                <c:pt idx="1536" formatCode="m/d/yyyy">
                  <c:v>42203</c:v>
                </c:pt>
                <c:pt idx="1537" formatCode="m/d/yyyy">
                  <c:v>42204</c:v>
                </c:pt>
                <c:pt idx="1538" formatCode="m/d/yyyy">
                  <c:v>42205</c:v>
                </c:pt>
                <c:pt idx="1539" formatCode="m/d/yyyy">
                  <c:v>42206</c:v>
                </c:pt>
                <c:pt idx="1540" formatCode="m/d/yyyy">
                  <c:v>42207</c:v>
                </c:pt>
                <c:pt idx="1541" formatCode="m/d/yyyy">
                  <c:v>42208</c:v>
                </c:pt>
                <c:pt idx="1542" formatCode="m/d/yyyy">
                  <c:v>42209</c:v>
                </c:pt>
                <c:pt idx="1543" formatCode="m/d/yyyy">
                  <c:v>42210</c:v>
                </c:pt>
                <c:pt idx="1544" formatCode="m/d/yyyy">
                  <c:v>42211</c:v>
                </c:pt>
                <c:pt idx="1545" formatCode="m/d/yyyy">
                  <c:v>42212</c:v>
                </c:pt>
                <c:pt idx="1546" formatCode="m/d/yyyy">
                  <c:v>42213</c:v>
                </c:pt>
                <c:pt idx="1547" formatCode="m/d/yyyy">
                  <c:v>42214</c:v>
                </c:pt>
                <c:pt idx="1548" formatCode="m/d/yyyy">
                  <c:v>42215</c:v>
                </c:pt>
                <c:pt idx="1549" formatCode="m/d/yyyy">
                  <c:v>42216</c:v>
                </c:pt>
                <c:pt idx="1550" formatCode="m/d/yyyy">
                  <c:v>42217</c:v>
                </c:pt>
                <c:pt idx="1551" formatCode="m/d/yyyy">
                  <c:v>42218</c:v>
                </c:pt>
                <c:pt idx="1552" formatCode="m/d/yyyy">
                  <c:v>42219</c:v>
                </c:pt>
                <c:pt idx="1553" formatCode="m/d/yyyy">
                  <c:v>42220</c:v>
                </c:pt>
                <c:pt idx="1554" formatCode="m/d/yyyy">
                  <c:v>42221</c:v>
                </c:pt>
                <c:pt idx="1555" formatCode="m/d/yyyy">
                  <c:v>42222</c:v>
                </c:pt>
                <c:pt idx="1556" formatCode="m/d/yyyy">
                  <c:v>42223</c:v>
                </c:pt>
                <c:pt idx="1557" formatCode="m/d/yyyy">
                  <c:v>42224</c:v>
                </c:pt>
                <c:pt idx="1558" formatCode="m/d/yyyy">
                  <c:v>42225</c:v>
                </c:pt>
                <c:pt idx="1559" formatCode="m/d/yyyy">
                  <c:v>42226</c:v>
                </c:pt>
                <c:pt idx="1560" formatCode="m/d/yyyy">
                  <c:v>42227</c:v>
                </c:pt>
                <c:pt idx="1561" formatCode="m/d/yyyy">
                  <c:v>42228</c:v>
                </c:pt>
                <c:pt idx="1562" formatCode="m/d/yyyy">
                  <c:v>42229</c:v>
                </c:pt>
                <c:pt idx="1563" formatCode="m/d/yyyy">
                  <c:v>42230</c:v>
                </c:pt>
                <c:pt idx="1564" formatCode="m/d/yyyy">
                  <c:v>42231</c:v>
                </c:pt>
                <c:pt idx="1565" formatCode="m/d/yyyy">
                  <c:v>42232</c:v>
                </c:pt>
                <c:pt idx="1566" formatCode="m/d/yyyy">
                  <c:v>42233</c:v>
                </c:pt>
                <c:pt idx="1567" formatCode="m/d/yyyy">
                  <c:v>42234</c:v>
                </c:pt>
                <c:pt idx="1568" formatCode="m/d/yyyy">
                  <c:v>42235</c:v>
                </c:pt>
                <c:pt idx="1569" formatCode="m/d/yyyy">
                  <c:v>42236</c:v>
                </c:pt>
                <c:pt idx="1570" formatCode="m/d/yyyy">
                  <c:v>42237</c:v>
                </c:pt>
                <c:pt idx="1571" formatCode="m/d/yyyy">
                  <c:v>42238</c:v>
                </c:pt>
                <c:pt idx="1572" formatCode="m/d/yyyy">
                  <c:v>42239</c:v>
                </c:pt>
                <c:pt idx="1573" formatCode="m/d/yyyy">
                  <c:v>42240</c:v>
                </c:pt>
                <c:pt idx="1574" formatCode="m/d/yyyy">
                  <c:v>42241</c:v>
                </c:pt>
                <c:pt idx="1575" formatCode="m/d/yyyy">
                  <c:v>42242</c:v>
                </c:pt>
                <c:pt idx="1576" formatCode="m/d/yyyy">
                  <c:v>42243</c:v>
                </c:pt>
                <c:pt idx="1577" formatCode="m/d/yyyy">
                  <c:v>42244</c:v>
                </c:pt>
                <c:pt idx="1578" formatCode="m/d/yyyy">
                  <c:v>42245</c:v>
                </c:pt>
                <c:pt idx="1579" formatCode="m/d/yyyy">
                  <c:v>42246</c:v>
                </c:pt>
                <c:pt idx="1580" formatCode="m/d/yyyy">
                  <c:v>42247</c:v>
                </c:pt>
                <c:pt idx="1581" formatCode="m/d/yyyy">
                  <c:v>42248</c:v>
                </c:pt>
                <c:pt idx="1582" formatCode="m/d/yyyy">
                  <c:v>42249</c:v>
                </c:pt>
                <c:pt idx="1583" formatCode="m/d/yyyy">
                  <c:v>42250</c:v>
                </c:pt>
                <c:pt idx="1584" formatCode="m/d/yyyy">
                  <c:v>42251</c:v>
                </c:pt>
                <c:pt idx="1585" formatCode="m/d/yyyy">
                  <c:v>42252</c:v>
                </c:pt>
                <c:pt idx="1586" formatCode="m/d/yyyy">
                  <c:v>42253</c:v>
                </c:pt>
                <c:pt idx="1587" formatCode="m/d/yyyy">
                  <c:v>42254</c:v>
                </c:pt>
                <c:pt idx="1588" formatCode="m/d/yyyy">
                  <c:v>42255</c:v>
                </c:pt>
                <c:pt idx="1589" formatCode="m/d/yyyy">
                  <c:v>42256</c:v>
                </c:pt>
                <c:pt idx="1590" formatCode="m/d/yyyy">
                  <c:v>42257</c:v>
                </c:pt>
                <c:pt idx="1591" formatCode="m/d/yyyy">
                  <c:v>42258</c:v>
                </c:pt>
                <c:pt idx="1592" formatCode="m/d/yyyy">
                  <c:v>42259</c:v>
                </c:pt>
                <c:pt idx="1593" formatCode="m/d/yyyy">
                  <c:v>42260</c:v>
                </c:pt>
                <c:pt idx="1594" formatCode="m/d/yyyy">
                  <c:v>42261</c:v>
                </c:pt>
                <c:pt idx="1595" formatCode="m/d/yyyy">
                  <c:v>42262</c:v>
                </c:pt>
                <c:pt idx="1596" formatCode="m/d/yyyy">
                  <c:v>42263</c:v>
                </c:pt>
                <c:pt idx="1597" formatCode="m/d/yyyy">
                  <c:v>42264</c:v>
                </c:pt>
                <c:pt idx="1598" formatCode="m/d/yyyy">
                  <c:v>42265</c:v>
                </c:pt>
                <c:pt idx="1599" formatCode="m/d/yyyy">
                  <c:v>42266</c:v>
                </c:pt>
                <c:pt idx="1600" formatCode="m/d/yyyy">
                  <c:v>42267</c:v>
                </c:pt>
                <c:pt idx="1601" formatCode="m/d/yyyy">
                  <c:v>42268</c:v>
                </c:pt>
                <c:pt idx="1602" formatCode="m/d/yyyy">
                  <c:v>42269</c:v>
                </c:pt>
                <c:pt idx="1603" formatCode="m/d/yyyy">
                  <c:v>42270</c:v>
                </c:pt>
                <c:pt idx="1604" formatCode="m/d/yyyy">
                  <c:v>42271</c:v>
                </c:pt>
                <c:pt idx="1605" formatCode="m/d/yyyy">
                  <c:v>42272</c:v>
                </c:pt>
                <c:pt idx="1606" formatCode="m/d/yyyy">
                  <c:v>42273</c:v>
                </c:pt>
                <c:pt idx="1607" formatCode="m/d/yyyy">
                  <c:v>42274</c:v>
                </c:pt>
                <c:pt idx="1608" formatCode="m/d/yyyy">
                  <c:v>42275</c:v>
                </c:pt>
                <c:pt idx="1609" formatCode="m/d/yyyy">
                  <c:v>42276</c:v>
                </c:pt>
                <c:pt idx="1610" formatCode="m/d/yyyy">
                  <c:v>42277</c:v>
                </c:pt>
                <c:pt idx="1611" formatCode="m/d/yyyy">
                  <c:v>42278</c:v>
                </c:pt>
                <c:pt idx="1612" formatCode="m/d/yyyy">
                  <c:v>42279</c:v>
                </c:pt>
                <c:pt idx="1613" formatCode="m/d/yyyy">
                  <c:v>42280</c:v>
                </c:pt>
                <c:pt idx="1614" formatCode="m/d/yyyy">
                  <c:v>42281</c:v>
                </c:pt>
                <c:pt idx="1615" formatCode="m/d/yyyy">
                  <c:v>42282</c:v>
                </c:pt>
                <c:pt idx="1616" formatCode="m/d/yyyy">
                  <c:v>42283</c:v>
                </c:pt>
                <c:pt idx="1617" formatCode="m/d/yyyy">
                  <c:v>42284</c:v>
                </c:pt>
                <c:pt idx="1618" formatCode="m/d/yyyy">
                  <c:v>42285</c:v>
                </c:pt>
                <c:pt idx="1619" formatCode="m/d/yyyy">
                  <c:v>42286</c:v>
                </c:pt>
                <c:pt idx="1620" formatCode="m/d/yyyy">
                  <c:v>42287</c:v>
                </c:pt>
                <c:pt idx="1621" formatCode="m/d/yyyy">
                  <c:v>42288</c:v>
                </c:pt>
                <c:pt idx="1622" formatCode="m/d/yyyy">
                  <c:v>42289</c:v>
                </c:pt>
                <c:pt idx="1623" formatCode="m/d/yyyy">
                  <c:v>42290</c:v>
                </c:pt>
                <c:pt idx="1624" formatCode="m/d/yyyy">
                  <c:v>42291</c:v>
                </c:pt>
                <c:pt idx="1625" formatCode="m/d/yyyy">
                  <c:v>42292</c:v>
                </c:pt>
                <c:pt idx="1626" formatCode="m/d/yyyy">
                  <c:v>42293</c:v>
                </c:pt>
                <c:pt idx="1627" formatCode="m/d/yyyy">
                  <c:v>42294</c:v>
                </c:pt>
                <c:pt idx="1628" formatCode="m/d/yyyy">
                  <c:v>42295</c:v>
                </c:pt>
                <c:pt idx="1629" formatCode="m/d/yyyy">
                  <c:v>42296</c:v>
                </c:pt>
                <c:pt idx="1630" formatCode="m/d/yyyy">
                  <c:v>42297</c:v>
                </c:pt>
                <c:pt idx="1631" formatCode="m/d/yyyy">
                  <c:v>42298</c:v>
                </c:pt>
                <c:pt idx="1632" formatCode="m/d/yyyy">
                  <c:v>42299</c:v>
                </c:pt>
                <c:pt idx="1633" formatCode="m/d/yyyy">
                  <c:v>42300</c:v>
                </c:pt>
                <c:pt idx="1634" formatCode="m/d/yyyy">
                  <c:v>42301</c:v>
                </c:pt>
                <c:pt idx="1635" formatCode="m/d/yyyy">
                  <c:v>42302</c:v>
                </c:pt>
                <c:pt idx="1636" formatCode="m/d/yyyy">
                  <c:v>42303</c:v>
                </c:pt>
                <c:pt idx="1637" formatCode="m/d/yyyy">
                  <c:v>42304</c:v>
                </c:pt>
                <c:pt idx="1638" formatCode="m/d/yyyy">
                  <c:v>42305</c:v>
                </c:pt>
                <c:pt idx="1639" formatCode="m/d/yyyy">
                  <c:v>42306</c:v>
                </c:pt>
                <c:pt idx="1640" formatCode="m/d/yyyy">
                  <c:v>42307</c:v>
                </c:pt>
                <c:pt idx="1641" formatCode="m/d/yyyy">
                  <c:v>42308</c:v>
                </c:pt>
                <c:pt idx="1642" formatCode="m/d/yyyy">
                  <c:v>42309</c:v>
                </c:pt>
                <c:pt idx="1643" formatCode="m/d/yyyy">
                  <c:v>42310</c:v>
                </c:pt>
                <c:pt idx="1644" formatCode="m/d/yyyy">
                  <c:v>42311</c:v>
                </c:pt>
                <c:pt idx="1645" formatCode="m/d/yyyy">
                  <c:v>42312</c:v>
                </c:pt>
                <c:pt idx="1646" formatCode="m/d/yyyy">
                  <c:v>42313</c:v>
                </c:pt>
                <c:pt idx="1647" formatCode="m/d/yyyy">
                  <c:v>42314</c:v>
                </c:pt>
                <c:pt idx="1648" formatCode="m/d/yyyy">
                  <c:v>42315</c:v>
                </c:pt>
                <c:pt idx="1649" formatCode="m/d/yyyy">
                  <c:v>42316</c:v>
                </c:pt>
                <c:pt idx="1650" formatCode="m/d/yyyy">
                  <c:v>42317</c:v>
                </c:pt>
                <c:pt idx="1651" formatCode="m/d/yyyy">
                  <c:v>42318</c:v>
                </c:pt>
                <c:pt idx="1652" formatCode="m/d/yyyy">
                  <c:v>42319</c:v>
                </c:pt>
                <c:pt idx="1653" formatCode="m/d/yyyy">
                  <c:v>42320</c:v>
                </c:pt>
                <c:pt idx="1654" formatCode="m/d/yyyy">
                  <c:v>42321</c:v>
                </c:pt>
                <c:pt idx="1655" formatCode="m/d/yyyy">
                  <c:v>42322</c:v>
                </c:pt>
                <c:pt idx="1656" formatCode="m/d/yyyy">
                  <c:v>42323</c:v>
                </c:pt>
                <c:pt idx="1657" formatCode="m/d/yyyy">
                  <c:v>42324</c:v>
                </c:pt>
                <c:pt idx="1658" formatCode="m/d/yyyy">
                  <c:v>42325</c:v>
                </c:pt>
                <c:pt idx="1659" formatCode="m/d/yyyy">
                  <c:v>42326</c:v>
                </c:pt>
                <c:pt idx="1660" formatCode="m/d/yyyy">
                  <c:v>42327</c:v>
                </c:pt>
                <c:pt idx="1661" formatCode="m/d/yyyy">
                  <c:v>42328</c:v>
                </c:pt>
                <c:pt idx="1662" formatCode="m/d/yyyy">
                  <c:v>42329</c:v>
                </c:pt>
                <c:pt idx="1663" formatCode="m/d/yyyy">
                  <c:v>42330</c:v>
                </c:pt>
                <c:pt idx="1664" formatCode="m/d/yyyy">
                  <c:v>42331</c:v>
                </c:pt>
                <c:pt idx="1665" formatCode="m/d/yyyy">
                  <c:v>42332</c:v>
                </c:pt>
                <c:pt idx="1666" formatCode="m/d/yyyy">
                  <c:v>42333</c:v>
                </c:pt>
                <c:pt idx="1667" formatCode="m/d/yyyy">
                  <c:v>42334</c:v>
                </c:pt>
                <c:pt idx="1668" formatCode="m/d/yyyy">
                  <c:v>42335</c:v>
                </c:pt>
                <c:pt idx="1669" formatCode="m/d/yyyy">
                  <c:v>42336</c:v>
                </c:pt>
                <c:pt idx="1670" formatCode="m/d/yyyy">
                  <c:v>42337</c:v>
                </c:pt>
                <c:pt idx="1671" formatCode="m/d/yyyy">
                  <c:v>42338</c:v>
                </c:pt>
                <c:pt idx="1672" formatCode="m/d/yyyy">
                  <c:v>42339</c:v>
                </c:pt>
                <c:pt idx="1673" formatCode="m/d/yyyy">
                  <c:v>42340</c:v>
                </c:pt>
                <c:pt idx="1674" formatCode="m/d/yyyy">
                  <c:v>42341</c:v>
                </c:pt>
                <c:pt idx="1675" formatCode="m/d/yyyy">
                  <c:v>42342</c:v>
                </c:pt>
                <c:pt idx="1676" formatCode="m/d/yyyy">
                  <c:v>42343</c:v>
                </c:pt>
                <c:pt idx="1677" formatCode="m/d/yyyy">
                  <c:v>42344</c:v>
                </c:pt>
                <c:pt idx="1678" formatCode="m/d/yyyy">
                  <c:v>42345</c:v>
                </c:pt>
                <c:pt idx="1679" formatCode="m/d/yyyy">
                  <c:v>42346</c:v>
                </c:pt>
                <c:pt idx="1680" formatCode="m/d/yyyy">
                  <c:v>42347</c:v>
                </c:pt>
                <c:pt idx="1681" formatCode="m/d/yyyy">
                  <c:v>42348</c:v>
                </c:pt>
                <c:pt idx="1682" formatCode="m/d/yyyy">
                  <c:v>42349</c:v>
                </c:pt>
                <c:pt idx="1683" formatCode="m/d/yyyy">
                  <c:v>42350</c:v>
                </c:pt>
                <c:pt idx="1684" formatCode="m/d/yyyy">
                  <c:v>42351</c:v>
                </c:pt>
                <c:pt idx="1685" formatCode="m/d/yyyy">
                  <c:v>42352</c:v>
                </c:pt>
                <c:pt idx="1686" formatCode="m/d/yyyy">
                  <c:v>42353</c:v>
                </c:pt>
                <c:pt idx="1687" formatCode="m/d/yyyy">
                  <c:v>42354</c:v>
                </c:pt>
                <c:pt idx="1688" formatCode="m/d/yyyy">
                  <c:v>42355</c:v>
                </c:pt>
                <c:pt idx="1689" formatCode="m/d/yyyy">
                  <c:v>42356</c:v>
                </c:pt>
                <c:pt idx="1690" formatCode="m/d/yyyy">
                  <c:v>42357</c:v>
                </c:pt>
                <c:pt idx="1691" formatCode="m/d/yyyy">
                  <c:v>42358</c:v>
                </c:pt>
                <c:pt idx="1692" formatCode="m/d/yyyy">
                  <c:v>42359</c:v>
                </c:pt>
                <c:pt idx="1693" formatCode="m/d/yyyy">
                  <c:v>42360</c:v>
                </c:pt>
                <c:pt idx="1694" formatCode="m/d/yyyy">
                  <c:v>42361</c:v>
                </c:pt>
                <c:pt idx="1695" formatCode="m/d/yyyy">
                  <c:v>42362</c:v>
                </c:pt>
                <c:pt idx="1696" formatCode="m/d/yyyy">
                  <c:v>42363</c:v>
                </c:pt>
                <c:pt idx="1697" formatCode="m/d/yyyy">
                  <c:v>42364</c:v>
                </c:pt>
                <c:pt idx="1698" formatCode="m/d/yyyy">
                  <c:v>42365</c:v>
                </c:pt>
                <c:pt idx="1699" formatCode="m/d/yyyy">
                  <c:v>42366</c:v>
                </c:pt>
                <c:pt idx="1700" formatCode="m/d/yyyy">
                  <c:v>42367</c:v>
                </c:pt>
                <c:pt idx="1701" formatCode="m/d/yyyy">
                  <c:v>42368</c:v>
                </c:pt>
                <c:pt idx="1702" formatCode="m/d/yyyy">
                  <c:v>42369</c:v>
                </c:pt>
                <c:pt idx="1703" formatCode="m/d/yyyy">
                  <c:v>42370</c:v>
                </c:pt>
                <c:pt idx="1704" formatCode="m/d/yyyy">
                  <c:v>42371</c:v>
                </c:pt>
                <c:pt idx="1705" formatCode="m/d/yyyy">
                  <c:v>42372</c:v>
                </c:pt>
                <c:pt idx="1706" formatCode="m/d/yyyy">
                  <c:v>42373</c:v>
                </c:pt>
                <c:pt idx="1707" formatCode="m/d/yyyy">
                  <c:v>42374</c:v>
                </c:pt>
                <c:pt idx="1708" formatCode="m/d/yyyy">
                  <c:v>42375</c:v>
                </c:pt>
                <c:pt idx="1709" formatCode="m/d/yyyy">
                  <c:v>42376</c:v>
                </c:pt>
                <c:pt idx="1710" formatCode="m/d/yyyy">
                  <c:v>42377</c:v>
                </c:pt>
                <c:pt idx="1711" formatCode="m/d/yyyy">
                  <c:v>42378</c:v>
                </c:pt>
                <c:pt idx="1712" formatCode="m/d/yyyy">
                  <c:v>42379</c:v>
                </c:pt>
                <c:pt idx="1713" formatCode="m/d/yyyy">
                  <c:v>42380</c:v>
                </c:pt>
                <c:pt idx="1714" formatCode="m/d/yyyy">
                  <c:v>42381</c:v>
                </c:pt>
              </c:numCache>
            </c:numRef>
          </c:cat>
          <c:val>
            <c:numRef>
              <c:f>开工率!$C$2:$C$2500</c:f>
              <c:numCache>
                <c:formatCode>###,###,###,###,##0.00_ </c:formatCode>
                <c:ptCount val="2499"/>
                <c:pt idx="0">
                  <c:v>73</c:v>
                </c:pt>
                <c:pt idx="1">
                  <c:v>68</c:v>
                </c:pt>
                <c:pt idx="2">
                  <c:v>68</c:v>
                </c:pt>
                <c:pt idx="3">
                  <c:v>68</c:v>
                </c:pt>
                <c:pt idx="4">
                  <c:v>65</c:v>
                </c:pt>
                <c:pt idx="5">
                  <c:v>65</c:v>
                </c:pt>
                <c:pt idx="6">
                  <c:v>65</c:v>
                </c:pt>
                <c:pt idx="7">
                  <c:v>65</c:v>
                </c:pt>
                <c:pt idx="8">
                  <c:v>65</c:v>
                </c:pt>
                <c:pt idx="9">
                  <c:v>70</c:v>
                </c:pt>
                <c:pt idx="10">
                  <c:v>70</c:v>
                </c:pt>
                <c:pt idx="11">
                  <c:v>71</c:v>
                </c:pt>
                <c:pt idx="12">
                  <c:v>71</c:v>
                </c:pt>
                <c:pt idx="13">
                  <c:v>64</c:v>
                </c:pt>
                <c:pt idx="14">
                  <c:v>64</c:v>
                </c:pt>
                <c:pt idx="15">
                  <c:v>64</c:v>
                </c:pt>
                <c:pt idx="16">
                  <c:v>64</c:v>
                </c:pt>
                <c:pt idx="17">
                  <c:v>64</c:v>
                </c:pt>
                <c:pt idx="18">
                  <c:v>64</c:v>
                </c:pt>
                <c:pt idx="19">
                  <c:v>64</c:v>
                </c:pt>
                <c:pt idx="20">
                  <c:v>64</c:v>
                </c:pt>
                <c:pt idx="21">
                  <c:v>64</c:v>
                </c:pt>
                <c:pt idx="22">
                  <c:v>64</c:v>
                </c:pt>
                <c:pt idx="23">
                  <c:v>64</c:v>
                </c:pt>
                <c:pt idx="24">
                  <c:v>64</c:v>
                </c:pt>
                <c:pt idx="25">
                  <c:v>64</c:v>
                </c:pt>
                <c:pt idx="26">
                  <c:v>67</c:v>
                </c:pt>
                <c:pt idx="27">
                  <c:v>67</c:v>
                </c:pt>
                <c:pt idx="28">
                  <c:v>67</c:v>
                </c:pt>
                <c:pt idx="29">
                  <c:v>67</c:v>
                </c:pt>
                <c:pt idx="30">
                  <c:v>67</c:v>
                </c:pt>
                <c:pt idx="31">
                  <c:v>67</c:v>
                </c:pt>
                <c:pt idx="32">
                  <c:v>67</c:v>
                </c:pt>
                <c:pt idx="33">
                  <c:v>67</c:v>
                </c:pt>
                <c:pt idx="34">
                  <c:v>67</c:v>
                </c:pt>
                <c:pt idx="35">
                  <c:v>67</c:v>
                </c:pt>
                <c:pt idx="36">
                  <c:v>70</c:v>
                </c:pt>
                <c:pt idx="37">
                  <c:v>70</c:v>
                </c:pt>
                <c:pt idx="38">
                  <c:v>70</c:v>
                </c:pt>
                <c:pt idx="39">
                  <c:v>70</c:v>
                </c:pt>
                <c:pt idx="40">
                  <c:v>70</c:v>
                </c:pt>
                <c:pt idx="41">
                  <c:v>73</c:v>
                </c:pt>
                <c:pt idx="42">
                  <c:v>73</c:v>
                </c:pt>
                <c:pt idx="43">
                  <c:v>63</c:v>
                </c:pt>
                <c:pt idx="44">
                  <c:v>68</c:v>
                </c:pt>
                <c:pt idx="45">
                  <c:v>68</c:v>
                </c:pt>
                <c:pt idx="46">
                  <c:v>70</c:v>
                </c:pt>
                <c:pt idx="47">
                  <c:v>70</c:v>
                </c:pt>
                <c:pt idx="48">
                  <c:v>70</c:v>
                </c:pt>
                <c:pt idx="49">
                  <c:v>70</c:v>
                </c:pt>
                <c:pt idx="50">
                  <c:v>70</c:v>
                </c:pt>
                <c:pt idx="51">
                  <c:v>70</c:v>
                </c:pt>
                <c:pt idx="52">
                  <c:v>70</c:v>
                </c:pt>
                <c:pt idx="53">
                  <c:v>72</c:v>
                </c:pt>
                <c:pt idx="54">
                  <c:v>73</c:v>
                </c:pt>
                <c:pt idx="55">
                  <c:v>73</c:v>
                </c:pt>
                <c:pt idx="56">
                  <c:v>73</c:v>
                </c:pt>
                <c:pt idx="57">
                  <c:v>75</c:v>
                </c:pt>
                <c:pt idx="58">
                  <c:v>75</c:v>
                </c:pt>
                <c:pt idx="59">
                  <c:v>75</c:v>
                </c:pt>
                <c:pt idx="60">
                  <c:v>75</c:v>
                </c:pt>
                <c:pt idx="61">
                  <c:v>75</c:v>
                </c:pt>
                <c:pt idx="62">
                  <c:v>78</c:v>
                </c:pt>
                <c:pt idx="63">
                  <c:v>84</c:v>
                </c:pt>
                <c:pt idx="64">
                  <c:v>84</c:v>
                </c:pt>
                <c:pt idx="65">
                  <c:v>84</c:v>
                </c:pt>
                <c:pt idx="66">
                  <c:v>83</c:v>
                </c:pt>
                <c:pt idx="67">
                  <c:v>83</c:v>
                </c:pt>
                <c:pt idx="68">
                  <c:v>76</c:v>
                </c:pt>
                <c:pt idx="69">
                  <c:v>76</c:v>
                </c:pt>
                <c:pt idx="70">
                  <c:v>69</c:v>
                </c:pt>
                <c:pt idx="71">
                  <c:v>69</c:v>
                </c:pt>
                <c:pt idx="72">
                  <c:v>69</c:v>
                </c:pt>
                <c:pt idx="73">
                  <c:v>69</c:v>
                </c:pt>
                <c:pt idx="74">
                  <c:v>65.5</c:v>
                </c:pt>
                <c:pt idx="75">
                  <c:v>66.5</c:v>
                </c:pt>
                <c:pt idx="76">
                  <c:v>73</c:v>
                </c:pt>
                <c:pt idx="77">
                  <c:v>73</c:v>
                </c:pt>
                <c:pt idx="78">
                  <c:v>73</c:v>
                </c:pt>
                <c:pt idx="79">
                  <c:v>85</c:v>
                </c:pt>
                <c:pt idx="80">
                  <c:v>79</c:v>
                </c:pt>
                <c:pt idx="81">
                  <c:v>77</c:v>
                </c:pt>
                <c:pt idx="82">
                  <c:v>77</c:v>
                </c:pt>
                <c:pt idx="83">
                  <c:v>77</c:v>
                </c:pt>
                <c:pt idx="84">
                  <c:v>77</c:v>
                </c:pt>
                <c:pt idx="85">
                  <c:v>77</c:v>
                </c:pt>
                <c:pt idx="86">
                  <c:v>82</c:v>
                </c:pt>
                <c:pt idx="87">
                  <c:v>82</c:v>
                </c:pt>
                <c:pt idx="88">
                  <c:v>82</c:v>
                </c:pt>
                <c:pt idx="89">
                  <c:v>82</c:v>
                </c:pt>
                <c:pt idx="90">
                  <c:v>82</c:v>
                </c:pt>
                <c:pt idx="91">
                  <c:v>74.5</c:v>
                </c:pt>
                <c:pt idx="92">
                  <c:v>81</c:v>
                </c:pt>
                <c:pt idx="93">
                  <c:v>81</c:v>
                </c:pt>
                <c:pt idx="94">
                  <c:v>81</c:v>
                </c:pt>
                <c:pt idx="95">
                  <c:v>81</c:v>
                </c:pt>
                <c:pt idx="96">
                  <c:v>81</c:v>
                </c:pt>
                <c:pt idx="97">
                  <c:v>81</c:v>
                </c:pt>
                <c:pt idx="98">
                  <c:v>81</c:v>
                </c:pt>
                <c:pt idx="99">
                  <c:v>80</c:v>
                </c:pt>
                <c:pt idx="100">
                  <c:v>81</c:v>
                </c:pt>
                <c:pt idx="101">
                  <c:v>77</c:v>
                </c:pt>
                <c:pt idx="102">
                  <c:v>71</c:v>
                </c:pt>
                <c:pt idx="103">
                  <c:v>71</c:v>
                </c:pt>
                <c:pt idx="104">
                  <c:v>71</c:v>
                </c:pt>
                <c:pt idx="105">
                  <c:v>71</c:v>
                </c:pt>
                <c:pt idx="106">
                  <c:v>75</c:v>
                </c:pt>
                <c:pt idx="107">
                  <c:v>82</c:v>
                </c:pt>
                <c:pt idx="108">
                  <c:v>88</c:v>
                </c:pt>
                <c:pt idx="109">
                  <c:v>88</c:v>
                </c:pt>
                <c:pt idx="110">
                  <c:v>88</c:v>
                </c:pt>
                <c:pt idx="111">
                  <c:v>88</c:v>
                </c:pt>
                <c:pt idx="112">
                  <c:v>81</c:v>
                </c:pt>
                <c:pt idx="113">
                  <c:v>81</c:v>
                </c:pt>
                <c:pt idx="114">
                  <c:v>85</c:v>
                </c:pt>
                <c:pt idx="115">
                  <c:v>85</c:v>
                </c:pt>
                <c:pt idx="116">
                  <c:v>85</c:v>
                </c:pt>
                <c:pt idx="117">
                  <c:v>85</c:v>
                </c:pt>
                <c:pt idx="118">
                  <c:v>83</c:v>
                </c:pt>
                <c:pt idx="119">
                  <c:v>80</c:v>
                </c:pt>
                <c:pt idx="120">
                  <c:v>80</c:v>
                </c:pt>
                <c:pt idx="121">
                  <c:v>80</c:v>
                </c:pt>
                <c:pt idx="122">
                  <c:v>86</c:v>
                </c:pt>
                <c:pt idx="123">
                  <c:v>86</c:v>
                </c:pt>
                <c:pt idx="124">
                  <c:v>92</c:v>
                </c:pt>
                <c:pt idx="125">
                  <c:v>92</c:v>
                </c:pt>
                <c:pt idx="126">
                  <c:v>92</c:v>
                </c:pt>
                <c:pt idx="127">
                  <c:v>89</c:v>
                </c:pt>
                <c:pt idx="128">
                  <c:v>89</c:v>
                </c:pt>
                <c:pt idx="129">
                  <c:v>89</c:v>
                </c:pt>
                <c:pt idx="130">
                  <c:v>89</c:v>
                </c:pt>
                <c:pt idx="131">
                  <c:v>84</c:v>
                </c:pt>
                <c:pt idx="132">
                  <c:v>82</c:v>
                </c:pt>
                <c:pt idx="133">
                  <c:v>74</c:v>
                </c:pt>
                <c:pt idx="134">
                  <c:v>77</c:v>
                </c:pt>
                <c:pt idx="135">
                  <c:v>78</c:v>
                </c:pt>
                <c:pt idx="136">
                  <c:v>78</c:v>
                </c:pt>
                <c:pt idx="137">
                  <c:v>71</c:v>
                </c:pt>
                <c:pt idx="138">
                  <c:v>71</c:v>
                </c:pt>
                <c:pt idx="139">
                  <c:v>77</c:v>
                </c:pt>
                <c:pt idx="140">
                  <c:v>82</c:v>
                </c:pt>
                <c:pt idx="141">
                  <c:v>88</c:v>
                </c:pt>
                <c:pt idx="142">
                  <c:v>86</c:v>
                </c:pt>
                <c:pt idx="143">
                  <c:v>80</c:v>
                </c:pt>
                <c:pt idx="144">
                  <c:v>87</c:v>
                </c:pt>
                <c:pt idx="145">
                  <c:v>92</c:v>
                </c:pt>
                <c:pt idx="146">
                  <c:v>86</c:v>
                </c:pt>
                <c:pt idx="147">
                  <c:v>88</c:v>
                </c:pt>
                <c:pt idx="148">
                  <c:v>88</c:v>
                </c:pt>
                <c:pt idx="149">
                  <c:v>88</c:v>
                </c:pt>
                <c:pt idx="150">
                  <c:v>88</c:v>
                </c:pt>
                <c:pt idx="151">
                  <c:v>92</c:v>
                </c:pt>
                <c:pt idx="152">
                  <c:v>92</c:v>
                </c:pt>
                <c:pt idx="153">
                  <c:v>92</c:v>
                </c:pt>
                <c:pt idx="154">
                  <c:v>92</c:v>
                </c:pt>
                <c:pt idx="155">
                  <c:v>87</c:v>
                </c:pt>
                <c:pt idx="156">
                  <c:v>92</c:v>
                </c:pt>
                <c:pt idx="157">
                  <c:v>93</c:v>
                </c:pt>
                <c:pt idx="158">
                  <c:v>93</c:v>
                </c:pt>
                <c:pt idx="159">
                  <c:v>94</c:v>
                </c:pt>
                <c:pt idx="160">
                  <c:v>94</c:v>
                </c:pt>
                <c:pt idx="161">
                  <c:v>94</c:v>
                </c:pt>
                <c:pt idx="162">
                  <c:v>93</c:v>
                </c:pt>
                <c:pt idx="163">
                  <c:v>93</c:v>
                </c:pt>
                <c:pt idx="164">
                  <c:v>93</c:v>
                </c:pt>
                <c:pt idx="165">
                  <c:v>93</c:v>
                </c:pt>
                <c:pt idx="166">
                  <c:v>89</c:v>
                </c:pt>
                <c:pt idx="167">
                  <c:v>94</c:v>
                </c:pt>
                <c:pt idx="168">
                  <c:v>94</c:v>
                </c:pt>
                <c:pt idx="169">
                  <c:v>85</c:v>
                </c:pt>
                <c:pt idx="170">
                  <c:v>85</c:v>
                </c:pt>
                <c:pt idx="171">
                  <c:v>85</c:v>
                </c:pt>
                <c:pt idx="172">
                  <c:v>85</c:v>
                </c:pt>
                <c:pt idx="173">
                  <c:v>80</c:v>
                </c:pt>
                <c:pt idx="174">
                  <c:v>87</c:v>
                </c:pt>
                <c:pt idx="175">
                  <c:v>93</c:v>
                </c:pt>
                <c:pt idx="176">
                  <c:v>93</c:v>
                </c:pt>
                <c:pt idx="177">
                  <c:v>92</c:v>
                </c:pt>
                <c:pt idx="178">
                  <c:v>92</c:v>
                </c:pt>
                <c:pt idx="179">
                  <c:v>92</c:v>
                </c:pt>
                <c:pt idx="180">
                  <c:v>92</c:v>
                </c:pt>
                <c:pt idx="181">
                  <c:v>92</c:v>
                </c:pt>
                <c:pt idx="182">
                  <c:v>92</c:v>
                </c:pt>
                <c:pt idx="183">
                  <c:v>92</c:v>
                </c:pt>
                <c:pt idx="184">
                  <c:v>88</c:v>
                </c:pt>
                <c:pt idx="185">
                  <c:v>85</c:v>
                </c:pt>
                <c:pt idx="186">
                  <c:v>89</c:v>
                </c:pt>
                <c:pt idx="187">
                  <c:v>93</c:v>
                </c:pt>
                <c:pt idx="188">
                  <c:v>93</c:v>
                </c:pt>
                <c:pt idx="189">
                  <c:v>93</c:v>
                </c:pt>
                <c:pt idx="190">
                  <c:v>93</c:v>
                </c:pt>
                <c:pt idx="191">
                  <c:v>93</c:v>
                </c:pt>
                <c:pt idx="192">
                  <c:v>93</c:v>
                </c:pt>
                <c:pt idx="193">
                  <c:v>93</c:v>
                </c:pt>
                <c:pt idx="194">
                  <c:v>93</c:v>
                </c:pt>
                <c:pt idx="195">
                  <c:v>93</c:v>
                </c:pt>
                <c:pt idx="196">
                  <c:v>87</c:v>
                </c:pt>
                <c:pt idx="197">
                  <c:v>87</c:v>
                </c:pt>
                <c:pt idx="198">
                  <c:v>89</c:v>
                </c:pt>
                <c:pt idx="199">
                  <c:v>94</c:v>
                </c:pt>
                <c:pt idx="200">
                  <c:v>94</c:v>
                </c:pt>
                <c:pt idx="201">
                  <c:v>94</c:v>
                </c:pt>
                <c:pt idx="202">
                  <c:v>94</c:v>
                </c:pt>
                <c:pt idx="203">
                  <c:v>94</c:v>
                </c:pt>
                <c:pt idx="204">
                  <c:v>94</c:v>
                </c:pt>
                <c:pt idx="205">
                  <c:v>94</c:v>
                </c:pt>
                <c:pt idx="206">
                  <c:v>94</c:v>
                </c:pt>
                <c:pt idx="207">
                  <c:v>94</c:v>
                </c:pt>
                <c:pt idx="208">
                  <c:v>94</c:v>
                </c:pt>
                <c:pt idx="209">
                  <c:v>94</c:v>
                </c:pt>
                <c:pt idx="210">
                  <c:v>94</c:v>
                </c:pt>
                <c:pt idx="211">
                  <c:v>94</c:v>
                </c:pt>
                <c:pt idx="212">
                  <c:v>80</c:v>
                </c:pt>
                <c:pt idx="213">
                  <c:v>80</c:v>
                </c:pt>
                <c:pt idx="214">
                  <c:v>80</c:v>
                </c:pt>
                <c:pt idx="215">
                  <c:v>84</c:v>
                </c:pt>
                <c:pt idx="216">
                  <c:v>84</c:v>
                </c:pt>
                <c:pt idx="217">
                  <c:v>84</c:v>
                </c:pt>
                <c:pt idx="218">
                  <c:v>84</c:v>
                </c:pt>
                <c:pt idx="219">
                  <c:v>84</c:v>
                </c:pt>
                <c:pt idx="220">
                  <c:v>88</c:v>
                </c:pt>
                <c:pt idx="221">
                  <c:v>84</c:v>
                </c:pt>
                <c:pt idx="222">
                  <c:v>84</c:v>
                </c:pt>
                <c:pt idx="223">
                  <c:v>84</c:v>
                </c:pt>
                <c:pt idx="224">
                  <c:v>86</c:v>
                </c:pt>
                <c:pt idx="225">
                  <c:v>86</c:v>
                </c:pt>
                <c:pt idx="226">
                  <c:v>86</c:v>
                </c:pt>
                <c:pt idx="227">
                  <c:v>88</c:v>
                </c:pt>
                <c:pt idx="228">
                  <c:v>95</c:v>
                </c:pt>
                <c:pt idx="229">
                  <c:v>95</c:v>
                </c:pt>
                <c:pt idx="230">
                  <c:v>95</c:v>
                </c:pt>
                <c:pt idx="231">
                  <c:v>95</c:v>
                </c:pt>
                <c:pt idx="232">
                  <c:v>85</c:v>
                </c:pt>
                <c:pt idx="233">
                  <c:v>85</c:v>
                </c:pt>
                <c:pt idx="234">
                  <c:v>85</c:v>
                </c:pt>
                <c:pt idx="235">
                  <c:v>85</c:v>
                </c:pt>
                <c:pt idx="236">
                  <c:v>96</c:v>
                </c:pt>
                <c:pt idx="237">
                  <c:v>96</c:v>
                </c:pt>
                <c:pt idx="238">
                  <c:v>96</c:v>
                </c:pt>
                <c:pt idx="239">
                  <c:v>96</c:v>
                </c:pt>
                <c:pt idx="240">
                  <c:v>96</c:v>
                </c:pt>
                <c:pt idx="241">
                  <c:v>86</c:v>
                </c:pt>
                <c:pt idx="242">
                  <c:v>86</c:v>
                </c:pt>
                <c:pt idx="243">
                  <c:v>86</c:v>
                </c:pt>
                <c:pt idx="244">
                  <c:v>86</c:v>
                </c:pt>
                <c:pt idx="245">
                  <c:v>86</c:v>
                </c:pt>
                <c:pt idx="246">
                  <c:v>86</c:v>
                </c:pt>
                <c:pt idx="247">
                  <c:v>87</c:v>
                </c:pt>
                <c:pt idx="248">
                  <c:v>87</c:v>
                </c:pt>
                <c:pt idx="249">
                  <c:v>97</c:v>
                </c:pt>
                <c:pt idx="250">
                  <c:v>97</c:v>
                </c:pt>
                <c:pt idx="251">
                  <c:v>97</c:v>
                </c:pt>
                <c:pt idx="252">
                  <c:v>90</c:v>
                </c:pt>
                <c:pt idx="253">
                  <c:v>90</c:v>
                </c:pt>
                <c:pt idx="254">
                  <c:v>90</c:v>
                </c:pt>
                <c:pt idx="255">
                  <c:v>90</c:v>
                </c:pt>
                <c:pt idx="256">
                  <c:v>95</c:v>
                </c:pt>
                <c:pt idx="257">
                  <c:v>95</c:v>
                </c:pt>
                <c:pt idx="258">
                  <c:v>98</c:v>
                </c:pt>
                <c:pt idx="259">
                  <c:v>98</c:v>
                </c:pt>
                <c:pt idx="260">
                  <c:v>98</c:v>
                </c:pt>
                <c:pt idx="261">
                  <c:v>98</c:v>
                </c:pt>
                <c:pt idx="262">
                  <c:v>98</c:v>
                </c:pt>
                <c:pt idx="263">
                  <c:v>98</c:v>
                </c:pt>
                <c:pt idx="264">
                  <c:v>98</c:v>
                </c:pt>
                <c:pt idx="265">
                  <c:v>95</c:v>
                </c:pt>
                <c:pt idx="266">
                  <c:v>95</c:v>
                </c:pt>
                <c:pt idx="267">
                  <c:v>95</c:v>
                </c:pt>
                <c:pt idx="268">
                  <c:v>95</c:v>
                </c:pt>
                <c:pt idx="269">
                  <c:v>95</c:v>
                </c:pt>
                <c:pt idx="270">
                  <c:v>95</c:v>
                </c:pt>
                <c:pt idx="271">
                  <c:v>95</c:v>
                </c:pt>
                <c:pt idx="272">
                  <c:v>91</c:v>
                </c:pt>
                <c:pt idx="273">
                  <c:v>91</c:v>
                </c:pt>
                <c:pt idx="274">
                  <c:v>89</c:v>
                </c:pt>
                <c:pt idx="275">
                  <c:v>89</c:v>
                </c:pt>
                <c:pt idx="276">
                  <c:v>82</c:v>
                </c:pt>
                <c:pt idx="277">
                  <c:v>82</c:v>
                </c:pt>
                <c:pt idx="278">
                  <c:v>78</c:v>
                </c:pt>
                <c:pt idx="279">
                  <c:v>78</c:v>
                </c:pt>
                <c:pt idx="280">
                  <c:v>78</c:v>
                </c:pt>
                <c:pt idx="281">
                  <c:v>78</c:v>
                </c:pt>
                <c:pt idx="282">
                  <c:v>78</c:v>
                </c:pt>
                <c:pt idx="283">
                  <c:v>87</c:v>
                </c:pt>
                <c:pt idx="284">
                  <c:v>87</c:v>
                </c:pt>
                <c:pt idx="285">
                  <c:v>87</c:v>
                </c:pt>
                <c:pt idx="286">
                  <c:v>85</c:v>
                </c:pt>
                <c:pt idx="287">
                  <c:v>85</c:v>
                </c:pt>
                <c:pt idx="288">
                  <c:v>85</c:v>
                </c:pt>
                <c:pt idx="289">
                  <c:v>89</c:v>
                </c:pt>
                <c:pt idx="290">
                  <c:v>91</c:v>
                </c:pt>
                <c:pt idx="291">
                  <c:v>91</c:v>
                </c:pt>
                <c:pt idx="292">
                  <c:v>91</c:v>
                </c:pt>
                <c:pt idx="293">
                  <c:v>91</c:v>
                </c:pt>
                <c:pt idx="294">
                  <c:v>91</c:v>
                </c:pt>
                <c:pt idx="295">
                  <c:v>93</c:v>
                </c:pt>
                <c:pt idx="296">
                  <c:v>93</c:v>
                </c:pt>
                <c:pt idx="297">
                  <c:v>93</c:v>
                </c:pt>
                <c:pt idx="298">
                  <c:v>93</c:v>
                </c:pt>
                <c:pt idx="299">
                  <c:v>88</c:v>
                </c:pt>
                <c:pt idx="300">
                  <c:v>86</c:v>
                </c:pt>
                <c:pt idx="301">
                  <c:v>86</c:v>
                </c:pt>
                <c:pt idx="302">
                  <c:v>87</c:v>
                </c:pt>
                <c:pt idx="303">
                  <c:v>91</c:v>
                </c:pt>
                <c:pt idx="304">
                  <c:v>91</c:v>
                </c:pt>
                <c:pt idx="305">
                  <c:v>90</c:v>
                </c:pt>
                <c:pt idx="306">
                  <c:v>90</c:v>
                </c:pt>
                <c:pt idx="307">
                  <c:v>90</c:v>
                </c:pt>
                <c:pt idx="308">
                  <c:v>91</c:v>
                </c:pt>
                <c:pt idx="309">
                  <c:v>91</c:v>
                </c:pt>
                <c:pt idx="310">
                  <c:v>96</c:v>
                </c:pt>
                <c:pt idx="311">
                  <c:v>96</c:v>
                </c:pt>
                <c:pt idx="312">
                  <c:v>97</c:v>
                </c:pt>
                <c:pt idx="313">
                  <c:v>97</c:v>
                </c:pt>
                <c:pt idx="314">
                  <c:v>97</c:v>
                </c:pt>
                <c:pt idx="315">
                  <c:v>97</c:v>
                </c:pt>
                <c:pt idx="316">
                  <c:v>94</c:v>
                </c:pt>
                <c:pt idx="317">
                  <c:v>94</c:v>
                </c:pt>
                <c:pt idx="318">
                  <c:v>94</c:v>
                </c:pt>
                <c:pt idx="319">
                  <c:v>82</c:v>
                </c:pt>
                <c:pt idx="320">
                  <c:v>76</c:v>
                </c:pt>
                <c:pt idx="321">
                  <c:v>76</c:v>
                </c:pt>
                <c:pt idx="322">
                  <c:v>83</c:v>
                </c:pt>
                <c:pt idx="323">
                  <c:v>91</c:v>
                </c:pt>
                <c:pt idx="324">
                  <c:v>95</c:v>
                </c:pt>
                <c:pt idx="325">
                  <c:v>95</c:v>
                </c:pt>
                <c:pt idx="326">
                  <c:v>95</c:v>
                </c:pt>
                <c:pt idx="327">
                  <c:v>95</c:v>
                </c:pt>
                <c:pt idx="328">
                  <c:v>95</c:v>
                </c:pt>
                <c:pt idx="329">
                  <c:v>95</c:v>
                </c:pt>
                <c:pt idx="330">
                  <c:v>95</c:v>
                </c:pt>
                <c:pt idx="331">
                  <c:v>92.5</c:v>
                </c:pt>
                <c:pt idx="332">
                  <c:v>92.5</c:v>
                </c:pt>
                <c:pt idx="333">
                  <c:v>92.5</c:v>
                </c:pt>
                <c:pt idx="334">
                  <c:v>92.5</c:v>
                </c:pt>
                <c:pt idx="335">
                  <c:v>92.5</c:v>
                </c:pt>
                <c:pt idx="336">
                  <c:v>84.5</c:v>
                </c:pt>
                <c:pt idx="337">
                  <c:v>97</c:v>
                </c:pt>
                <c:pt idx="338">
                  <c:v>91</c:v>
                </c:pt>
                <c:pt idx="339">
                  <c:v>91</c:v>
                </c:pt>
                <c:pt idx="340">
                  <c:v>87.5</c:v>
                </c:pt>
                <c:pt idx="341">
                  <c:v>89</c:v>
                </c:pt>
                <c:pt idx="342">
                  <c:v>89</c:v>
                </c:pt>
                <c:pt idx="343">
                  <c:v>89</c:v>
                </c:pt>
                <c:pt idx="344">
                  <c:v>89</c:v>
                </c:pt>
                <c:pt idx="345">
                  <c:v>90</c:v>
                </c:pt>
                <c:pt idx="346">
                  <c:v>90</c:v>
                </c:pt>
                <c:pt idx="347">
                  <c:v>90</c:v>
                </c:pt>
                <c:pt idx="348">
                  <c:v>93.5</c:v>
                </c:pt>
                <c:pt idx="349">
                  <c:v>93.5</c:v>
                </c:pt>
                <c:pt idx="350">
                  <c:v>93.5</c:v>
                </c:pt>
                <c:pt idx="351">
                  <c:v>97</c:v>
                </c:pt>
                <c:pt idx="352">
                  <c:v>97</c:v>
                </c:pt>
                <c:pt idx="353">
                  <c:v>97</c:v>
                </c:pt>
                <c:pt idx="354">
                  <c:v>97</c:v>
                </c:pt>
                <c:pt idx="355">
                  <c:v>97</c:v>
                </c:pt>
                <c:pt idx="356">
                  <c:v>97</c:v>
                </c:pt>
                <c:pt idx="357">
                  <c:v>97</c:v>
                </c:pt>
                <c:pt idx="358">
                  <c:v>97</c:v>
                </c:pt>
                <c:pt idx="359">
                  <c:v>97</c:v>
                </c:pt>
                <c:pt idx="360">
                  <c:v>97</c:v>
                </c:pt>
                <c:pt idx="361">
                  <c:v>97</c:v>
                </c:pt>
                <c:pt idx="362">
                  <c:v>91</c:v>
                </c:pt>
                <c:pt idx="363">
                  <c:v>92</c:v>
                </c:pt>
                <c:pt idx="364">
                  <c:v>92</c:v>
                </c:pt>
                <c:pt idx="365">
                  <c:v>88</c:v>
                </c:pt>
                <c:pt idx="366">
                  <c:v>92</c:v>
                </c:pt>
                <c:pt idx="367">
                  <c:v>94</c:v>
                </c:pt>
                <c:pt idx="368">
                  <c:v>94</c:v>
                </c:pt>
                <c:pt idx="369">
                  <c:v>94</c:v>
                </c:pt>
                <c:pt idx="370">
                  <c:v>88.5</c:v>
                </c:pt>
                <c:pt idx="371">
                  <c:v>88.5</c:v>
                </c:pt>
                <c:pt idx="372">
                  <c:v>88.5</c:v>
                </c:pt>
                <c:pt idx="373">
                  <c:v>90</c:v>
                </c:pt>
                <c:pt idx="374">
                  <c:v>90</c:v>
                </c:pt>
                <c:pt idx="375">
                  <c:v>99</c:v>
                </c:pt>
                <c:pt idx="376">
                  <c:v>99</c:v>
                </c:pt>
                <c:pt idx="377">
                  <c:v>99</c:v>
                </c:pt>
                <c:pt idx="378">
                  <c:v>90</c:v>
                </c:pt>
                <c:pt idx="379">
                  <c:v>90</c:v>
                </c:pt>
                <c:pt idx="380">
                  <c:v>89</c:v>
                </c:pt>
                <c:pt idx="381">
                  <c:v>89</c:v>
                </c:pt>
                <c:pt idx="382">
                  <c:v>89</c:v>
                </c:pt>
                <c:pt idx="383">
                  <c:v>72</c:v>
                </c:pt>
                <c:pt idx="384">
                  <c:v>72</c:v>
                </c:pt>
                <c:pt idx="385">
                  <c:v>71</c:v>
                </c:pt>
                <c:pt idx="386">
                  <c:v>80.5</c:v>
                </c:pt>
                <c:pt idx="387">
                  <c:v>80.5</c:v>
                </c:pt>
                <c:pt idx="388">
                  <c:v>80.5</c:v>
                </c:pt>
                <c:pt idx="389">
                  <c:v>80.5</c:v>
                </c:pt>
                <c:pt idx="390">
                  <c:v>80.5</c:v>
                </c:pt>
                <c:pt idx="391">
                  <c:v>81.5</c:v>
                </c:pt>
                <c:pt idx="392">
                  <c:v>81.5</c:v>
                </c:pt>
                <c:pt idx="393">
                  <c:v>81.5</c:v>
                </c:pt>
                <c:pt idx="394">
                  <c:v>84.5</c:v>
                </c:pt>
                <c:pt idx="395">
                  <c:v>85</c:v>
                </c:pt>
                <c:pt idx="396">
                  <c:v>92</c:v>
                </c:pt>
                <c:pt idx="397">
                  <c:v>92</c:v>
                </c:pt>
                <c:pt idx="398">
                  <c:v>94</c:v>
                </c:pt>
                <c:pt idx="399">
                  <c:v>91</c:v>
                </c:pt>
                <c:pt idx="400">
                  <c:v>91</c:v>
                </c:pt>
                <c:pt idx="401">
                  <c:v>88</c:v>
                </c:pt>
                <c:pt idx="402">
                  <c:v>88</c:v>
                </c:pt>
                <c:pt idx="403">
                  <c:v>98</c:v>
                </c:pt>
                <c:pt idx="404">
                  <c:v>98</c:v>
                </c:pt>
                <c:pt idx="405">
                  <c:v>98</c:v>
                </c:pt>
                <c:pt idx="406">
                  <c:v>98</c:v>
                </c:pt>
                <c:pt idx="407">
                  <c:v>98</c:v>
                </c:pt>
                <c:pt idx="408">
                  <c:v>94</c:v>
                </c:pt>
                <c:pt idx="409">
                  <c:v>94</c:v>
                </c:pt>
                <c:pt idx="410">
                  <c:v>91.3</c:v>
                </c:pt>
                <c:pt idx="411">
                  <c:v>80</c:v>
                </c:pt>
                <c:pt idx="412">
                  <c:v>80</c:v>
                </c:pt>
                <c:pt idx="413">
                  <c:v>80</c:v>
                </c:pt>
                <c:pt idx="414">
                  <c:v>76</c:v>
                </c:pt>
                <c:pt idx="415">
                  <c:v>76</c:v>
                </c:pt>
                <c:pt idx="416">
                  <c:v>80</c:v>
                </c:pt>
                <c:pt idx="417">
                  <c:v>80</c:v>
                </c:pt>
                <c:pt idx="418">
                  <c:v>81</c:v>
                </c:pt>
                <c:pt idx="419">
                  <c:v>88</c:v>
                </c:pt>
                <c:pt idx="420">
                  <c:v>88</c:v>
                </c:pt>
                <c:pt idx="421">
                  <c:v>88</c:v>
                </c:pt>
                <c:pt idx="422">
                  <c:v>88</c:v>
                </c:pt>
                <c:pt idx="423">
                  <c:v>90</c:v>
                </c:pt>
                <c:pt idx="424">
                  <c:v>97</c:v>
                </c:pt>
                <c:pt idx="425">
                  <c:v>89</c:v>
                </c:pt>
                <c:pt idx="426">
                  <c:v>82</c:v>
                </c:pt>
                <c:pt idx="427">
                  <c:v>82</c:v>
                </c:pt>
                <c:pt idx="428">
                  <c:v>82</c:v>
                </c:pt>
                <c:pt idx="429">
                  <c:v>87</c:v>
                </c:pt>
                <c:pt idx="430">
                  <c:v>84</c:v>
                </c:pt>
                <c:pt idx="431">
                  <c:v>84</c:v>
                </c:pt>
                <c:pt idx="432">
                  <c:v>84</c:v>
                </c:pt>
                <c:pt idx="433">
                  <c:v>85</c:v>
                </c:pt>
                <c:pt idx="434">
                  <c:v>85</c:v>
                </c:pt>
                <c:pt idx="435">
                  <c:v>85</c:v>
                </c:pt>
                <c:pt idx="436">
                  <c:v>89</c:v>
                </c:pt>
                <c:pt idx="437">
                  <c:v>95</c:v>
                </c:pt>
                <c:pt idx="438">
                  <c:v>95</c:v>
                </c:pt>
                <c:pt idx="439">
                  <c:v>97</c:v>
                </c:pt>
                <c:pt idx="440">
                  <c:v>97</c:v>
                </c:pt>
                <c:pt idx="441">
                  <c:v>97</c:v>
                </c:pt>
                <c:pt idx="442">
                  <c:v>97</c:v>
                </c:pt>
                <c:pt idx="443">
                  <c:v>97</c:v>
                </c:pt>
                <c:pt idx="444">
                  <c:v>97</c:v>
                </c:pt>
                <c:pt idx="445">
                  <c:v>97</c:v>
                </c:pt>
                <c:pt idx="446">
                  <c:v>97</c:v>
                </c:pt>
                <c:pt idx="447">
                  <c:v>98</c:v>
                </c:pt>
                <c:pt idx="448">
                  <c:v>98</c:v>
                </c:pt>
                <c:pt idx="449">
                  <c:v>99</c:v>
                </c:pt>
                <c:pt idx="450">
                  <c:v>99</c:v>
                </c:pt>
                <c:pt idx="451">
                  <c:v>99</c:v>
                </c:pt>
                <c:pt idx="452">
                  <c:v>99</c:v>
                </c:pt>
                <c:pt idx="453">
                  <c:v>99</c:v>
                </c:pt>
                <c:pt idx="454">
                  <c:v>99</c:v>
                </c:pt>
                <c:pt idx="455">
                  <c:v>93.5</c:v>
                </c:pt>
                <c:pt idx="456">
                  <c:v>93.5</c:v>
                </c:pt>
                <c:pt idx="457">
                  <c:v>93.5</c:v>
                </c:pt>
                <c:pt idx="458">
                  <c:v>93.5</c:v>
                </c:pt>
                <c:pt idx="459">
                  <c:v>93.5</c:v>
                </c:pt>
                <c:pt idx="460">
                  <c:v>93.5</c:v>
                </c:pt>
                <c:pt idx="461">
                  <c:v>93.5</c:v>
                </c:pt>
                <c:pt idx="462">
                  <c:v>93.5</c:v>
                </c:pt>
                <c:pt idx="463">
                  <c:v>93.5</c:v>
                </c:pt>
                <c:pt idx="464">
                  <c:v>93.5</c:v>
                </c:pt>
                <c:pt idx="465">
                  <c:v>99</c:v>
                </c:pt>
                <c:pt idx="466">
                  <c:v>99</c:v>
                </c:pt>
                <c:pt idx="467">
                  <c:v>99</c:v>
                </c:pt>
                <c:pt idx="468">
                  <c:v>96</c:v>
                </c:pt>
                <c:pt idx="469">
                  <c:v>99</c:v>
                </c:pt>
                <c:pt idx="470">
                  <c:v>99</c:v>
                </c:pt>
                <c:pt idx="471">
                  <c:v>99</c:v>
                </c:pt>
                <c:pt idx="472">
                  <c:v>99</c:v>
                </c:pt>
                <c:pt idx="473">
                  <c:v>99</c:v>
                </c:pt>
                <c:pt idx="474">
                  <c:v>99</c:v>
                </c:pt>
                <c:pt idx="475">
                  <c:v>99</c:v>
                </c:pt>
                <c:pt idx="476">
                  <c:v>99</c:v>
                </c:pt>
                <c:pt idx="477">
                  <c:v>99</c:v>
                </c:pt>
                <c:pt idx="478">
                  <c:v>97.5</c:v>
                </c:pt>
                <c:pt idx="479">
                  <c:v>97.5</c:v>
                </c:pt>
                <c:pt idx="480">
                  <c:v>97.5</c:v>
                </c:pt>
                <c:pt idx="481">
                  <c:v>97.5</c:v>
                </c:pt>
                <c:pt idx="482">
                  <c:v>97.5</c:v>
                </c:pt>
                <c:pt idx="483">
                  <c:v>97</c:v>
                </c:pt>
                <c:pt idx="484">
                  <c:v>97</c:v>
                </c:pt>
                <c:pt idx="485">
                  <c:v>97</c:v>
                </c:pt>
                <c:pt idx="486">
                  <c:v>97</c:v>
                </c:pt>
                <c:pt idx="487">
                  <c:v>98</c:v>
                </c:pt>
                <c:pt idx="488">
                  <c:v>99</c:v>
                </c:pt>
                <c:pt idx="489">
                  <c:v>99</c:v>
                </c:pt>
                <c:pt idx="490">
                  <c:v>99</c:v>
                </c:pt>
                <c:pt idx="491">
                  <c:v>99</c:v>
                </c:pt>
                <c:pt idx="492">
                  <c:v>99</c:v>
                </c:pt>
                <c:pt idx="493">
                  <c:v>99</c:v>
                </c:pt>
                <c:pt idx="494">
                  <c:v>99</c:v>
                </c:pt>
                <c:pt idx="495">
                  <c:v>99</c:v>
                </c:pt>
                <c:pt idx="496">
                  <c:v>99</c:v>
                </c:pt>
                <c:pt idx="497">
                  <c:v>99</c:v>
                </c:pt>
                <c:pt idx="498">
                  <c:v>99</c:v>
                </c:pt>
                <c:pt idx="499">
                  <c:v>94</c:v>
                </c:pt>
                <c:pt idx="500">
                  <c:v>94</c:v>
                </c:pt>
                <c:pt idx="501">
                  <c:v>94</c:v>
                </c:pt>
                <c:pt idx="502">
                  <c:v>94</c:v>
                </c:pt>
                <c:pt idx="503">
                  <c:v>91</c:v>
                </c:pt>
                <c:pt idx="504">
                  <c:v>95.5</c:v>
                </c:pt>
                <c:pt idx="505">
                  <c:v>95.5</c:v>
                </c:pt>
                <c:pt idx="506">
                  <c:v>95.5</c:v>
                </c:pt>
                <c:pt idx="507">
                  <c:v>95.5</c:v>
                </c:pt>
                <c:pt idx="508">
                  <c:v>95.5</c:v>
                </c:pt>
                <c:pt idx="509">
                  <c:v>95.5</c:v>
                </c:pt>
                <c:pt idx="510">
                  <c:v>95.5</c:v>
                </c:pt>
                <c:pt idx="511">
                  <c:v>90</c:v>
                </c:pt>
                <c:pt idx="512">
                  <c:v>90</c:v>
                </c:pt>
                <c:pt idx="513">
                  <c:v>90</c:v>
                </c:pt>
                <c:pt idx="514">
                  <c:v>90</c:v>
                </c:pt>
                <c:pt idx="515">
                  <c:v>92.5</c:v>
                </c:pt>
                <c:pt idx="516">
                  <c:v>92.5</c:v>
                </c:pt>
                <c:pt idx="517">
                  <c:v>92.5</c:v>
                </c:pt>
                <c:pt idx="518">
                  <c:v>94.5</c:v>
                </c:pt>
                <c:pt idx="519">
                  <c:v>94.5</c:v>
                </c:pt>
                <c:pt idx="520">
                  <c:v>94.5</c:v>
                </c:pt>
                <c:pt idx="521">
                  <c:v>94.5</c:v>
                </c:pt>
                <c:pt idx="522">
                  <c:v>94.5</c:v>
                </c:pt>
                <c:pt idx="523">
                  <c:v>92</c:v>
                </c:pt>
                <c:pt idx="524">
                  <c:v>92</c:v>
                </c:pt>
                <c:pt idx="525">
                  <c:v>92</c:v>
                </c:pt>
                <c:pt idx="526">
                  <c:v>92</c:v>
                </c:pt>
                <c:pt idx="527">
                  <c:v>95.5</c:v>
                </c:pt>
                <c:pt idx="528">
                  <c:v>95.5</c:v>
                </c:pt>
                <c:pt idx="529">
                  <c:v>95.5</c:v>
                </c:pt>
                <c:pt idx="530">
                  <c:v>95.5</c:v>
                </c:pt>
                <c:pt idx="531">
                  <c:v>95.5</c:v>
                </c:pt>
                <c:pt idx="532">
                  <c:v>95.5</c:v>
                </c:pt>
                <c:pt idx="533">
                  <c:v>95.5</c:v>
                </c:pt>
                <c:pt idx="534">
                  <c:v>95.5</c:v>
                </c:pt>
                <c:pt idx="535">
                  <c:v>95.5</c:v>
                </c:pt>
                <c:pt idx="536">
                  <c:v>92</c:v>
                </c:pt>
                <c:pt idx="537">
                  <c:v>92</c:v>
                </c:pt>
                <c:pt idx="538">
                  <c:v>95.5</c:v>
                </c:pt>
                <c:pt idx="539">
                  <c:v>92</c:v>
                </c:pt>
                <c:pt idx="540">
                  <c:v>95.5</c:v>
                </c:pt>
                <c:pt idx="541">
                  <c:v>95.5</c:v>
                </c:pt>
                <c:pt idx="542">
                  <c:v>95.5</c:v>
                </c:pt>
                <c:pt idx="543">
                  <c:v>92</c:v>
                </c:pt>
                <c:pt idx="544">
                  <c:v>92</c:v>
                </c:pt>
                <c:pt idx="545">
                  <c:v>99</c:v>
                </c:pt>
                <c:pt idx="546">
                  <c:v>95.5</c:v>
                </c:pt>
                <c:pt idx="547">
                  <c:v>95.5</c:v>
                </c:pt>
                <c:pt idx="548">
                  <c:v>98</c:v>
                </c:pt>
                <c:pt idx="549">
                  <c:v>95.5</c:v>
                </c:pt>
                <c:pt idx="550">
                  <c:v>95.5</c:v>
                </c:pt>
                <c:pt idx="551">
                  <c:v>87</c:v>
                </c:pt>
                <c:pt idx="552">
                  <c:v>87</c:v>
                </c:pt>
                <c:pt idx="553">
                  <c:v>87</c:v>
                </c:pt>
                <c:pt idx="554">
                  <c:v>87</c:v>
                </c:pt>
                <c:pt idx="555">
                  <c:v>87</c:v>
                </c:pt>
                <c:pt idx="556">
                  <c:v>87</c:v>
                </c:pt>
                <c:pt idx="557">
                  <c:v>87</c:v>
                </c:pt>
                <c:pt idx="558">
                  <c:v>87</c:v>
                </c:pt>
                <c:pt idx="559">
                  <c:v>87</c:v>
                </c:pt>
                <c:pt idx="560">
                  <c:v>87</c:v>
                </c:pt>
                <c:pt idx="561">
                  <c:v>89</c:v>
                </c:pt>
                <c:pt idx="562">
                  <c:v>89</c:v>
                </c:pt>
                <c:pt idx="563">
                  <c:v>96</c:v>
                </c:pt>
                <c:pt idx="564">
                  <c:v>96</c:v>
                </c:pt>
                <c:pt idx="565">
                  <c:v>96</c:v>
                </c:pt>
                <c:pt idx="566">
                  <c:v>86</c:v>
                </c:pt>
                <c:pt idx="567">
                  <c:v>86</c:v>
                </c:pt>
                <c:pt idx="568">
                  <c:v>86</c:v>
                </c:pt>
                <c:pt idx="569">
                  <c:v>86</c:v>
                </c:pt>
                <c:pt idx="570">
                  <c:v>86</c:v>
                </c:pt>
                <c:pt idx="571">
                  <c:v>86</c:v>
                </c:pt>
                <c:pt idx="572">
                  <c:v>86</c:v>
                </c:pt>
                <c:pt idx="573">
                  <c:v>89</c:v>
                </c:pt>
                <c:pt idx="574">
                  <c:v>89</c:v>
                </c:pt>
                <c:pt idx="575">
                  <c:v>89</c:v>
                </c:pt>
                <c:pt idx="576">
                  <c:v>89</c:v>
                </c:pt>
                <c:pt idx="577">
                  <c:v>95</c:v>
                </c:pt>
                <c:pt idx="578">
                  <c:v>95</c:v>
                </c:pt>
                <c:pt idx="579">
                  <c:v>95</c:v>
                </c:pt>
                <c:pt idx="580">
                  <c:v>98</c:v>
                </c:pt>
                <c:pt idx="581">
                  <c:v>98</c:v>
                </c:pt>
                <c:pt idx="582">
                  <c:v>98</c:v>
                </c:pt>
                <c:pt idx="583">
                  <c:v>98</c:v>
                </c:pt>
                <c:pt idx="584">
                  <c:v>97</c:v>
                </c:pt>
                <c:pt idx="585">
                  <c:v>97</c:v>
                </c:pt>
                <c:pt idx="586">
                  <c:v>97</c:v>
                </c:pt>
                <c:pt idx="587">
                  <c:v>97</c:v>
                </c:pt>
                <c:pt idx="588">
                  <c:v>93</c:v>
                </c:pt>
                <c:pt idx="589">
                  <c:v>93</c:v>
                </c:pt>
                <c:pt idx="590">
                  <c:v>95</c:v>
                </c:pt>
                <c:pt idx="591">
                  <c:v>95</c:v>
                </c:pt>
                <c:pt idx="592">
                  <c:v>98</c:v>
                </c:pt>
                <c:pt idx="593">
                  <c:v>98</c:v>
                </c:pt>
                <c:pt idx="594">
                  <c:v>98</c:v>
                </c:pt>
                <c:pt idx="595">
                  <c:v>98</c:v>
                </c:pt>
                <c:pt idx="596">
                  <c:v>98</c:v>
                </c:pt>
                <c:pt idx="597">
                  <c:v>98</c:v>
                </c:pt>
                <c:pt idx="598">
                  <c:v>95</c:v>
                </c:pt>
                <c:pt idx="599">
                  <c:v>95</c:v>
                </c:pt>
                <c:pt idx="600">
                  <c:v>92</c:v>
                </c:pt>
                <c:pt idx="601">
                  <c:v>92</c:v>
                </c:pt>
                <c:pt idx="602">
                  <c:v>95</c:v>
                </c:pt>
                <c:pt idx="603">
                  <c:v>95</c:v>
                </c:pt>
                <c:pt idx="604">
                  <c:v>78</c:v>
                </c:pt>
                <c:pt idx="605">
                  <c:v>78</c:v>
                </c:pt>
                <c:pt idx="606">
                  <c:v>82</c:v>
                </c:pt>
                <c:pt idx="607">
                  <c:v>74</c:v>
                </c:pt>
                <c:pt idx="608">
                  <c:v>82</c:v>
                </c:pt>
                <c:pt idx="609">
                  <c:v>85</c:v>
                </c:pt>
                <c:pt idx="610">
                  <c:v>85</c:v>
                </c:pt>
                <c:pt idx="611">
                  <c:v>85</c:v>
                </c:pt>
                <c:pt idx="612">
                  <c:v>98</c:v>
                </c:pt>
                <c:pt idx="613">
                  <c:v>98</c:v>
                </c:pt>
                <c:pt idx="614">
                  <c:v>97</c:v>
                </c:pt>
                <c:pt idx="615">
                  <c:v>93</c:v>
                </c:pt>
                <c:pt idx="616">
                  <c:v>93</c:v>
                </c:pt>
                <c:pt idx="617">
                  <c:v>93</c:v>
                </c:pt>
                <c:pt idx="618">
                  <c:v>96</c:v>
                </c:pt>
                <c:pt idx="619">
                  <c:v>99</c:v>
                </c:pt>
                <c:pt idx="620">
                  <c:v>99</c:v>
                </c:pt>
                <c:pt idx="621">
                  <c:v>99</c:v>
                </c:pt>
                <c:pt idx="622">
                  <c:v>97</c:v>
                </c:pt>
                <c:pt idx="623">
                  <c:v>97</c:v>
                </c:pt>
                <c:pt idx="624">
                  <c:v>99</c:v>
                </c:pt>
                <c:pt idx="625">
                  <c:v>99</c:v>
                </c:pt>
                <c:pt idx="626">
                  <c:v>99</c:v>
                </c:pt>
                <c:pt idx="627">
                  <c:v>99</c:v>
                </c:pt>
                <c:pt idx="628">
                  <c:v>99</c:v>
                </c:pt>
                <c:pt idx="629">
                  <c:v>93</c:v>
                </c:pt>
                <c:pt idx="630">
                  <c:v>93</c:v>
                </c:pt>
                <c:pt idx="631">
                  <c:v>90</c:v>
                </c:pt>
                <c:pt idx="632">
                  <c:v>90</c:v>
                </c:pt>
                <c:pt idx="633">
                  <c:v>95</c:v>
                </c:pt>
                <c:pt idx="634">
                  <c:v>95</c:v>
                </c:pt>
                <c:pt idx="635">
                  <c:v>97</c:v>
                </c:pt>
                <c:pt idx="636">
                  <c:v>97</c:v>
                </c:pt>
                <c:pt idx="637">
                  <c:v>97</c:v>
                </c:pt>
                <c:pt idx="638">
                  <c:v>97</c:v>
                </c:pt>
                <c:pt idx="639">
                  <c:v>97</c:v>
                </c:pt>
                <c:pt idx="640">
                  <c:v>97</c:v>
                </c:pt>
                <c:pt idx="641">
                  <c:v>99</c:v>
                </c:pt>
                <c:pt idx="642">
                  <c:v>96</c:v>
                </c:pt>
                <c:pt idx="643">
                  <c:v>96</c:v>
                </c:pt>
                <c:pt idx="644">
                  <c:v>96</c:v>
                </c:pt>
                <c:pt idx="645">
                  <c:v>96</c:v>
                </c:pt>
                <c:pt idx="646">
                  <c:v>96</c:v>
                </c:pt>
                <c:pt idx="647">
                  <c:v>96</c:v>
                </c:pt>
                <c:pt idx="648">
                  <c:v>96</c:v>
                </c:pt>
                <c:pt idx="649">
                  <c:v>96</c:v>
                </c:pt>
                <c:pt idx="650">
                  <c:v>96</c:v>
                </c:pt>
                <c:pt idx="651">
                  <c:v>96</c:v>
                </c:pt>
                <c:pt idx="652">
                  <c:v>96</c:v>
                </c:pt>
                <c:pt idx="653">
                  <c:v>96</c:v>
                </c:pt>
                <c:pt idx="654">
                  <c:v>96</c:v>
                </c:pt>
                <c:pt idx="655">
                  <c:v>96</c:v>
                </c:pt>
                <c:pt idx="656">
                  <c:v>93</c:v>
                </c:pt>
                <c:pt idx="657">
                  <c:v>93</c:v>
                </c:pt>
                <c:pt idx="658">
                  <c:v>93</c:v>
                </c:pt>
                <c:pt idx="659">
                  <c:v>93</c:v>
                </c:pt>
                <c:pt idx="660">
                  <c:v>93</c:v>
                </c:pt>
                <c:pt idx="661">
                  <c:v>93</c:v>
                </c:pt>
                <c:pt idx="662">
                  <c:v>93</c:v>
                </c:pt>
                <c:pt idx="663">
                  <c:v>96</c:v>
                </c:pt>
                <c:pt idx="664">
                  <c:v>96</c:v>
                </c:pt>
                <c:pt idx="665">
                  <c:v>96</c:v>
                </c:pt>
                <c:pt idx="666">
                  <c:v>93</c:v>
                </c:pt>
                <c:pt idx="667">
                  <c:v>96</c:v>
                </c:pt>
                <c:pt idx="668">
                  <c:v>97</c:v>
                </c:pt>
                <c:pt idx="669">
                  <c:v>97</c:v>
                </c:pt>
                <c:pt idx="670">
                  <c:v>96</c:v>
                </c:pt>
                <c:pt idx="671">
                  <c:v>97</c:v>
                </c:pt>
                <c:pt idx="672">
                  <c:v>96</c:v>
                </c:pt>
                <c:pt idx="673">
                  <c:v>96</c:v>
                </c:pt>
                <c:pt idx="675">
                  <c:v>97</c:v>
                </c:pt>
                <c:pt idx="676">
                  <c:v>97</c:v>
                </c:pt>
                <c:pt idx="677">
                  <c:v>88</c:v>
                </c:pt>
                <c:pt idx="678">
                  <c:v>88</c:v>
                </c:pt>
                <c:pt idx="679">
                  <c:v>90</c:v>
                </c:pt>
                <c:pt idx="680">
                  <c:v>90</c:v>
                </c:pt>
                <c:pt idx="681">
                  <c:v>88</c:v>
                </c:pt>
                <c:pt idx="682">
                  <c:v>88</c:v>
                </c:pt>
                <c:pt idx="683">
                  <c:v>88</c:v>
                </c:pt>
                <c:pt idx="684">
                  <c:v>88</c:v>
                </c:pt>
                <c:pt idx="685">
                  <c:v>83</c:v>
                </c:pt>
                <c:pt idx="686">
                  <c:v>80</c:v>
                </c:pt>
                <c:pt idx="687">
                  <c:v>80</c:v>
                </c:pt>
                <c:pt idx="688">
                  <c:v>80</c:v>
                </c:pt>
                <c:pt idx="689">
                  <c:v>80</c:v>
                </c:pt>
                <c:pt idx="690">
                  <c:v>85</c:v>
                </c:pt>
                <c:pt idx="691">
                  <c:v>85</c:v>
                </c:pt>
                <c:pt idx="692">
                  <c:v>85</c:v>
                </c:pt>
                <c:pt idx="693">
                  <c:v>94</c:v>
                </c:pt>
                <c:pt idx="694">
                  <c:v>94</c:v>
                </c:pt>
                <c:pt idx="695">
                  <c:v>94</c:v>
                </c:pt>
                <c:pt idx="696">
                  <c:v>94</c:v>
                </c:pt>
                <c:pt idx="697">
                  <c:v>94</c:v>
                </c:pt>
                <c:pt idx="698">
                  <c:v>94</c:v>
                </c:pt>
                <c:pt idx="699">
                  <c:v>93</c:v>
                </c:pt>
                <c:pt idx="700">
                  <c:v>93</c:v>
                </c:pt>
                <c:pt idx="701">
                  <c:v>90</c:v>
                </c:pt>
                <c:pt idx="702">
                  <c:v>90</c:v>
                </c:pt>
                <c:pt idx="703">
                  <c:v>90</c:v>
                </c:pt>
                <c:pt idx="704">
                  <c:v>90</c:v>
                </c:pt>
                <c:pt idx="705">
                  <c:v>90</c:v>
                </c:pt>
                <c:pt idx="706">
                  <c:v>94</c:v>
                </c:pt>
                <c:pt idx="707">
                  <c:v>94</c:v>
                </c:pt>
                <c:pt idx="708">
                  <c:v>94</c:v>
                </c:pt>
                <c:pt idx="709">
                  <c:v>94</c:v>
                </c:pt>
                <c:pt idx="710">
                  <c:v>94</c:v>
                </c:pt>
                <c:pt idx="711">
                  <c:v>96</c:v>
                </c:pt>
                <c:pt idx="712">
                  <c:v>96</c:v>
                </c:pt>
                <c:pt idx="713">
                  <c:v>98.5</c:v>
                </c:pt>
                <c:pt idx="714">
                  <c:v>98.5</c:v>
                </c:pt>
                <c:pt idx="715">
                  <c:v>98</c:v>
                </c:pt>
                <c:pt idx="716">
                  <c:v>98.5</c:v>
                </c:pt>
                <c:pt idx="717">
                  <c:v>98.5</c:v>
                </c:pt>
                <c:pt idx="718">
                  <c:v>98.5</c:v>
                </c:pt>
                <c:pt idx="719">
                  <c:v>99</c:v>
                </c:pt>
                <c:pt idx="720">
                  <c:v>99</c:v>
                </c:pt>
                <c:pt idx="721">
                  <c:v>99</c:v>
                </c:pt>
                <c:pt idx="722">
                  <c:v>99</c:v>
                </c:pt>
                <c:pt idx="723">
                  <c:v>99</c:v>
                </c:pt>
                <c:pt idx="724">
                  <c:v>99</c:v>
                </c:pt>
                <c:pt idx="725">
                  <c:v>97</c:v>
                </c:pt>
                <c:pt idx="726">
                  <c:v>97</c:v>
                </c:pt>
                <c:pt idx="727">
                  <c:v>96</c:v>
                </c:pt>
                <c:pt idx="728">
                  <c:v>96</c:v>
                </c:pt>
                <c:pt idx="729">
                  <c:v>96</c:v>
                </c:pt>
                <c:pt idx="730">
                  <c:v>96</c:v>
                </c:pt>
                <c:pt idx="731">
                  <c:v>96</c:v>
                </c:pt>
                <c:pt idx="732">
                  <c:v>95</c:v>
                </c:pt>
                <c:pt idx="733">
                  <c:v>92</c:v>
                </c:pt>
                <c:pt idx="734">
                  <c:v>92</c:v>
                </c:pt>
                <c:pt idx="735">
                  <c:v>92</c:v>
                </c:pt>
                <c:pt idx="736">
                  <c:v>80</c:v>
                </c:pt>
                <c:pt idx="737">
                  <c:v>96</c:v>
                </c:pt>
                <c:pt idx="738">
                  <c:v>96</c:v>
                </c:pt>
                <c:pt idx="739">
                  <c:v>96</c:v>
                </c:pt>
                <c:pt idx="740">
                  <c:v>88</c:v>
                </c:pt>
                <c:pt idx="741">
                  <c:v>80</c:v>
                </c:pt>
                <c:pt idx="742">
                  <c:v>88</c:v>
                </c:pt>
                <c:pt idx="743">
                  <c:v>88</c:v>
                </c:pt>
                <c:pt idx="744">
                  <c:v>83</c:v>
                </c:pt>
                <c:pt idx="745">
                  <c:v>83</c:v>
                </c:pt>
                <c:pt idx="746">
                  <c:v>83</c:v>
                </c:pt>
                <c:pt idx="747">
                  <c:v>83</c:v>
                </c:pt>
                <c:pt idx="748">
                  <c:v>93</c:v>
                </c:pt>
                <c:pt idx="749">
                  <c:v>93</c:v>
                </c:pt>
                <c:pt idx="750">
                  <c:v>93</c:v>
                </c:pt>
                <c:pt idx="751">
                  <c:v>93</c:v>
                </c:pt>
                <c:pt idx="752">
                  <c:v>93</c:v>
                </c:pt>
                <c:pt idx="753">
                  <c:v>93</c:v>
                </c:pt>
                <c:pt idx="754">
                  <c:v>95</c:v>
                </c:pt>
                <c:pt idx="755">
                  <c:v>95</c:v>
                </c:pt>
                <c:pt idx="756">
                  <c:v>95</c:v>
                </c:pt>
                <c:pt idx="757">
                  <c:v>95</c:v>
                </c:pt>
                <c:pt idx="758">
                  <c:v>85</c:v>
                </c:pt>
                <c:pt idx="759">
                  <c:v>85</c:v>
                </c:pt>
                <c:pt idx="760">
                  <c:v>85</c:v>
                </c:pt>
                <c:pt idx="761">
                  <c:v>85</c:v>
                </c:pt>
                <c:pt idx="762">
                  <c:v>82</c:v>
                </c:pt>
                <c:pt idx="763">
                  <c:v>82</c:v>
                </c:pt>
                <c:pt idx="764">
                  <c:v>82</c:v>
                </c:pt>
                <c:pt idx="765">
                  <c:v>82</c:v>
                </c:pt>
                <c:pt idx="766">
                  <c:v>82</c:v>
                </c:pt>
                <c:pt idx="767">
                  <c:v>82</c:v>
                </c:pt>
                <c:pt idx="768">
                  <c:v>72</c:v>
                </c:pt>
                <c:pt idx="769">
                  <c:v>72</c:v>
                </c:pt>
                <c:pt idx="770">
                  <c:v>82</c:v>
                </c:pt>
                <c:pt idx="771">
                  <c:v>82</c:v>
                </c:pt>
                <c:pt idx="772">
                  <c:v>83</c:v>
                </c:pt>
                <c:pt idx="773">
                  <c:v>83</c:v>
                </c:pt>
                <c:pt idx="774">
                  <c:v>83</c:v>
                </c:pt>
                <c:pt idx="775">
                  <c:v>83</c:v>
                </c:pt>
                <c:pt idx="776">
                  <c:v>83</c:v>
                </c:pt>
                <c:pt idx="777">
                  <c:v>83</c:v>
                </c:pt>
                <c:pt idx="778">
                  <c:v>86</c:v>
                </c:pt>
                <c:pt idx="779">
                  <c:v>86</c:v>
                </c:pt>
                <c:pt idx="780">
                  <c:v>86</c:v>
                </c:pt>
                <c:pt idx="781">
                  <c:v>86</c:v>
                </c:pt>
                <c:pt idx="782">
                  <c:v>86</c:v>
                </c:pt>
                <c:pt idx="783">
                  <c:v>95</c:v>
                </c:pt>
                <c:pt idx="784">
                  <c:v>95</c:v>
                </c:pt>
                <c:pt idx="785">
                  <c:v>92</c:v>
                </c:pt>
                <c:pt idx="786">
                  <c:v>92</c:v>
                </c:pt>
                <c:pt idx="787">
                  <c:v>92</c:v>
                </c:pt>
                <c:pt idx="788">
                  <c:v>95</c:v>
                </c:pt>
                <c:pt idx="789">
                  <c:v>95</c:v>
                </c:pt>
                <c:pt idx="790">
                  <c:v>95</c:v>
                </c:pt>
                <c:pt idx="791">
                  <c:v>95</c:v>
                </c:pt>
                <c:pt idx="792">
                  <c:v>95</c:v>
                </c:pt>
                <c:pt idx="793">
                  <c:v>95</c:v>
                </c:pt>
                <c:pt idx="794">
                  <c:v>95</c:v>
                </c:pt>
                <c:pt idx="795">
                  <c:v>95</c:v>
                </c:pt>
                <c:pt idx="796">
                  <c:v>95</c:v>
                </c:pt>
                <c:pt idx="797">
                  <c:v>95</c:v>
                </c:pt>
                <c:pt idx="798">
                  <c:v>95</c:v>
                </c:pt>
                <c:pt idx="799">
                  <c:v>95</c:v>
                </c:pt>
                <c:pt idx="800">
                  <c:v>95</c:v>
                </c:pt>
                <c:pt idx="801">
                  <c:v>95</c:v>
                </c:pt>
                <c:pt idx="802">
                  <c:v>95</c:v>
                </c:pt>
                <c:pt idx="803">
                  <c:v>91</c:v>
                </c:pt>
                <c:pt idx="804">
                  <c:v>91</c:v>
                </c:pt>
                <c:pt idx="805">
                  <c:v>91</c:v>
                </c:pt>
                <c:pt idx="806">
                  <c:v>91</c:v>
                </c:pt>
                <c:pt idx="807">
                  <c:v>95</c:v>
                </c:pt>
                <c:pt idx="808">
                  <c:v>90</c:v>
                </c:pt>
                <c:pt idx="809">
                  <c:v>90</c:v>
                </c:pt>
                <c:pt idx="810">
                  <c:v>90</c:v>
                </c:pt>
                <c:pt idx="811">
                  <c:v>80</c:v>
                </c:pt>
                <c:pt idx="812">
                  <c:v>80</c:v>
                </c:pt>
                <c:pt idx="813">
                  <c:v>80</c:v>
                </c:pt>
                <c:pt idx="814">
                  <c:v>80</c:v>
                </c:pt>
                <c:pt idx="815">
                  <c:v>80</c:v>
                </c:pt>
                <c:pt idx="816">
                  <c:v>80</c:v>
                </c:pt>
                <c:pt idx="817">
                  <c:v>80</c:v>
                </c:pt>
                <c:pt idx="818">
                  <c:v>91</c:v>
                </c:pt>
                <c:pt idx="819">
                  <c:v>91</c:v>
                </c:pt>
                <c:pt idx="820">
                  <c:v>91</c:v>
                </c:pt>
                <c:pt idx="821">
                  <c:v>91</c:v>
                </c:pt>
                <c:pt idx="822">
                  <c:v>91</c:v>
                </c:pt>
                <c:pt idx="823">
                  <c:v>88</c:v>
                </c:pt>
                <c:pt idx="824">
                  <c:v>88</c:v>
                </c:pt>
                <c:pt idx="825">
                  <c:v>88</c:v>
                </c:pt>
                <c:pt idx="826">
                  <c:v>95</c:v>
                </c:pt>
                <c:pt idx="827">
                  <c:v>95</c:v>
                </c:pt>
                <c:pt idx="828">
                  <c:v>91</c:v>
                </c:pt>
                <c:pt idx="829">
                  <c:v>88</c:v>
                </c:pt>
                <c:pt idx="830">
                  <c:v>91</c:v>
                </c:pt>
                <c:pt idx="831">
                  <c:v>95</c:v>
                </c:pt>
                <c:pt idx="832">
                  <c:v>92</c:v>
                </c:pt>
                <c:pt idx="833">
                  <c:v>90</c:v>
                </c:pt>
                <c:pt idx="834">
                  <c:v>86</c:v>
                </c:pt>
                <c:pt idx="835">
                  <c:v>85</c:v>
                </c:pt>
                <c:pt idx="836">
                  <c:v>85</c:v>
                </c:pt>
                <c:pt idx="837">
                  <c:v>85</c:v>
                </c:pt>
                <c:pt idx="838">
                  <c:v>85</c:v>
                </c:pt>
                <c:pt idx="839">
                  <c:v>83</c:v>
                </c:pt>
                <c:pt idx="840">
                  <c:v>83</c:v>
                </c:pt>
                <c:pt idx="841">
                  <c:v>83</c:v>
                </c:pt>
                <c:pt idx="842">
                  <c:v>83</c:v>
                </c:pt>
                <c:pt idx="843">
                  <c:v>83</c:v>
                </c:pt>
                <c:pt idx="844">
                  <c:v>82</c:v>
                </c:pt>
                <c:pt idx="845">
                  <c:v>86</c:v>
                </c:pt>
                <c:pt idx="846">
                  <c:v>83</c:v>
                </c:pt>
                <c:pt idx="847">
                  <c:v>87</c:v>
                </c:pt>
                <c:pt idx="848">
                  <c:v>83</c:v>
                </c:pt>
                <c:pt idx="849">
                  <c:v>89</c:v>
                </c:pt>
                <c:pt idx="850">
                  <c:v>89</c:v>
                </c:pt>
                <c:pt idx="851">
                  <c:v>89</c:v>
                </c:pt>
                <c:pt idx="852">
                  <c:v>89</c:v>
                </c:pt>
                <c:pt idx="853">
                  <c:v>89</c:v>
                </c:pt>
                <c:pt idx="854">
                  <c:v>86</c:v>
                </c:pt>
                <c:pt idx="855">
                  <c:v>86</c:v>
                </c:pt>
                <c:pt idx="856">
                  <c:v>86</c:v>
                </c:pt>
                <c:pt idx="857">
                  <c:v>86</c:v>
                </c:pt>
                <c:pt idx="858">
                  <c:v>86</c:v>
                </c:pt>
                <c:pt idx="859">
                  <c:v>85</c:v>
                </c:pt>
                <c:pt idx="860">
                  <c:v>85</c:v>
                </c:pt>
                <c:pt idx="861">
                  <c:v>85</c:v>
                </c:pt>
                <c:pt idx="862">
                  <c:v>85</c:v>
                </c:pt>
                <c:pt idx="863">
                  <c:v>85</c:v>
                </c:pt>
                <c:pt idx="864">
                  <c:v>85</c:v>
                </c:pt>
                <c:pt idx="865">
                  <c:v>85</c:v>
                </c:pt>
                <c:pt idx="866">
                  <c:v>81</c:v>
                </c:pt>
                <c:pt idx="867">
                  <c:v>81</c:v>
                </c:pt>
                <c:pt idx="868">
                  <c:v>81</c:v>
                </c:pt>
                <c:pt idx="869">
                  <c:v>81</c:v>
                </c:pt>
                <c:pt idx="870">
                  <c:v>81</c:v>
                </c:pt>
                <c:pt idx="871">
                  <c:v>81</c:v>
                </c:pt>
                <c:pt idx="872">
                  <c:v>81</c:v>
                </c:pt>
                <c:pt idx="873">
                  <c:v>81</c:v>
                </c:pt>
                <c:pt idx="874">
                  <c:v>79</c:v>
                </c:pt>
                <c:pt idx="875">
                  <c:v>79</c:v>
                </c:pt>
                <c:pt idx="876">
                  <c:v>79</c:v>
                </c:pt>
                <c:pt idx="877">
                  <c:v>79</c:v>
                </c:pt>
                <c:pt idx="878">
                  <c:v>79</c:v>
                </c:pt>
                <c:pt idx="879">
                  <c:v>76</c:v>
                </c:pt>
                <c:pt idx="880">
                  <c:v>76</c:v>
                </c:pt>
                <c:pt idx="881">
                  <c:v>76</c:v>
                </c:pt>
                <c:pt idx="882">
                  <c:v>76</c:v>
                </c:pt>
                <c:pt idx="883">
                  <c:v>76</c:v>
                </c:pt>
                <c:pt idx="884">
                  <c:v>78</c:v>
                </c:pt>
                <c:pt idx="885">
                  <c:v>78</c:v>
                </c:pt>
                <c:pt idx="886">
                  <c:v>78</c:v>
                </c:pt>
                <c:pt idx="887">
                  <c:v>78</c:v>
                </c:pt>
                <c:pt idx="888">
                  <c:v>78</c:v>
                </c:pt>
                <c:pt idx="889">
                  <c:v>77</c:v>
                </c:pt>
                <c:pt idx="890">
                  <c:v>76</c:v>
                </c:pt>
                <c:pt idx="891">
                  <c:v>76</c:v>
                </c:pt>
                <c:pt idx="892">
                  <c:v>77</c:v>
                </c:pt>
                <c:pt idx="893">
                  <c:v>77</c:v>
                </c:pt>
                <c:pt idx="894">
                  <c:v>71</c:v>
                </c:pt>
                <c:pt idx="895">
                  <c:v>71</c:v>
                </c:pt>
                <c:pt idx="896">
                  <c:v>71</c:v>
                </c:pt>
                <c:pt idx="897">
                  <c:v>71</c:v>
                </c:pt>
                <c:pt idx="898">
                  <c:v>71</c:v>
                </c:pt>
                <c:pt idx="899">
                  <c:v>76</c:v>
                </c:pt>
                <c:pt idx="900">
                  <c:v>76</c:v>
                </c:pt>
                <c:pt idx="901">
                  <c:v>76</c:v>
                </c:pt>
                <c:pt idx="902">
                  <c:v>71</c:v>
                </c:pt>
                <c:pt idx="903">
                  <c:v>71</c:v>
                </c:pt>
                <c:pt idx="904">
                  <c:v>72</c:v>
                </c:pt>
                <c:pt idx="905">
                  <c:v>59</c:v>
                </c:pt>
                <c:pt idx="906">
                  <c:v>59</c:v>
                </c:pt>
                <c:pt idx="907">
                  <c:v>59</c:v>
                </c:pt>
                <c:pt idx="908">
                  <c:v>70</c:v>
                </c:pt>
                <c:pt idx="909">
                  <c:v>70</c:v>
                </c:pt>
                <c:pt idx="910">
                  <c:v>71</c:v>
                </c:pt>
                <c:pt idx="911">
                  <c:v>71</c:v>
                </c:pt>
                <c:pt idx="912">
                  <c:v>71</c:v>
                </c:pt>
                <c:pt idx="913">
                  <c:v>71</c:v>
                </c:pt>
                <c:pt idx="914">
                  <c:v>68</c:v>
                </c:pt>
                <c:pt idx="915">
                  <c:v>72</c:v>
                </c:pt>
                <c:pt idx="916">
                  <c:v>70</c:v>
                </c:pt>
                <c:pt idx="917">
                  <c:v>70</c:v>
                </c:pt>
                <c:pt idx="918">
                  <c:v>68</c:v>
                </c:pt>
                <c:pt idx="919">
                  <c:v>68</c:v>
                </c:pt>
                <c:pt idx="920">
                  <c:v>68</c:v>
                </c:pt>
                <c:pt idx="921">
                  <c:v>79</c:v>
                </c:pt>
                <c:pt idx="922">
                  <c:v>81</c:v>
                </c:pt>
                <c:pt idx="923">
                  <c:v>81</c:v>
                </c:pt>
                <c:pt idx="924">
                  <c:v>81</c:v>
                </c:pt>
                <c:pt idx="925">
                  <c:v>81</c:v>
                </c:pt>
                <c:pt idx="926">
                  <c:v>81</c:v>
                </c:pt>
                <c:pt idx="927">
                  <c:v>84</c:v>
                </c:pt>
                <c:pt idx="928">
                  <c:v>84</c:v>
                </c:pt>
                <c:pt idx="929">
                  <c:v>86</c:v>
                </c:pt>
                <c:pt idx="930">
                  <c:v>86</c:v>
                </c:pt>
                <c:pt idx="931">
                  <c:v>85</c:v>
                </c:pt>
                <c:pt idx="932">
                  <c:v>81</c:v>
                </c:pt>
                <c:pt idx="933">
                  <c:v>81</c:v>
                </c:pt>
                <c:pt idx="934">
                  <c:v>81</c:v>
                </c:pt>
                <c:pt idx="935">
                  <c:v>77</c:v>
                </c:pt>
                <c:pt idx="936">
                  <c:v>77</c:v>
                </c:pt>
                <c:pt idx="937">
                  <c:v>77</c:v>
                </c:pt>
                <c:pt idx="938">
                  <c:v>79</c:v>
                </c:pt>
                <c:pt idx="939">
                  <c:v>79</c:v>
                </c:pt>
                <c:pt idx="940">
                  <c:v>77</c:v>
                </c:pt>
                <c:pt idx="941">
                  <c:v>77</c:v>
                </c:pt>
                <c:pt idx="942">
                  <c:v>75</c:v>
                </c:pt>
                <c:pt idx="943">
                  <c:v>75</c:v>
                </c:pt>
                <c:pt idx="944">
                  <c:v>75</c:v>
                </c:pt>
                <c:pt idx="945">
                  <c:v>75</c:v>
                </c:pt>
                <c:pt idx="946">
                  <c:v>75</c:v>
                </c:pt>
                <c:pt idx="947">
                  <c:v>75</c:v>
                </c:pt>
                <c:pt idx="948">
                  <c:v>75</c:v>
                </c:pt>
                <c:pt idx="949">
                  <c:v>75</c:v>
                </c:pt>
                <c:pt idx="950">
                  <c:v>70</c:v>
                </c:pt>
                <c:pt idx="951">
                  <c:v>64</c:v>
                </c:pt>
                <c:pt idx="952">
                  <c:v>71</c:v>
                </c:pt>
                <c:pt idx="953">
                  <c:v>71</c:v>
                </c:pt>
                <c:pt idx="954">
                  <c:v>71</c:v>
                </c:pt>
                <c:pt idx="955">
                  <c:v>71</c:v>
                </c:pt>
                <c:pt idx="956">
                  <c:v>71</c:v>
                </c:pt>
                <c:pt idx="957">
                  <c:v>71</c:v>
                </c:pt>
                <c:pt idx="958">
                  <c:v>71</c:v>
                </c:pt>
                <c:pt idx="959">
                  <c:v>70</c:v>
                </c:pt>
                <c:pt idx="960">
                  <c:v>70</c:v>
                </c:pt>
                <c:pt idx="961">
                  <c:v>70</c:v>
                </c:pt>
                <c:pt idx="962">
                  <c:v>70</c:v>
                </c:pt>
                <c:pt idx="963">
                  <c:v>70</c:v>
                </c:pt>
                <c:pt idx="964">
                  <c:v>66</c:v>
                </c:pt>
                <c:pt idx="965">
                  <c:v>71</c:v>
                </c:pt>
                <c:pt idx="966">
                  <c:v>67</c:v>
                </c:pt>
                <c:pt idx="967">
                  <c:v>67</c:v>
                </c:pt>
                <c:pt idx="968">
                  <c:v>67</c:v>
                </c:pt>
                <c:pt idx="969">
                  <c:v>67</c:v>
                </c:pt>
                <c:pt idx="970">
                  <c:v>67</c:v>
                </c:pt>
                <c:pt idx="971">
                  <c:v>67</c:v>
                </c:pt>
                <c:pt idx="972">
                  <c:v>67</c:v>
                </c:pt>
                <c:pt idx="973">
                  <c:v>65</c:v>
                </c:pt>
                <c:pt idx="974">
                  <c:v>65</c:v>
                </c:pt>
                <c:pt idx="975">
                  <c:v>66</c:v>
                </c:pt>
                <c:pt idx="976">
                  <c:v>66</c:v>
                </c:pt>
                <c:pt idx="977">
                  <c:v>66</c:v>
                </c:pt>
                <c:pt idx="978">
                  <c:v>63</c:v>
                </c:pt>
                <c:pt idx="979">
                  <c:v>56</c:v>
                </c:pt>
                <c:pt idx="980">
                  <c:v>57</c:v>
                </c:pt>
                <c:pt idx="981">
                  <c:v>62</c:v>
                </c:pt>
                <c:pt idx="982">
                  <c:v>66</c:v>
                </c:pt>
                <c:pt idx="983">
                  <c:v>72</c:v>
                </c:pt>
                <c:pt idx="984">
                  <c:v>72</c:v>
                </c:pt>
                <c:pt idx="985">
                  <c:v>72</c:v>
                </c:pt>
                <c:pt idx="986">
                  <c:v>72</c:v>
                </c:pt>
                <c:pt idx="987">
                  <c:v>78</c:v>
                </c:pt>
                <c:pt idx="988">
                  <c:v>78</c:v>
                </c:pt>
                <c:pt idx="989">
                  <c:v>78</c:v>
                </c:pt>
                <c:pt idx="990">
                  <c:v>78</c:v>
                </c:pt>
                <c:pt idx="991">
                  <c:v>74</c:v>
                </c:pt>
                <c:pt idx="992">
                  <c:v>74</c:v>
                </c:pt>
                <c:pt idx="993">
                  <c:v>74</c:v>
                </c:pt>
                <c:pt idx="994">
                  <c:v>74</c:v>
                </c:pt>
                <c:pt idx="995">
                  <c:v>74</c:v>
                </c:pt>
                <c:pt idx="996">
                  <c:v>79</c:v>
                </c:pt>
                <c:pt idx="997">
                  <c:v>79</c:v>
                </c:pt>
                <c:pt idx="998">
                  <c:v>79</c:v>
                </c:pt>
                <c:pt idx="999">
                  <c:v>80</c:v>
                </c:pt>
                <c:pt idx="1000">
                  <c:v>80</c:v>
                </c:pt>
                <c:pt idx="1001">
                  <c:v>80</c:v>
                </c:pt>
                <c:pt idx="1002">
                  <c:v>79.7</c:v>
                </c:pt>
                <c:pt idx="1003">
                  <c:v>79.7</c:v>
                </c:pt>
                <c:pt idx="1004">
                  <c:v>80.3</c:v>
                </c:pt>
                <c:pt idx="1005">
                  <c:v>79.3</c:v>
                </c:pt>
                <c:pt idx="1006">
                  <c:v>80</c:v>
                </c:pt>
                <c:pt idx="1007">
                  <c:v>85.27</c:v>
                </c:pt>
                <c:pt idx="1008">
                  <c:v>85.27</c:v>
                </c:pt>
                <c:pt idx="1009">
                  <c:v>82.5</c:v>
                </c:pt>
                <c:pt idx="1010">
                  <c:v>84</c:v>
                </c:pt>
                <c:pt idx="1011">
                  <c:v>84</c:v>
                </c:pt>
                <c:pt idx="1012">
                  <c:v>84</c:v>
                </c:pt>
                <c:pt idx="1013">
                  <c:v>84</c:v>
                </c:pt>
                <c:pt idx="1014">
                  <c:v>84</c:v>
                </c:pt>
                <c:pt idx="1015">
                  <c:v>78.599999999999994</c:v>
                </c:pt>
                <c:pt idx="1016">
                  <c:v>74.3</c:v>
                </c:pt>
                <c:pt idx="1017">
                  <c:v>74.3</c:v>
                </c:pt>
                <c:pt idx="1018">
                  <c:v>72.5</c:v>
                </c:pt>
                <c:pt idx="1019">
                  <c:v>71.2</c:v>
                </c:pt>
                <c:pt idx="1020">
                  <c:v>71.2</c:v>
                </c:pt>
                <c:pt idx="1021">
                  <c:v>73.2</c:v>
                </c:pt>
                <c:pt idx="1022">
                  <c:v>71.2</c:v>
                </c:pt>
                <c:pt idx="1023">
                  <c:v>71.2</c:v>
                </c:pt>
                <c:pt idx="1024">
                  <c:v>71.2</c:v>
                </c:pt>
                <c:pt idx="1025">
                  <c:v>71</c:v>
                </c:pt>
                <c:pt idx="1026">
                  <c:v>72</c:v>
                </c:pt>
                <c:pt idx="1027">
                  <c:v>79.679999999999978</c:v>
                </c:pt>
                <c:pt idx="1028">
                  <c:v>79.679999999999978</c:v>
                </c:pt>
                <c:pt idx="1029">
                  <c:v>79.679999999999978</c:v>
                </c:pt>
                <c:pt idx="1030">
                  <c:v>77.599999999999994</c:v>
                </c:pt>
                <c:pt idx="1031">
                  <c:v>77.900000000000006</c:v>
                </c:pt>
                <c:pt idx="1032">
                  <c:v>77.900000000000006</c:v>
                </c:pt>
                <c:pt idx="1033">
                  <c:v>77.900000000000006</c:v>
                </c:pt>
                <c:pt idx="1034">
                  <c:v>77.13</c:v>
                </c:pt>
                <c:pt idx="1035">
                  <c:v>79</c:v>
                </c:pt>
                <c:pt idx="1036">
                  <c:v>81</c:v>
                </c:pt>
                <c:pt idx="1037">
                  <c:v>79</c:v>
                </c:pt>
                <c:pt idx="1038">
                  <c:v>78.5</c:v>
                </c:pt>
                <c:pt idx="1039">
                  <c:v>78.5</c:v>
                </c:pt>
                <c:pt idx="1040">
                  <c:v>75.599999999999994</c:v>
                </c:pt>
                <c:pt idx="1041">
                  <c:v>77.28</c:v>
                </c:pt>
                <c:pt idx="1042">
                  <c:v>77.3</c:v>
                </c:pt>
                <c:pt idx="1043">
                  <c:v>75.169999999999987</c:v>
                </c:pt>
                <c:pt idx="1044">
                  <c:v>75.169999999999987</c:v>
                </c:pt>
                <c:pt idx="1045">
                  <c:v>75.169999999999987</c:v>
                </c:pt>
                <c:pt idx="1046">
                  <c:v>78.11999999999999</c:v>
                </c:pt>
                <c:pt idx="1047">
                  <c:v>78.11999999999999</c:v>
                </c:pt>
                <c:pt idx="1048">
                  <c:v>78.11999999999999</c:v>
                </c:pt>
                <c:pt idx="1049">
                  <c:v>77</c:v>
                </c:pt>
                <c:pt idx="1050">
                  <c:v>72.5</c:v>
                </c:pt>
                <c:pt idx="1051">
                  <c:v>72.5</c:v>
                </c:pt>
                <c:pt idx="1052">
                  <c:v>72.5</c:v>
                </c:pt>
                <c:pt idx="1053">
                  <c:v>72.5</c:v>
                </c:pt>
                <c:pt idx="1054">
                  <c:v>77.099999999999994</c:v>
                </c:pt>
                <c:pt idx="1055">
                  <c:v>77.099999999999994</c:v>
                </c:pt>
                <c:pt idx="1056">
                  <c:v>77.099999999999994</c:v>
                </c:pt>
                <c:pt idx="1057">
                  <c:v>77.099999999999994</c:v>
                </c:pt>
                <c:pt idx="1058">
                  <c:v>77.099999999999994</c:v>
                </c:pt>
                <c:pt idx="1059">
                  <c:v>77.099999999999994</c:v>
                </c:pt>
                <c:pt idx="1060">
                  <c:v>77.099999999999994</c:v>
                </c:pt>
                <c:pt idx="1061">
                  <c:v>75.900000000000006</c:v>
                </c:pt>
                <c:pt idx="1062">
                  <c:v>77.099999999999994</c:v>
                </c:pt>
                <c:pt idx="1063">
                  <c:v>75.900000000000006</c:v>
                </c:pt>
                <c:pt idx="1064">
                  <c:v>76.75</c:v>
                </c:pt>
                <c:pt idx="1065">
                  <c:v>76.75</c:v>
                </c:pt>
                <c:pt idx="1066">
                  <c:v>76.75</c:v>
                </c:pt>
                <c:pt idx="1067">
                  <c:v>76.75</c:v>
                </c:pt>
                <c:pt idx="1068">
                  <c:v>76.75</c:v>
                </c:pt>
                <c:pt idx="1069">
                  <c:v>76.75</c:v>
                </c:pt>
                <c:pt idx="1070">
                  <c:v>79</c:v>
                </c:pt>
                <c:pt idx="1071">
                  <c:v>81.349999999999994</c:v>
                </c:pt>
                <c:pt idx="1072">
                  <c:v>76.069999999999993</c:v>
                </c:pt>
                <c:pt idx="1073">
                  <c:v>76.069999999999993</c:v>
                </c:pt>
                <c:pt idx="1074">
                  <c:v>76.069999999999993</c:v>
                </c:pt>
                <c:pt idx="1075">
                  <c:v>76.069999999999993</c:v>
                </c:pt>
                <c:pt idx="1076">
                  <c:v>76.069999999999993</c:v>
                </c:pt>
                <c:pt idx="1077">
                  <c:v>74.14</c:v>
                </c:pt>
                <c:pt idx="1078">
                  <c:v>73.81</c:v>
                </c:pt>
                <c:pt idx="1079">
                  <c:v>73.81</c:v>
                </c:pt>
                <c:pt idx="1080">
                  <c:v>74.099999999999994</c:v>
                </c:pt>
                <c:pt idx="1081">
                  <c:v>74.099999999999994</c:v>
                </c:pt>
                <c:pt idx="1082">
                  <c:v>74.099999999999994</c:v>
                </c:pt>
                <c:pt idx="1083">
                  <c:v>74.11</c:v>
                </c:pt>
                <c:pt idx="1084">
                  <c:v>74.11</c:v>
                </c:pt>
                <c:pt idx="1085">
                  <c:v>74.11</c:v>
                </c:pt>
                <c:pt idx="1086">
                  <c:v>74.11</c:v>
                </c:pt>
                <c:pt idx="1087">
                  <c:v>74.11</c:v>
                </c:pt>
                <c:pt idx="1088">
                  <c:v>72</c:v>
                </c:pt>
                <c:pt idx="1089">
                  <c:v>72</c:v>
                </c:pt>
                <c:pt idx="1090">
                  <c:v>72</c:v>
                </c:pt>
                <c:pt idx="1091">
                  <c:v>72</c:v>
                </c:pt>
                <c:pt idx="1092">
                  <c:v>79.959999999999994</c:v>
                </c:pt>
                <c:pt idx="1093">
                  <c:v>86</c:v>
                </c:pt>
                <c:pt idx="1094">
                  <c:v>81.8</c:v>
                </c:pt>
                <c:pt idx="1095">
                  <c:v>81.8</c:v>
                </c:pt>
                <c:pt idx="1096">
                  <c:v>80.5</c:v>
                </c:pt>
                <c:pt idx="1097">
                  <c:v>80.5</c:v>
                </c:pt>
                <c:pt idx="1098">
                  <c:v>76.3</c:v>
                </c:pt>
                <c:pt idx="1099">
                  <c:v>73.400000000000006</c:v>
                </c:pt>
                <c:pt idx="1100">
                  <c:v>73.400000000000006</c:v>
                </c:pt>
                <c:pt idx="1101">
                  <c:v>73.400000000000006</c:v>
                </c:pt>
                <c:pt idx="1102">
                  <c:v>72.209999999999994</c:v>
                </c:pt>
                <c:pt idx="1103">
                  <c:v>72.209999999999994</c:v>
                </c:pt>
                <c:pt idx="1104">
                  <c:v>72.209999999999994</c:v>
                </c:pt>
                <c:pt idx="1105">
                  <c:v>77.7</c:v>
                </c:pt>
                <c:pt idx="1106">
                  <c:v>77.7</c:v>
                </c:pt>
                <c:pt idx="1107">
                  <c:v>77.7</c:v>
                </c:pt>
                <c:pt idx="1108">
                  <c:v>77.7</c:v>
                </c:pt>
                <c:pt idx="1109">
                  <c:v>77.7</c:v>
                </c:pt>
                <c:pt idx="1110">
                  <c:v>77.7</c:v>
                </c:pt>
                <c:pt idx="1111">
                  <c:v>77.7</c:v>
                </c:pt>
                <c:pt idx="1112">
                  <c:v>86</c:v>
                </c:pt>
                <c:pt idx="1113">
                  <c:v>86</c:v>
                </c:pt>
                <c:pt idx="1114">
                  <c:v>86.7</c:v>
                </c:pt>
                <c:pt idx="1115">
                  <c:v>86.7</c:v>
                </c:pt>
                <c:pt idx="1116">
                  <c:v>86.7</c:v>
                </c:pt>
                <c:pt idx="1117">
                  <c:v>84.9</c:v>
                </c:pt>
                <c:pt idx="1118">
                  <c:v>84.9</c:v>
                </c:pt>
                <c:pt idx="1119">
                  <c:v>84.9</c:v>
                </c:pt>
                <c:pt idx="1120">
                  <c:v>84.9</c:v>
                </c:pt>
                <c:pt idx="1121">
                  <c:v>84.9</c:v>
                </c:pt>
                <c:pt idx="1122">
                  <c:v>84.9</c:v>
                </c:pt>
                <c:pt idx="1123">
                  <c:v>80.900000000000006</c:v>
                </c:pt>
                <c:pt idx="1124">
                  <c:v>80.900000000000006</c:v>
                </c:pt>
                <c:pt idx="1125">
                  <c:v>80.900000000000006</c:v>
                </c:pt>
                <c:pt idx="1126">
                  <c:v>76.400000000000006</c:v>
                </c:pt>
                <c:pt idx="1127">
                  <c:v>75.8</c:v>
                </c:pt>
                <c:pt idx="1128">
                  <c:v>75.8</c:v>
                </c:pt>
                <c:pt idx="1129">
                  <c:v>75.8</c:v>
                </c:pt>
                <c:pt idx="1130">
                  <c:v>75.7</c:v>
                </c:pt>
                <c:pt idx="1131">
                  <c:v>73.900000000000006</c:v>
                </c:pt>
                <c:pt idx="1132">
                  <c:v>73.900000000000006</c:v>
                </c:pt>
                <c:pt idx="1133">
                  <c:v>73.900000000000006</c:v>
                </c:pt>
                <c:pt idx="1134">
                  <c:v>73.900000000000006</c:v>
                </c:pt>
                <c:pt idx="1135">
                  <c:v>73.900000000000006</c:v>
                </c:pt>
                <c:pt idx="1136">
                  <c:v>75.599999999999994</c:v>
                </c:pt>
                <c:pt idx="1137">
                  <c:v>75.599999999999994</c:v>
                </c:pt>
                <c:pt idx="1138">
                  <c:v>85.6</c:v>
                </c:pt>
                <c:pt idx="1139">
                  <c:v>86.7</c:v>
                </c:pt>
                <c:pt idx="1140">
                  <c:v>87.7</c:v>
                </c:pt>
                <c:pt idx="1141">
                  <c:v>87.7</c:v>
                </c:pt>
                <c:pt idx="1142">
                  <c:v>87.7</c:v>
                </c:pt>
                <c:pt idx="1143">
                  <c:v>87.7</c:v>
                </c:pt>
                <c:pt idx="1144">
                  <c:v>87.7</c:v>
                </c:pt>
                <c:pt idx="1145">
                  <c:v>87.7</c:v>
                </c:pt>
                <c:pt idx="1146">
                  <c:v>84.9</c:v>
                </c:pt>
                <c:pt idx="1147">
                  <c:v>84.9</c:v>
                </c:pt>
                <c:pt idx="1148">
                  <c:v>84.9</c:v>
                </c:pt>
                <c:pt idx="1149">
                  <c:v>84.9</c:v>
                </c:pt>
                <c:pt idx="1150">
                  <c:v>84.9</c:v>
                </c:pt>
                <c:pt idx="1151">
                  <c:v>83.9</c:v>
                </c:pt>
                <c:pt idx="1152">
                  <c:v>83.9</c:v>
                </c:pt>
                <c:pt idx="1153">
                  <c:v>83.9</c:v>
                </c:pt>
                <c:pt idx="1154">
                  <c:v>83.9</c:v>
                </c:pt>
                <c:pt idx="1155">
                  <c:v>83.9</c:v>
                </c:pt>
                <c:pt idx="1156">
                  <c:v>83.9</c:v>
                </c:pt>
                <c:pt idx="1157">
                  <c:v>83.9</c:v>
                </c:pt>
                <c:pt idx="1158">
                  <c:v>77.099999999999994</c:v>
                </c:pt>
                <c:pt idx="1159">
                  <c:v>77.099999999999994</c:v>
                </c:pt>
                <c:pt idx="1160">
                  <c:v>77.099999999999994</c:v>
                </c:pt>
                <c:pt idx="1161">
                  <c:v>77.099999999999994</c:v>
                </c:pt>
                <c:pt idx="1162">
                  <c:v>77.099999999999994</c:v>
                </c:pt>
                <c:pt idx="1163">
                  <c:v>77.099999999999994</c:v>
                </c:pt>
                <c:pt idx="1164">
                  <c:v>77.099999999999994</c:v>
                </c:pt>
                <c:pt idx="1165">
                  <c:v>77.099999999999994</c:v>
                </c:pt>
                <c:pt idx="1166">
                  <c:v>77.099999999999994</c:v>
                </c:pt>
                <c:pt idx="1167">
                  <c:v>77.099999999999994</c:v>
                </c:pt>
                <c:pt idx="1168">
                  <c:v>73.900000000000006</c:v>
                </c:pt>
                <c:pt idx="1169">
                  <c:v>73.400000000000006</c:v>
                </c:pt>
                <c:pt idx="1170">
                  <c:v>73.400000000000006</c:v>
                </c:pt>
                <c:pt idx="1171">
                  <c:v>76.599999999999994</c:v>
                </c:pt>
                <c:pt idx="1172">
                  <c:v>76.599999999999994</c:v>
                </c:pt>
                <c:pt idx="1173">
                  <c:v>74.599999999999994</c:v>
                </c:pt>
                <c:pt idx="1174">
                  <c:v>74.2</c:v>
                </c:pt>
                <c:pt idx="1175">
                  <c:v>74.2</c:v>
                </c:pt>
                <c:pt idx="1176">
                  <c:v>74.2</c:v>
                </c:pt>
                <c:pt idx="1177">
                  <c:v>70.099999999999994</c:v>
                </c:pt>
                <c:pt idx="1178">
                  <c:v>70.099999999999994</c:v>
                </c:pt>
                <c:pt idx="1179">
                  <c:v>68.5</c:v>
                </c:pt>
                <c:pt idx="1180">
                  <c:v>71.099999999999994</c:v>
                </c:pt>
                <c:pt idx="1181">
                  <c:v>71.099999999999994</c:v>
                </c:pt>
                <c:pt idx="1182">
                  <c:v>71.099999999999994</c:v>
                </c:pt>
                <c:pt idx="1183">
                  <c:v>68.7</c:v>
                </c:pt>
                <c:pt idx="1184">
                  <c:v>68.7</c:v>
                </c:pt>
                <c:pt idx="1185">
                  <c:v>68.7</c:v>
                </c:pt>
                <c:pt idx="1186">
                  <c:v>63.5</c:v>
                </c:pt>
                <c:pt idx="1187">
                  <c:v>61.7</c:v>
                </c:pt>
                <c:pt idx="1188">
                  <c:v>61.7</c:v>
                </c:pt>
                <c:pt idx="1189">
                  <c:v>61.7</c:v>
                </c:pt>
                <c:pt idx="1190">
                  <c:v>58.5</c:v>
                </c:pt>
                <c:pt idx="1191">
                  <c:v>58.5</c:v>
                </c:pt>
                <c:pt idx="1192">
                  <c:v>58.5</c:v>
                </c:pt>
                <c:pt idx="1193">
                  <c:v>58.5</c:v>
                </c:pt>
                <c:pt idx="1194">
                  <c:v>57.6</c:v>
                </c:pt>
                <c:pt idx="1195">
                  <c:v>60.6</c:v>
                </c:pt>
                <c:pt idx="1196">
                  <c:v>69.599999999999994</c:v>
                </c:pt>
                <c:pt idx="1197">
                  <c:v>69.400000000000006</c:v>
                </c:pt>
                <c:pt idx="1198">
                  <c:v>69.400000000000006</c:v>
                </c:pt>
                <c:pt idx="1199">
                  <c:v>73</c:v>
                </c:pt>
                <c:pt idx="1200">
                  <c:v>73</c:v>
                </c:pt>
                <c:pt idx="1201">
                  <c:v>76</c:v>
                </c:pt>
                <c:pt idx="1202">
                  <c:v>78.400000000000006</c:v>
                </c:pt>
                <c:pt idx="1203">
                  <c:v>78.400000000000006</c:v>
                </c:pt>
                <c:pt idx="1204">
                  <c:v>71.900000000000006</c:v>
                </c:pt>
                <c:pt idx="1205">
                  <c:v>69.7</c:v>
                </c:pt>
                <c:pt idx="1206">
                  <c:v>70.900000000000006</c:v>
                </c:pt>
                <c:pt idx="1207">
                  <c:v>70.900000000000006</c:v>
                </c:pt>
                <c:pt idx="1208">
                  <c:v>71.7</c:v>
                </c:pt>
                <c:pt idx="1209">
                  <c:v>77</c:v>
                </c:pt>
                <c:pt idx="1210">
                  <c:v>77</c:v>
                </c:pt>
                <c:pt idx="1211">
                  <c:v>82.5</c:v>
                </c:pt>
                <c:pt idx="1212">
                  <c:v>82.5</c:v>
                </c:pt>
                <c:pt idx="1213">
                  <c:v>82.5</c:v>
                </c:pt>
                <c:pt idx="1214">
                  <c:v>82.5</c:v>
                </c:pt>
                <c:pt idx="1215">
                  <c:v>82.5</c:v>
                </c:pt>
                <c:pt idx="1216">
                  <c:v>82.5</c:v>
                </c:pt>
                <c:pt idx="1217">
                  <c:v>82.5</c:v>
                </c:pt>
                <c:pt idx="1218">
                  <c:v>82.5</c:v>
                </c:pt>
                <c:pt idx="1219">
                  <c:v>82.5</c:v>
                </c:pt>
                <c:pt idx="1220">
                  <c:v>82.5</c:v>
                </c:pt>
                <c:pt idx="1221">
                  <c:v>79.2</c:v>
                </c:pt>
                <c:pt idx="1222">
                  <c:v>73</c:v>
                </c:pt>
                <c:pt idx="1223">
                  <c:v>68</c:v>
                </c:pt>
                <c:pt idx="1224">
                  <c:v>68</c:v>
                </c:pt>
                <c:pt idx="1225">
                  <c:v>71.75</c:v>
                </c:pt>
                <c:pt idx="1226">
                  <c:v>71.75</c:v>
                </c:pt>
                <c:pt idx="1227">
                  <c:v>71.75</c:v>
                </c:pt>
                <c:pt idx="1228">
                  <c:v>70.75</c:v>
                </c:pt>
                <c:pt idx="1229">
                  <c:v>73.63</c:v>
                </c:pt>
                <c:pt idx="1230">
                  <c:v>75.63</c:v>
                </c:pt>
                <c:pt idx="1231">
                  <c:v>70</c:v>
                </c:pt>
                <c:pt idx="1232">
                  <c:v>63</c:v>
                </c:pt>
                <c:pt idx="1233">
                  <c:v>60.25</c:v>
                </c:pt>
                <c:pt idx="1234">
                  <c:v>60.25</c:v>
                </c:pt>
                <c:pt idx="1235">
                  <c:v>65.099999999999994</c:v>
                </c:pt>
                <c:pt idx="1236">
                  <c:v>67.7</c:v>
                </c:pt>
                <c:pt idx="1237">
                  <c:v>69.2</c:v>
                </c:pt>
                <c:pt idx="1238">
                  <c:v>69.2</c:v>
                </c:pt>
                <c:pt idx="1239">
                  <c:v>62.1</c:v>
                </c:pt>
                <c:pt idx="1240">
                  <c:v>62.9</c:v>
                </c:pt>
                <c:pt idx="1241">
                  <c:v>67.25</c:v>
                </c:pt>
                <c:pt idx="1242">
                  <c:v>71</c:v>
                </c:pt>
                <c:pt idx="1243">
                  <c:v>71</c:v>
                </c:pt>
                <c:pt idx="1244">
                  <c:v>72.099999999999994</c:v>
                </c:pt>
                <c:pt idx="1245">
                  <c:v>70.099999999999994</c:v>
                </c:pt>
                <c:pt idx="1246">
                  <c:v>66</c:v>
                </c:pt>
                <c:pt idx="1247">
                  <c:v>70.099999999999994</c:v>
                </c:pt>
                <c:pt idx="1248">
                  <c:v>67.599999999999994</c:v>
                </c:pt>
                <c:pt idx="1249">
                  <c:v>64.599999999999994</c:v>
                </c:pt>
                <c:pt idx="1250">
                  <c:v>63</c:v>
                </c:pt>
                <c:pt idx="1251">
                  <c:v>64.400000000000006</c:v>
                </c:pt>
                <c:pt idx="1252">
                  <c:v>64.400000000000006</c:v>
                </c:pt>
                <c:pt idx="1253">
                  <c:v>65.400000000000006</c:v>
                </c:pt>
                <c:pt idx="1254">
                  <c:v>61.5</c:v>
                </c:pt>
                <c:pt idx="1255">
                  <c:v>54.9</c:v>
                </c:pt>
                <c:pt idx="1256">
                  <c:v>65</c:v>
                </c:pt>
                <c:pt idx="1257">
                  <c:v>65</c:v>
                </c:pt>
                <c:pt idx="1258">
                  <c:v>66.400000000000006</c:v>
                </c:pt>
                <c:pt idx="1259">
                  <c:v>67.2</c:v>
                </c:pt>
                <c:pt idx="1260">
                  <c:v>70.8</c:v>
                </c:pt>
                <c:pt idx="1261">
                  <c:v>75.5</c:v>
                </c:pt>
                <c:pt idx="1262">
                  <c:v>75.5</c:v>
                </c:pt>
                <c:pt idx="1263">
                  <c:v>75.5</c:v>
                </c:pt>
                <c:pt idx="1264">
                  <c:v>73.8</c:v>
                </c:pt>
                <c:pt idx="1265">
                  <c:v>68</c:v>
                </c:pt>
                <c:pt idx="1266">
                  <c:v>67</c:v>
                </c:pt>
                <c:pt idx="1267">
                  <c:v>67</c:v>
                </c:pt>
                <c:pt idx="1268">
                  <c:v>64.3</c:v>
                </c:pt>
                <c:pt idx="1269">
                  <c:v>63.8</c:v>
                </c:pt>
                <c:pt idx="1270">
                  <c:v>63.8</c:v>
                </c:pt>
                <c:pt idx="1271">
                  <c:v>63.8</c:v>
                </c:pt>
                <c:pt idx="1272">
                  <c:v>63.8</c:v>
                </c:pt>
                <c:pt idx="1273">
                  <c:v>63.8</c:v>
                </c:pt>
                <c:pt idx="1274">
                  <c:v>68</c:v>
                </c:pt>
                <c:pt idx="1275">
                  <c:v>68</c:v>
                </c:pt>
                <c:pt idx="1276">
                  <c:v>68</c:v>
                </c:pt>
                <c:pt idx="1277">
                  <c:v>63</c:v>
                </c:pt>
                <c:pt idx="1278">
                  <c:v>62.9</c:v>
                </c:pt>
                <c:pt idx="1279">
                  <c:v>62.9</c:v>
                </c:pt>
                <c:pt idx="1280">
                  <c:v>62.8</c:v>
                </c:pt>
                <c:pt idx="1281">
                  <c:v>58.6</c:v>
                </c:pt>
                <c:pt idx="1282">
                  <c:v>58.6</c:v>
                </c:pt>
                <c:pt idx="1283">
                  <c:v>58.6</c:v>
                </c:pt>
                <c:pt idx="1284">
                  <c:v>60.2</c:v>
                </c:pt>
                <c:pt idx="1285">
                  <c:v>60.7</c:v>
                </c:pt>
                <c:pt idx="1286">
                  <c:v>63</c:v>
                </c:pt>
                <c:pt idx="1287">
                  <c:v>63.8</c:v>
                </c:pt>
                <c:pt idx="1288">
                  <c:v>60.1</c:v>
                </c:pt>
                <c:pt idx="1289">
                  <c:v>60.1</c:v>
                </c:pt>
                <c:pt idx="1290">
                  <c:v>60.1</c:v>
                </c:pt>
                <c:pt idx="1291">
                  <c:v>61.3</c:v>
                </c:pt>
                <c:pt idx="1292">
                  <c:v>61.3</c:v>
                </c:pt>
                <c:pt idx="1293">
                  <c:v>54</c:v>
                </c:pt>
                <c:pt idx="1294">
                  <c:v>54</c:v>
                </c:pt>
                <c:pt idx="1295">
                  <c:v>58</c:v>
                </c:pt>
                <c:pt idx="1296">
                  <c:v>57.5</c:v>
                </c:pt>
                <c:pt idx="1297">
                  <c:v>57.1</c:v>
                </c:pt>
                <c:pt idx="1298">
                  <c:v>56.4</c:v>
                </c:pt>
                <c:pt idx="1299">
                  <c:v>56</c:v>
                </c:pt>
                <c:pt idx="1300">
                  <c:v>56.4</c:v>
                </c:pt>
                <c:pt idx="1301">
                  <c:v>54.4</c:v>
                </c:pt>
                <c:pt idx="1302">
                  <c:v>57.2</c:v>
                </c:pt>
                <c:pt idx="1303">
                  <c:v>60</c:v>
                </c:pt>
                <c:pt idx="1304">
                  <c:v>61.5</c:v>
                </c:pt>
                <c:pt idx="1305">
                  <c:v>52.9</c:v>
                </c:pt>
                <c:pt idx="1306">
                  <c:v>52.9</c:v>
                </c:pt>
                <c:pt idx="1307">
                  <c:v>58.5</c:v>
                </c:pt>
                <c:pt idx="1308">
                  <c:v>63</c:v>
                </c:pt>
                <c:pt idx="1309">
                  <c:v>65.599999999999994</c:v>
                </c:pt>
                <c:pt idx="1310">
                  <c:v>65.599999999999994</c:v>
                </c:pt>
                <c:pt idx="1311">
                  <c:v>64.2</c:v>
                </c:pt>
                <c:pt idx="1312">
                  <c:v>66.099999999999994</c:v>
                </c:pt>
                <c:pt idx="1313">
                  <c:v>66.099999999999994</c:v>
                </c:pt>
                <c:pt idx="1314">
                  <c:v>67.7</c:v>
                </c:pt>
                <c:pt idx="1315">
                  <c:v>68.400000000000006</c:v>
                </c:pt>
                <c:pt idx="1316">
                  <c:v>68.400000000000006</c:v>
                </c:pt>
                <c:pt idx="1317">
                  <c:v>73</c:v>
                </c:pt>
                <c:pt idx="1318">
                  <c:v>74</c:v>
                </c:pt>
                <c:pt idx="1319">
                  <c:v>75</c:v>
                </c:pt>
                <c:pt idx="1320">
                  <c:v>75</c:v>
                </c:pt>
                <c:pt idx="1321">
                  <c:v>75</c:v>
                </c:pt>
                <c:pt idx="1322">
                  <c:v>75</c:v>
                </c:pt>
                <c:pt idx="1323">
                  <c:v>74</c:v>
                </c:pt>
                <c:pt idx="1324">
                  <c:v>73.7</c:v>
                </c:pt>
                <c:pt idx="1325">
                  <c:v>74.5</c:v>
                </c:pt>
                <c:pt idx="1326">
                  <c:v>74.5</c:v>
                </c:pt>
                <c:pt idx="1327">
                  <c:v>74.5</c:v>
                </c:pt>
                <c:pt idx="1328">
                  <c:v>74.5</c:v>
                </c:pt>
                <c:pt idx="1329">
                  <c:v>74.5</c:v>
                </c:pt>
                <c:pt idx="1330">
                  <c:v>75.3</c:v>
                </c:pt>
                <c:pt idx="1331">
                  <c:v>75.3</c:v>
                </c:pt>
                <c:pt idx="1332">
                  <c:v>75.3</c:v>
                </c:pt>
                <c:pt idx="1333">
                  <c:v>73</c:v>
                </c:pt>
                <c:pt idx="1334">
                  <c:v>71.8</c:v>
                </c:pt>
                <c:pt idx="1335">
                  <c:v>71.8</c:v>
                </c:pt>
                <c:pt idx="1336">
                  <c:v>71.8</c:v>
                </c:pt>
                <c:pt idx="1337">
                  <c:v>70.400000000000006</c:v>
                </c:pt>
                <c:pt idx="1338">
                  <c:v>70.400000000000006</c:v>
                </c:pt>
                <c:pt idx="1339">
                  <c:v>71.7</c:v>
                </c:pt>
                <c:pt idx="1340">
                  <c:v>69.599999999999994</c:v>
                </c:pt>
                <c:pt idx="1341">
                  <c:v>74</c:v>
                </c:pt>
                <c:pt idx="1342">
                  <c:v>75</c:v>
                </c:pt>
                <c:pt idx="1343">
                  <c:v>75.099999999999994</c:v>
                </c:pt>
                <c:pt idx="1344">
                  <c:v>75.8</c:v>
                </c:pt>
                <c:pt idx="1345">
                  <c:v>75.400000000000006</c:v>
                </c:pt>
                <c:pt idx="1346">
                  <c:v>75.400000000000006</c:v>
                </c:pt>
                <c:pt idx="1347">
                  <c:v>75</c:v>
                </c:pt>
                <c:pt idx="1348">
                  <c:v>75.400000000000006</c:v>
                </c:pt>
                <c:pt idx="1349">
                  <c:v>73.099999999999994</c:v>
                </c:pt>
                <c:pt idx="1350">
                  <c:v>72.599999999999994</c:v>
                </c:pt>
                <c:pt idx="1351">
                  <c:v>62</c:v>
                </c:pt>
                <c:pt idx="1352">
                  <c:v>55.8</c:v>
                </c:pt>
                <c:pt idx="1353">
                  <c:v>55.8</c:v>
                </c:pt>
                <c:pt idx="1354">
                  <c:v>53.1</c:v>
                </c:pt>
                <c:pt idx="1355">
                  <c:v>53.1</c:v>
                </c:pt>
                <c:pt idx="1356">
                  <c:v>52</c:v>
                </c:pt>
                <c:pt idx="1357">
                  <c:v>51.7</c:v>
                </c:pt>
                <c:pt idx="1358">
                  <c:v>51.7</c:v>
                </c:pt>
                <c:pt idx="1359">
                  <c:v>51.7</c:v>
                </c:pt>
                <c:pt idx="1360">
                  <c:v>52.1</c:v>
                </c:pt>
                <c:pt idx="1361">
                  <c:v>60</c:v>
                </c:pt>
                <c:pt idx="1362">
                  <c:v>63.4</c:v>
                </c:pt>
                <c:pt idx="1363">
                  <c:v>63.4</c:v>
                </c:pt>
                <c:pt idx="1364">
                  <c:v>73.3</c:v>
                </c:pt>
                <c:pt idx="1365">
                  <c:v>75</c:v>
                </c:pt>
                <c:pt idx="1366">
                  <c:v>76.3</c:v>
                </c:pt>
                <c:pt idx="1367">
                  <c:v>76.3</c:v>
                </c:pt>
                <c:pt idx="1368">
                  <c:v>76.3</c:v>
                </c:pt>
                <c:pt idx="1369">
                  <c:v>76.3</c:v>
                </c:pt>
                <c:pt idx="1370">
                  <c:v>76</c:v>
                </c:pt>
                <c:pt idx="1371">
                  <c:v>76.3</c:v>
                </c:pt>
                <c:pt idx="1372">
                  <c:v>76.3</c:v>
                </c:pt>
                <c:pt idx="1373">
                  <c:v>76.3</c:v>
                </c:pt>
                <c:pt idx="1374">
                  <c:v>72.3</c:v>
                </c:pt>
                <c:pt idx="1375">
                  <c:v>72</c:v>
                </c:pt>
                <c:pt idx="1376">
                  <c:v>72</c:v>
                </c:pt>
                <c:pt idx="1377">
                  <c:v>72</c:v>
                </c:pt>
                <c:pt idx="1378">
                  <c:v>72</c:v>
                </c:pt>
                <c:pt idx="1379">
                  <c:v>71</c:v>
                </c:pt>
                <c:pt idx="1380">
                  <c:v>70</c:v>
                </c:pt>
                <c:pt idx="1381">
                  <c:v>68</c:v>
                </c:pt>
                <c:pt idx="1382">
                  <c:v>68</c:v>
                </c:pt>
                <c:pt idx="1383">
                  <c:v>66.2</c:v>
                </c:pt>
                <c:pt idx="1384">
                  <c:v>66</c:v>
                </c:pt>
                <c:pt idx="1385">
                  <c:v>66.2</c:v>
                </c:pt>
                <c:pt idx="1386">
                  <c:v>67</c:v>
                </c:pt>
                <c:pt idx="1387">
                  <c:v>70</c:v>
                </c:pt>
                <c:pt idx="1388">
                  <c:v>73.2</c:v>
                </c:pt>
                <c:pt idx="1389">
                  <c:v>73</c:v>
                </c:pt>
                <c:pt idx="1390">
                  <c:v>73</c:v>
                </c:pt>
                <c:pt idx="1391">
                  <c:v>73</c:v>
                </c:pt>
                <c:pt idx="1392">
                  <c:v>73</c:v>
                </c:pt>
                <c:pt idx="1393">
                  <c:v>76.5</c:v>
                </c:pt>
                <c:pt idx="1394">
                  <c:v>77</c:v>
                </c:pt>
                <c:pt idx="1395">
                  <c:v>77.5</c:v>
                </c:pt>
                <c:pt idx="1396">
                  <c:v>77.5</c:v>
                </c:pt>
                <c:pt idx="1397">
                  <c:v>77.5</c:v>
                </c:pt>
                <c:pt idx="1398">
                  <c:v>77.5</c:v>
                </c:pt>
                <c:pt idx="1399">
                  <c:v>78</c:v>
                </c:pt>
                <c:pt idx="1400">
                  <c:v>77.5</c:v>
                </c:pt>
                <c:pt idx="1401">
                  <c:v>75.2</c:v>
                </c:pt>
                <c:pt idx="1402">
                  <c:v>75.2</c:v>
                </c:pt>
                <c:pt idx="1403">
                  <c:v>75.2</c:v>
                </c:pt>
                <c:pt idx="1404">
                  <c:v>73.2</c:v>
                </c:pt>
                <c:pt idx="1405">
                  <c:v>71.8</c:v>
                </c:pt>
                <c:pt idx="1406">
                  <c:v>75.099999999999994</c:v>
                </c:pt>
                <c:pt idx="1407">
                  <c:v>74</c:v>
                </c:pt>
                <c:pt idx="1408">
                  <c:v>73.7</c:v>
                </c:pt>
                <c:pt idx="1409">
                  <c:v>76.3</c:v>
                </c:pt>
                <c:pt idx="1410">
                  <c:v>73.900000000000006</c:v>
                </c:pt>
                <c:pt idx="1411">
                  <c:v>71.7</c:v>
                </c:pt>
                <c:pt idx="1412">
                  <c:v>72</c:v>
                </c:pt>
                <c:pt idx="1413">
                  <c:v>71.7</c:v>
                </c:pt>
                <c:pt idx="1414">
                  <c:v>70.599999999999994</c:v>
                </c:pt>
                <c:pt idx="1415">
                  <c:v>70.599999999999994</c:v>
                </c:pt>
                <c:pt idx="1416">
                  <c:v>70.599999999999994</c:v>
                </c:pt>
                <c:pt idx="1417" formatCode="General">
                  <c:v>71</c:v>
                </c:pt>
                <c:pt idx="1418" formatCode="General">
                  <c:v>70.599999999999994</c:v>
                </c:pt>
                <c:pt idx="1419" formatCode="General">
                  <c:v>67.599999999999994</c:v>
                </c:pt>
                <c:pt idx="1420" formatCode="General">
                  <c:v>67.599999999999994</c:v>
                </c:pt>
                <c:pt idx="1421" formatCode="General">
                  <c:v>70</c:v>
                </c:pt>
                <c:pt idx="1422" formatCode="General">
                  <c:v>70</c:v>
                </c:pt>
                <c:pt idx="1423" formatCode="General">
                  <c:v>68</c:v>
                </c:pt>
                <c:pt idx="1424" formatCode="General">
                  <c:v>68</c:v>
                </c:pt>
                <c:pt idx="1425" formatCode="General">
                  <c:v>68</c:v>
                </c:pt>
                <c:pt idx="1426" formatCode="General">
                  <c:v>68</c:v>
                </c:pt>
                <c:pt idx="1427" formatCode="General">
                  <c:v>68</c:v>
                </c:pt>
                <c:pt idx="1428" formatCode="General">
                  <c:v>67.099999999999994</c:v>
                </c:pt>
                <c:pt idx="1429" formatCode="General">
                  <c:v>67.099999999999994</c:v>
                </c:pt>
                <c:pt idx="1430" formatCode="General">
                  <c:v>69.900000000000006</c:v>
                </c:pt>
                <c:pt idx="1434" formatCode="General">
                  <c:v>72.8</c:v>
                </c:pt>
                <c:pt idx="1437" formatCode="General">
                  <c:v>62</c:v>
                </c:pt>
                <c:pt idx="1440" formatCode="General">
                  <c:v>62</c:v>
                </c:pt>
                <c:pt idx="1441" formatCode="General">
                  <c:v>62</c:v>
                </c:pt>
                <c:pt idx="1442" formatCode="General">
                  <c:v>62</c:v>
                </c:pt>
                <c:pt idx="1443" formatCode="General">
                  <c:v>62</c:v>
                </c:pt>
                <c:pt idx="1444" formatCode="General">
                  <c:v>62</c:v>
                </c:pt>
                <c:pt idx="1447" formatCode="General">
                  <c:v>62</c:v>
                </c:pt>
                <c:pt idx="1448" formatCode="General">
                  <c:v>62</c:v>
                </c:pt>
                <c:pt idx="1449" formatCode="General">
                  <c:v>62</c:v>
                </c:pt>
                <c:pt idx="1450" formatCode="General">
                  <c:v>58.5</c:v>
                </c:pt>
                <c:pt idx="1451" formatCode="General">
                  <c:v>58.5</c:v>
                </c:pt>
                <c:pt idx="1455" formatCode="General">
                  <c:v>66</c:v>
                </c:pt>
                <c:pt idx="1456" formatCode="General">
                  <c:v>67</c:v>
                </c:pt>
                <c:pt idx="1457" formatCode="General">
                  <c:v>68</c:v>
                </c:pt>
                <c:pt idx="1461" formatCode="General">
                  <c:v>68</c:v>
                </c:pt>
                <c:pt idx="1462" formatCode="General">
                  <c:v>68</c:v>
                </c:pt>
                <c:pt idx="1463" formatCode="General">
                  <c:v>68</c:v>
                </c:pt>
                <c:pt idx="1464" formatCode="General">
                  <c:v>66</c:v>
                </c:pt>
                <c:pt idx="1465" formatCode="General">
                  <c:v>66</c:v>
                </c:pt>
                <c:pt idx="1468" formatCode="General">
                  <c:v>65.5</c:v>
                </c:pt>
                <c:pt idx="1471" formatCode="General">
                  <c:v>68.8</c:v>
                </c:pt>
                <c:pt idx="1472" formatCode="General">
                  <c:v>68.8</c:v>
                </c:pt>
                <c:pt idx="1475" formatCode="General">
                  <c:v>67.3</c:v>
                </c:pt>
                <c:pt idx="1476" formatCode="General">
                  <c:v>67</c:v>
                </c:pt>
                <c:pt idx="1477" formatCode="General">
                  <c:v>67.3</c:v>
                </c:pt>
                <c:pt idx="1478" formatCode="General">
                  <c:v>67.5</c:v>
                </c:pt>
                <c:pt idx="1479" formatCode="General">
                  <c:v>68</c:v>
                </c:pt>
                <c:pt idx="1482" formatCode="General">
                  <c:v>68</c:v>
                </c:pt>
                <c:pt idx="1483" formatCode="General">
                  <c:v>68</c:v>
                </c:pt>
                <c:pt idx="1484" formatCode="General">
                  <c:v>69.5</c:v>
                </c:pt>
                <c:pt idx="1486" formatCode="General">
                  <c:v>69.400000000000006</c:v>
                </c:pt>
                <c:pt idx="1489" formatCode="General">
                  <c:v>69.400000000000006</c:v>
                </c:pt>
                <c:pt idx="1490" formatCode="General">
                  <c:v>69</c:v>
                </c:pt>
                <c:pt idx="1491" formatCode="General">
                  <c:v>64.400000000000006</c:v>
                </c:pt>
                <c:pt idx="1492" formatCode="General">
                  <c:v>65.900000000000006</c:v>
                </c:pt>
                <c:pt idx="1493" formatCode="General">
                  <c:v>65.900000000000006</c:v>
                </c:pt>
                <c:pt idx="1496" formatCode="General">
                  <c:v>65.900000000000006</c:v>
                </c:pt>
                <c:pt idx="1497" formatCode="General">
                  <c:v>65.900000000000006</c:v>
                </c:pt>
                <c:pt idx="1498" formatCode="General">
                  <c:v>64.099999999999994</c:v>
                </c:pt>
                <c:pt idx="1503" formatCode="General">
                  <c:v>69</c:v>
                </c:pt>
                <c:pt idx="1504" formatCode="General">
                  <c:v>69</c:v>
                </c:pt>
                <c:pt idx="1505" formatCode="General">
                  <c:v>69</c:v>
                </c:pt>
                <c:pt idx="1506" formatCode="General">
                  <c:v>71</c:v>
                </c:pt>
                <c:pt idx="1507" formatCode="General">
                  <c:v>71</c:v>
                </c:pt>
                <c:pt idx="1511" formatCode="General">
                  <c:v>71</c:v>
                </c:pt>
                <c:pt idx="1512" formatCode="General">
                  <c:v>70</c:v>
                </c:pt>
                <c:pt idx="1513" formatCode="General">
                  <c:v>69.599999999999994</c:v>
                </c:pt>
                <c:pt idx="1514" formatCode="General">
                  <c:v>68.099999999999994</c:v>
                </c:pt>
                <c:pt idx="1517" formatCode="General">
                  <c:v>67.099999999999994</c:v>
                </c:pt>
                <c:pt idx="1518" formatCode="General">
                  <c:v>68</c:v>
                </c:pt>
                <c:pt idx="1519" formatCode="General">
                  <c:v>68.099999999999994</c:v>
                </c:pt>
                <c:pt idx="1520" formatCode="General">
                  <c:v>69.599999999999994</c:v>
                </c:pt>
                <c:pt idx="1521" formatCode="General">
                  <c:v>69.599999999999994</c:v>
                </c:pt>
                <c:pt idx="1524" formatCode="General">
                  <c:v>67</c:v>
                </c:pt>
                <c:pt idx="1525" formatCode="General">
                  <c:v>67</c:v>
                </c:pt>
                <c:pt idx="1526" formatCode="General">
                  <c:v>67</c:v>
                </c:pt>
                <c:pt idx="1527" formatCode="General">
                  <c:v>67</c:v>
                </c:pt>
                <c:pt idx="1528" formatCode="General">
                  <c:v>66.599999999999994</c:v>
                </c:pt>
                <c:pt idx="1531" formatCode="General">
                  <c:v>66.599999999999994</c:v>
                </c:pt>
                <c:pt idx="1532" formatCode="General">
                  <c:v>64</c:v>
                </c:pt>
                <c:pt idx="1533" formatCode="General">
                  <c:v>62.7</c:v>
                </c:pt>
                <c:pt idx="1534" formatCode="General">
                  <c:v>64.599999999999994</c:v>
                </c:pt>
                <c:pt idx="1535" formatCode="General">
                  <c:v>65</c:v>
                </c:pt>
                <c:pt idx="1538" formatCode="General">
                  <c:v>65</c:v>
                </c:pt>
                <c:pt idx="1542" formatCode="General">
                  <c:v>65</c:v>
                </c:pt>
                <c:pt idx="1545" formatCode="General">
                  <c:v>65</c:v>
                </c:pt>
                <c:pt idx="1546" formatCode="General">
                  <c:v>65</c:v>
                </c:pt>
                <c:pt idx="1548" formatCode="General">
                  <c:v>65</c:v>
                </c:pt>
                <c:pt idx="1549" formatCode="General">
                  <c:v>66.2</c:v>
                </c:pt>
                <c:pt idx="1552" formatCode="General">
                  <c:v>66.5</c:v>
                </c:pt>
                <c:pt idx="1553" formatCode="General">
                  <c:v>67</c:v>
                </c:pt>
                <c:pt idx="1554" formatCode="General">
                  <c:v>66.5</c:v>
                </c:pt>
                <c:pt idx="1555" formatCode="General">
                  <c:v>66.5</c:v>
                </c:pt>
                <c:pt idx="1556" formatCode="General">
                  <c:v>66.5</c:v>
                </c:pt>
                <c:pt idx="1559" formatCode="General">
                  <c:v>60.1</c:v>
                </c:pt>
                <c:pt idx="1560" formatCode="General">
                  <c:v>60.1</c:v>
                </c:pt>
                <c:pt idx="1561" formatCode="General">
                  <c:v>60.1</c:v>
                </c:pt>
                <c:pt idx="1562" formatCode="General">
                  <c:v>60.1</c:v>
                </c:pt>
                <c:pt idx="1563" formatCode="General">
                  <c:v>60.1</c:v>
                </c:pt>
                <c:pt idx="1573" formatCode="General">
                  <c:v>59</c:v>
                </c:pt>
                <c:pt idx="1574" formatCode="General">
                  <c:v>59</c:v>
                </c:pt>
                <c:pt idx="1575" formatCode="General">
                  <c:v>59.2</c:v>
                </c:pt>
                <c:pt idx="1576" formatCode="General">
                  <c:v>59.2</c:v>
                </c:pt>
                <c:pt idx="1577" formatCode="General">
                  <c:v>56.160000000000011</c:v>
                </c:pt>
                <c:pt idx="1580" formatCode="General">
                  <c:v>56.160000000000011</c:v>
                </c:pt>
                <c:pt idx="1581" formatCode="General">
                  <c:v>51.5</c:v>
                </c:pt>
                <c:pt idx="1582" formatCode="General">
                  <c:v>59</c:v>
                </c:pt>
                <c:pt idx="1587" formatCode="General">
                  <c:v>59</c:v>
                </c:pt>
                <c:pt idx="1588" formatCode="General">
                  <c:v>58.7</c:v>
                </c:pt>
                <c:pt idx="1589" formatCode="General">
                  <c:v>58.3</c:v>
                </c:pt>
                <c:pt idx="1590" formatCode="General">
                  <c:v>55</c:v>
                </c:pt>
                <c:pt idx="1591" formatCode="General">
                  <c:v>53.1</c:v>
                </c:pt>
                <c:pt idx="1594" formatCode="General">
                  <c:v>56.1</c:v>
                </c:pt>
                <c:pt idx="1595" formatCode="General">
                  <c:v>56</c:v>
                </c:pt>
                <c:pt idx="1596" formatCode="General">
                  <c:v>56.1</c:v>
                </c:pt>
                <c:pt idx="1597" formatCode="General">
                  <c:v>57.4</c:v>
                </c:pt>
                <c:pt idx="1598" formatCode="General">
                  <c:v>59.8</c:v>
                </c:pt>
                <c:pt idx="1601" formatCode="General">
                  <c:v>59.9</c:v>
                </c:pt>
                <c:pt idx="1602" formatCode="General">
                  <c:v>60</c:v>
                </c:pt>
                <c:pt idx="1603" formatCode="General">
                  <c:v>59.3</c:v>
                </c:pt>
                <c:pt idx="1604" formatCode="General">
                  <c:v>60.4</c:v>
                </c:pt>
                <c:pt idx="1605" formatCode="General">
                  <c:v>60.6</c:v>
                </c:pt>
                <c:pt idx="1608" formatCode="General">
                  <c:v>63.2</c:v>
                </c:pt>
                <c:pt idx="1609" formatCode="General">
                  <c:v>66</c:v>
                </c:pt>
                <c:pt idx="1610" formatCode="General">
                  <c:v>67.2</c:v>
                </c:pt>
                <c:pt idx="1618" formatCode="General">
                  <c:v>66.7</c:v>
                </c:pt>
                <c:pt idx="1619" formatCode="General">
                  <c:v>58</c:v>
                </c:pt>
                <c:pt idx="1622" formatCode="General">
                  <c:v>56.3</c:v>
                </c:pt>
                <c:pt idx="1624" formatCode="General">
                  <c:v>58.5</c:v>
                </c:pt>
                <c:pt idx="1625" formatCode="General">
                  <c:v>59.1</c:v>
                </c:pt>
                <c:pt idx="1626" formatCode="General">
                  <c:v>59.9</c:v>
                </c:pt>
                <c:pt idx="1629" formatCode="General">
                  <c:v>59.9</c:v>
                </c:pt>
                <c:pt idx="1630" formatCode="General">
                  <c:v>63</c:v>
                </c:pt>
                <c:pt idx="1631" formatCode="General">
                  <c:v>64.7</c:v>
                </c:pt>
                <c:pt idx="1633" formatCode="General">
                  <c:v>68.900000000000006</c:v>
                </c:pt>
                <c:pt idx="1636" formatCode="General">
                  <c:v>68.900000000000006</c:v>
                </c:pt>
                <c:pt idx="1637" formatCode="General">
                  <c:v>68.900000000000006</c:v>
                </c:pt>
                <c:pt idx="1638" formatCode="General">
                  <c:v>68.900000000000006</c:v>
                </c:pt>
                <c:pt idx="1639" formatCode="General">
                  <c:v>68.900000000000006</c:v>
                </c:pt>
                <c:pt idx="1640" formatCode="General">
                  <c:v>67</c:v>
                </c:pt>
                <c:pt idx="1643" formatCode="General">
                  <c:v>65.7</c:v>
                </c:pt>
                <c:pt idx="1644" formatCode="General">
                  <c:v>63</c:v>
                </c:pt>
                <c:pt idx="1645" formatCode="General">
                  <c:v>61</c:v>
                </c:pt>
                <c:pt idx="1646" formatCode="General">
                  <c:v>61</c:v>
                </c:pt>
                <c:pt idx="1647" formatCode="General">
                  <c:v>61</c:v>
                </c:pt>
                <c:pt idx="1650" formatCode="General">
                  <c:v>60.2</c:v>
                </c:pt>
                <c:pt idx="1651" formatCode="General">
                  <c:v>60</c:v>
                </c:pt>
                <c:pt idx="1652" formatCode="General">
                  <c:v>60.2</c:v>
                </c:pt>
                <c:pt idx="1653" formatCode="General">
                  <c:v>57.6</c:v>
                </c:pt>
                <c:pt idx="1654" formatCode="General">
                  <c:v>57.6</c:v>
                </c:pt>
                <c:pt idx="1657" formatCode="General">
                  <c:v>66.5</c:v>
                </c:pt>
                <c:pt idx="1658" formatCode="General">
                  <c:v>66</c:v>
                </c:pt>
                <c:pt idx="1659" formatCode="General">
                  <c:v>65</c:v>
                </c:pt>
                <c:pt idx="1660" formatCode="General">
                  <c:v>65</c:v>
                </c:pt>
                <c:pt idx="1661" formatCode="General">
                  <c:v>65</c:v>
                </c:pt>
                <c:pt idx="1668" formatCode="General">
                  <c:v>65.7</c:v>
                </c:pt>
                <c:pt idx="1671" formatCode="General">
                  <c:v>65.7</c:v>
                </c:pt>
                <c:pt idx="1672" formatCode="General">
                  <c:v>66</c:v>
                </c:pt>
                <c:pt idx="1673" formatCode="General">
                  <c:v>66</c:v>
                </c:pt>
                <c:pt idx="1674" formatCode="General">
                  <c:v>65.7</c:v>
                </c:pt>
                <c:pt idx="1675" formatCode="General">
                  <c:v>67</c:v>
                </c:pt>
                <c:pt idx="1678" formatCode="General">
                  <c:v>67</c:v>
                </c:pt>
                <c:pt idx="1679" formatCode="General">
                  <c:v>67</c:v>
                </c:pt>
                <c:pt idx="1680" formatCode="General">
                  <c:v>67</c:v>
                </c:pt>
                <c:pt idx="1681" formatCode="General">
                  <c:v>67</c:v>
                </c:pt>
                <c:pt idx="1682" formatCode="General">
                  <c:v>67</c:v>
                </c:pt>
                <c:pt idx="1685" formatCode="General">
                  <c:v>68.2</c:v>
                </c:pt>
                <c:pt idx="1686" formatCode="General">
                  <c:v>68</c:v>
                </c:pt>
                <c:pt idx="1687" formatCode="General">
                  <c:v>68</c:v>
                </c:pt>
                <c:pt idx="1688" formatCode="General">
                  <c:v>68.2</c:v>
                </c:pt>
                <c:pt idx="1692" formatCode="General">
                  <c:v>65.400000000000006</c:v>
                </c:pt>
                <c:pt idx="1693" formatCode="General">
                  <c:v>66</c:v>
                </c:pt>
                <c:pt idx="1694" formatCode="General">
                  <c:v>66.7</c:v>
                </c:pt>
                <c:pt idx="1695" formatCode="General">
                  <c:v>68</c:v>
                </c:pt>
                <c:pt idx="1696" formatCode="General">
                  <c:v>68</c:v>
                </c:pt>
                <c:pt idx="1699" formatCode="General">
                  <c:v>66</c:v>
                </c:pt>
                <c:pt idx="1700" formatCode="General">
                  <c:v>66</c:v>
                </c:pt>
                <c:pt idx="1701" formatCode="General">
                  <c:v>65.599999999999994</c:v>
                </c:pt>
                <c:pt idx="1702" formatCode="General">
                  <c:v>65.599999999999994</c:v>
                </c:pt>
                <c:pt idx="1706" formatCode="General">
                  <c:v>65.599999999999994</c:v>
                </c:pt>
                <c:pt idx="1707" formatCode="General">
                  <c:v>70.11</c:v>
                </c:pt>
                <c:pt idx="1708" formatCode="General">
                  <c:v>70.11</c:v>
                </c:pt>
                <c:pt idx="1709" formatCode="General">
                  <c:v>70.11</c:v>
                </c:pt>
                <c:pt idx="1710" formatCode="General">
                  <c:v>70.11</c:v>
                </c:pt>
                <c:pt idx="1713" formatCode="General">
                  <c:v>70.11</c:v>
                </c:pt>
                <c:pt idx="1714" formatCode="General">
                  <c:v>72</c:v>
                </c:pt>
              </c:numCache>
            </c:numRef>
          </c:val>
        </c:ser>
        <c:ser>
          <c:idx val="2"/>
          <c:order val="2"/>
          <c:tx>
            <c:strRef>
              <c:f>开工率!$D$1</c:f>
              <c:strCache>
                <c:ptCount val="1"/>
                <c:pt idx="0">
                  <c:v>江浙织机负荷率</c:v>
                </c:pt>
              </c:strCache>
            </c:strRef>
          </c:tx>
          <c:spPr>
            <a:ln w="22225"/>
          </c:spPr>
          <c:marker>
            <c:symbol val="none"/>
          </c:marker>
          <c:cat>
            <c:numRef>
              <c:f>开工率!$A$2:$A$2500</c:f>
              <c:numCache>
                <c:formatCode>yyyy\-mm\-dd;@</c:formatCode>
                <c:ptCount val="2499"/>
                <c:pt idx="0">
                  <c:v>39819</c:v>
                </c:pt>
                <c:pt idx="1">
                  <c:v>39820</c:v>
                </c:pt>
                <c:pt idx="2">
                  <c:v>39821</c:v>
                </c:pt>
                <c:pt idx="3">
                  <c:v>39822</c:v>
                </c:pt>
                <c:pt idx="4">
                  <c:v>39825</c:v>
                </c:pt>
                <c:pt idx="5">
                  <c:v>39826</c:v>
                </c:pt>
                <c:pt idx="6">
                  <c:v>39827</c:v>
                </c:pt>
                <c:pt idx="7">
                  <c:v>39828</c:v>
                </c:pt>
                <c:pt idx="8">
                  <c:v>39829</c:v>
                </c:pt>
                <c:pt idx="9">
                  <c:v>39832</c:v>
                </c:pt>
                <c:pt idx="10">
                  <c:v>39833</c:v>
                </c:pt>
                <c:pt idx="11">
                  <c:v>39846</c:v>
                </c:pt>
                <c:pt idx="12">
                  <c:v>39847</c:v>
                </c:pt>
                <c:pt idx="13">
                  <c:v>39848</c:v>
                </c:pt>
                <c:pt idx="14">
                  <c:v>39849</c:v>
                </c:pt>
                <c:pt idx="15">
                  <c:v>39850</c:v>
                </c:pt>
                <c:pt idx="16">
                  <c:v>39853</c:v>
                </c:pt>
                <c:pt idx="17">
                  <c:v>39854</c:v>
                </c:pt>
                <c:pt idx="18">
                  <c:v>39855</c:v>
                </c:pt>
                <c:pt idx="19">
                  <c:v>39856</c:v>
                </c:pt>
                <c:pt idx="20">
                  <c:v>39857</c:v>
                </c:pt>
                <c:pt idx="21">
                  <c:v>39860</c:v>
                </c:pt>
                <c:pt idx="22">
                  <c:v>39861</c:v>
                </c:pt>
                <c:pt idx="23">
                  <c:v>39862</c:v>
                </c:pt>
                <c:pt idx="24">
                  <c:v>39863</c:v>
                </c:pt>
                <c:pt idx="25">
                  <c:v>39864</c:v>
                </c:pt>
                <c:pt idx="26">
                  <c:v>39867</c:v>
                </c:pt>
                <c:pt idx="27">
                  <c:v>39868</c:v>
                </c:pt>
                <c:pt idx="28">
                  <c:v>39869</c:v>
                </c:pt>
                <c:pt idx="29">
                  <c:v>39870</c:v>
                </c:pt>
                <c:pt idx="30">
                  <c:v>39871</c:v>
                </c:pt>
                <c:pt idx="31">
                  <c:v>39874</c:v>
                </c:pt>
                <c:pt idx="32">
                  <c:v>39875</c:v>
                </c:pt>
                <c:pt idx="33">
                  <c:v>39876</c:v>
                </c:pt>
                <c:pt idx="34">
                  <c:v>39877</c:v>
                </c:pt>
                <c:pt idx="35">
                  <c:v>39878</c:v>
                </c:pt>
                <c:pt idx="36">
                  <c:v>39881</c:v>
                </c:pt>
                <c:pt idx="37">
                  <c:v>39882</c:v>
                </c:pt>
                <c:pt idx="38">
                  <c:v>39883</c:v>
                </c:pt>
                <c:pt idx="39">
                  <c:v>39884</c:v>
                </c:pt>
                <c:pt idx="40">
                  <c:v>39885</c:v>
                </c:pt>
                <c:pt idx="41">
                  <c:v>39888</c:v>
                </c:pt>
                <c:pt idx="42">
                  <c:v>39889</c:v>
                </c:pt>
                <c:pt idx="43">
                  <c:v>39890</c:v>
                </c:pt>
                <c:pt idx="44">
                  <c:v>39891</c:v>
                </c:pt>
                <c:pt idx="45">
                  <c:v>39892</c:v>
                </c:pt>
                <c:pt idx="46">
                  <c:v>39895</c:v>
                </c:pt>
                <c:pt idx="47">
                  <c:v>39896</c:v>
                </c:pt>
                <c:pt idx="48">
                  <c:v>39897</c:v>
                </c:pt>
                <c:pt idx="49">
                  <c:v>39898</c:v>
                </c:pt>
                <c:pt idx="50">
                  <c:v>39899</c:v>
                </c:pt>
                <c:pt idx="51">
                  <c:v>39902</c:v>
                </c:pt>
                <c:pt idx="52">
                  <c:v>39903</c:v>
                </c:pt>
                <c:pt idx="53">
                  <c:v>39904</c:v>
                </c:pt>
                <c:pt idx="54">
                  <c:v>39905</c:v>
                </c:pt>
                <c:pt idx="55">
                  <c:v>39906</c:v>
                </c:pt>
                <c:pt idx="56">
                  <c:v>39910</c:v>
                </c:pt>
                <c:pt idx="57">
                  <c:v>39911</c:v>
                </c:pt>
                <c:pt idx="58">
                  <c:v>39912</c:v>
                </c:pt>
                <c:pt idx="59">
                  <c:v>39913</c:v>
                </c:pt>
                <c:pt idx="60">
                  <c:v>39916</c:v>
                </c:pt>
                <c:pt idx="61">
                  <c:v>39917</c:v>
                </c:pt>
                <c:pt idx="62">
                  <c:v>39918</c:v>
                </c:pt>
                <c:pt idx="63">
                  <c:v>39919</c:v>
                </c:pt>
                <c:pt idx="64">
                  <c:v>39920</c:v>
                </c:pt>
                <c:pt idx="65">
                  <c:v>39923</c:v>
                </c:pt>
                <c:pt idx="66">
                  <c:v>39924</c:v>
                </c:pt>
                <c:pt idx="67">
                  <c:v>39925</c:v>
                </c:pt>
                <c:pt idx="68">
                  <c:v>39926</c:v>
                </c:pt>
                <c:pt idx="69">
                  <c:v>39927</c:v>
                </c:pt>
                <c:pt idx="70">
                  <c:v>39930</c:v>
                </c:pt>
                <c:pt idx="71">
                  <c:v>39931</c:v>
                </c:pt>
                <c:pt idx="72">
                  <c:v>39932</c:v>
                </c:pt>
                <c:pt idx="73">
                  <c:v>39933</c:v>
                </c:pt>
                <c:pt idx="74">
                  <c:v>39937</c:v>
                </c:pt>
                <c:pt idx="75">
                  <c:v>39938</c:v>
                </c:pt>
                <c:pt idx="76">
                  <c:v>39939</c:v>
                </c:pt>
                <c:pt idx="77">
                  <c:v>39940</c:v>
                </c:pt>
                <c:pt idx="78">
                  <c:v>39941</c:v>
                </c:pt>
                <c:pt idx="79">
                  <c:v>39944</c:v>
                </c:pt>
                <c:pt idx="80">
                  <c:v>39945</c:v>
                </c:pt>
                <c:pt idx="81">
                  <c:v>39946</c:v>
                </c:pt>
                <c:pt idx="82">
                  <c:v>39947</c:v>
                </c:pt>
                <c:pt idx="83">
                  <c:v>39948</c:v>
                </c:pt>
                <c:pt idx="84">
                  <c:v>39951</c:v>
                </c:pt>
                <c:pt idx="85">
                  <c:v>39952</c:v>
                </c:pt>
                <c:pt idx="86">
                  <c:v>39953</c:v>
                </c:pt>
                <c:pt idx="87">
                  <c:v>39954</c:v>
                </c:pt>
                <c:pt idx="88">
                  <c:v>39955</c:v>
                </c:pt>
                <c:pt idx="89">
                  <c:v>39958</c:v>
                </c:pt>
                <c:pt idx="90">
                  <c:v>39959</c:v>
                </c:pt>
                <c:pt idx="91">
                  <c:v>39960</c:v>
                </c:pt>
                <c:pt idx="92">
                  <c:v>39965</c:v>
                </c:pt>
                <c:pt idx="93">
                  <c:v>39966</c:v>
                </c:pt>
                <c:pt idx="94">
                  <c:v>39967</c:v>
                </c:pt>
                <c:pt idx="95">
                  <c:v>39968</c:v>
                </c:pt>
                <c:pt idx="96">
                  <c:v>39969</c:v>
                </c:pt>
                <c:pt idx="97">
                  <c:v>39972</c:v>
                </c:pt>
                <c:pt idx="98">
                  <c:v>39973</c:v>
                </c:pt>
                <c:pt idx="99">
                  <c:v>39974</c:v>
                </c:pt>
                <c:pt idx="100">
                  <c:v>39975</c:v>
                </c:pt>
                <c:pt idx="101">
                  <c:v>39976</c:v>
                </c:pt>
                <c:pt idx="102">
                  <c:v>39979</c:v>
                </c:pt>
                <c:pt idx="103">
                  <c:v>39980</c:v>
                </c:pt>
                <c:pt idx="104">
                  <c:v>39981</c:v>
                </c:pt>
                <c:pt idx="105">
                  <c:v>39982</c:v>
                </c:pt>
                <c:pt idx="106">
                  <c:v>39983</c:v>
                </c:pt>
                <c:pt idx="107">
                  <c:v>39986</c:v>
                </c:pt>
                <c:pt idx="108">
                  <c:v>39987</c:v>
                </c:pt>
                <c:pt idx="109">
                  <c:v>39988</c:v>
                </c:pt>
                <c:pt idx="110">
                  <c:v>39989</c:v>
                </c:pt>
                <c:pt idx="111">
                  <c:v>39990</c:v>
                </c:pt>
                <c:pt idx="112">
                  <c:v>39993</c:v>
                </c:pt>
                <c:pt idx="113">
                  <c:v>39994</c:v>
                </c:pt>
                <c:pt idx="114">
                  <c:v>39995</c:v>
                </c:pt>
                <c:pt idx="115">
                  <c:v>39996</c:v>
                </c:pt>
                <c:pt idx="116">
                  <c:v>39997</c:v>
                </c:pt>
                <c:pt idx="117">
                  <c:v>40000</c:v>
                </c:pt>
                <c:pt idx="118">
                  <c:v>40001</c:v>
                </c:pt>
                <c:pt idx="119">
                  <c:v>40002</c:v>
                </c:pt>
                <c:pt idx="120">
                  <c:v>40003</c:v>
                </c:pt>
                <c:pt idx="121">
                  <c:v>40004</c:v>
                </c:pt>
                <c:pt idx="122">
                  <c:v>40007</c:v>
                </c:pt>
                <c:pt idx="123">
                  <c:v>40008</c:v>
                </c:pt>
                <c:pt idx="124">
                  <c:v>40009</c:v>
                </c:pt>
                <c:pt idx="125">
                  <c:v>40010</c:v>
                </c:pt>
                <c:pt idx="126">
                  <c:v>40011</c:v>
                </c:pt>
                <c:pt idx="127">
                  <c:v>40014</c:v>
                </c:pt>
                <c:pt idx="128">
                  <c:v>40015</c:v>
                </c:pt>
                <c:pt idx="129">
                  <c:v>40016</c:v>
                </c:pt>
                <c:pt idx="130">
                  <c:v>40017</c:v>
                </c:pt>
                <c:pt idx="131">
                  <c:v>40018</c:v>
                </c:pt>
                <c:pt idx="132">
                  <c:v>40021</c:v>
                </c:pt>
                <c:pt idx="133">
                  <c:v>40022</c:v>
                </c:pt>
                <c:pt idx="134">
                  <c:v>40023</c:v>
                </c:pt>
                <c:pt idx="135">
                  <c:v>40024</c:v>
                </c:pt>
                <c:pt idx="136">
                  <c:v>40025</c:v>
                </c:pt>
                <c:pt idx="137">
                  <c:v>40028</c:v>
                </c:pt>
                <c:pt idx="138">
                  <c:v>40029</c:v>
                </c:pt>
                <c:pt idx="139">
                  <c:v>40030</c:v>
                </c:pt>
                <c:pt idx="140">
                  <c:v>40031</c:v>
                </c:pt>
                <c:pt idx="141">
                  <c:v>40032</c:v>
                </c:pt>
                <c:pt idx="142">
                  <c:v>40035</c:v>
                </c:pt>
                <c:pt idx="143">
                  <c:v>40036</c:v>
                </c:pt>
                <c:pt idx="144">
                  <c:v>40037</c:v>
                </c:pt>
                <c:pt idx="145">
                  <c:v>40038</c:v>
                </c:pt>
                <c:pt idx="146">
                  <c:v>40039</c:v>
                </c:pt>
                <c:pt idx="147">
                  <c:v>40042</c:v>
                </c:pt>
                <c:pt idx="148">
                  <c:v>40043</c:v>
                </c:pt>
                <c:pt idx="149">
                  <c:v>40044</c:v>
                </c:pt>
                <c:pt idx="150">
                  <c:v>40045</c:v>
                </c:pt>
                <c:pt idx="151">
                  <c:v>40046</c:v>
                </c:pt>
                <c:pt idx="152">
                  <c:v>40049</c:v>
                </c:pt>
                <c:pt idx="153">
                  <c:v>40050</c:v>
                </c:pt>
                <c:pt idx="154">
                  <c:v>40051</c:v>
                </c:pt>
                <c:pt idx="155">
                  <c:v>40052</c:v>
                </c:pt>
                <c:pt idx="156">
                  <c:v>40053</c:v>
                </c:pt>
                <c:pt idx="157">
                  <c:v>40056</c:v>
                </c:pt>
                <c:pt idx="158">
                  <c:v>40057</c:v>
                </c:pt>
                <c:pt idx="159">
                  <c:v>40058</c:v>
                </c:pt>
                <c:pt idx="160">
                  <c:v>40059</c:v>
                </c:pt>
                <c:pt idx="161">
                  <c:v>40060</c:v>
                </c:pt>
                <c:pt idx="162">
                  <c:v>40063</c:v>
                </c:pt>
                <c:pt idx="163">
                  <c:v>40064</c:v>
                </c:pt>
                <c:pt idx="164">
                  <c:v>40065</c:v>
                </c:pt>
                <c:pt idx="165">
                  <c:v>40066</c:v>
                </c:pt>
                <c:pt idx="166">
                  <c:v>40067</c:v>
                </c:pt>
                <c:pt idx="167">
                  <c:v>40070</c:v>
                </c:pt>
                <c:pt idx="168">
                  <c:v>40071</c:v>
                </c:pt>
                <c:pt idx="169">
                  <c:v>40072</c:v>
                </c:pt>
                <c:pt idx="170">
                  <c:v>40073</c:v>
                </c:pt>
                <c:pt idx="171">
                  <c:v>40074</c:v>
                </c:pt>
                <c:pt idx="172">
                  <c:v>40077</c:v>
                </c:pt>
                <c:pt idx="173">
                  <c:v>40078</c:v>
                </c:pt>
                <c:pt idx="174">
                  <c:v>40079</c:v>
                </c:pt>
                <c:pt idx="175">
                  <c:v>40080</c:v>
                </c:pt>
                <c:pt idx="176">
                  <c:v>40081</c:v>
                </c:pt>
                <c:pt idx="177">
                  <c:v>40084</c:v>
                </c:pt>
                <c:pt idx="178">
                  <c:v>40085</c:v>
                </c:pt>
                <c:pt idx="179">
                  <c:v>40086</c:v>
                </c:pt>
                <c:pt idx="180">
                  <c:v>40095</c:v>
                </c:pt>
                <c:pt idx="181">
                  <c:v>40098</c:v>
                </c:pt>
                <c:pt idx="182">
                  <c:v>40099</c:v>
                </c:pt>
                <c:pt idx="183">
                  <c:v>40100</c:v>
                </c:pt>
                <c:pt idx="184">
                  <c:v>40101</c:v>
                </c:pt>
                <c:pt idx="185">
                  <c:v>40102</c:v>
                </c:pt>
                <c:pt idx="186">
                  <c:v>40105</c:v>
                </c:pt>
                <c:pt idx="187">
                  <c:v>40106</c:v>
                </c:pt>
                <c:pt idx="188">
                  <c:v>40107</c:v>
                </c:pt>
                <c:pt idx="189">
                  <c:v>40108</c:v>
                </c:pt>
                <c:pt idx="190">
                  <c:v>40109</c:v>
                </c:pt>
                <c:pt idx="191">
                  <c:v>40112</c:v>
                </c:pt>
                <c:pt idx="192">
                  <c:v>40113</c:v>
                </c:pt>
                <c:pt idx="193">
                  <c:v>40114</c:v>
                </c:pt>
                <c:pt idx="194">
                  <c:v>40115</c:v>
                </c:pt>
                <c:pt idx="195">
                  <c:v>40116</c:v>
                </c:pt>
                <c:pt idx="196">
                  <c:v>40119</c:v>
                </c:pt>
                <c:pt idx="197">
                  <c:v>40120</c:v>
                </c:pt>
                <c:pt idx="198">
                  <c:v>40121</c:v>
                </c:pt>
                <c:pt idx="199">
                  <c:v>40122</c:v>
                </c:pt>
                <c:pt idx="200">
                  <c:v>40123</c:v>
                </c:pt>
                <c:pt idx="201">
                  <c:v>40126</c:v>
                </c:pt>
                <c:pt idx="202">
                  <c:v>40127</c:v>
                </c:pt>
                <c:pt idx="203">
                  <c:v>40128</c:v>
                </c:pt>
                <c:pt idx="204">
                  <c:v>40129</c:v>
                </c:pt>
                <c:pt idx="205">
                  <c:v>40130</c:v>
                </c:pt>
                <c:pt idx="206">
                  <c:v>40133</c:v>
                </c:pt>
                <c:pt idx="207">
                  <c:v>40134</c:v>
                </c:pt>
                <c:pt idx="208">
                  <c:v>40135</c:v>
                </c:pt>
                <c:pt idx="209">
                  <c:v>40136</c:v>
                </c:pt>
                <c:pt idx="210">
                  <c:v>40137</c:v>
                </c:pt>
                <c:pt idx="211">
                  <c:v>40140</c:v>
                </c:pt>
                <c:pt idx="212">
                  <c:v>40141</c:v>
                </c:pt>
                <c:pt idx="213">
                  <c:v>40142</c:v>
                </c:pt>
                <c:pt idx="214">
                  <c:v>40143</c:v>
                </c:pt>
                <c:pt idx="215">
                  <c:v>40144</c:v>
                </c:pt>
                <c:pt idx="216">
                  <c:v>40147</c:v>
                </c:pt>
                <c:pt idx="217">
                  <c:v>40148</c:v>
                </c:pt>
                <c:pt idx="218">
                  <c:v>40149</c:v>
                </c:pt>
                <c:pt idx="219">
                  <c:v>40150</c:v>
                </c:pt>
                <c:pt idx="220">
                  <c:v>40151</c:v>
                </c:pt>
                <c:pt idx="221">
                  <c:v>40154</c:v>
                </c:pt>
                <c:pt idx="222">
                  <c:v>40155</c:v>
                </c:pt>
                <c:pt idx="223">
                  <c:v>40156</c:v>
                </c:pt>
                <c:pt idx="224">
                  <c:v>40157</c:v>
                </c:pt>
                <c:pt idx="225">
                  <c:v>40158</c:v>
                </c:pt>
                <c:pt idx="226">
                  <c:v>40161</c:v>
                </c:pt>
                <c:pt idx="227">
                  <c:v>40162</c:v>
                </c:pt>
                <c:pt idx="228">
                  <c:v>40163</c:v>
                </c:pt>
                <c:pt idx="229">
                  <c:v>40164</c:v>
                </c:pt>
                <c:pt idx="230">
                  <c:v>40165</c:v>
                </c:pt>
                <c:pt idx="231">
                  <c:v>40168</c:v>
                </c:pt>
                <c:pt idx="232">
                  <c:v>40169</c:v>
                </c:pt>
                <c:pt idx="233">
                  <c:v>40170</c:v>
                </c:pt>
                <c:pt idx="234">
                  <c:v>40171</c:v>
                </c:pt>
                <c:pt idx="235">
                  <c:v>40172</c:v>
                </c:pt>
                <c:pt idx="236">
                  <c:v>40175</c:v>
                </c:pt>
                <c:pt idx="237">
                  <c:v>40176</c:v>
                </c:pt>
                <c:pt idx="238">
                  <c:v>40177</c:v>
                </c:pt>
                <c:pt idx="239">
                  <c:v>40182</c:v>
                </c:pt>
                <c:pt idx="240">
                  <c:v>40183</c:v>
                </c:pt>
                <c:pt idx="241">
                  <c:v>40184</c:v>
                </c:pt>
                <c:pt idx="242">
                  <c:v>40185</c:v>
                </c:pt>
                <c:pt idx="243">
                  <c:v>40186</c:v>
                </c:pt>
                <c:pt idx="244">
                  <c:v>40189</c:v>
                </c:pt>
                <c:pt idx="245">
                  <c:v>40190</c:v>
                </c:pt>
                <c:pt idx="246">
                  <c:v>40191</c:v>
                </c:pt>
                <c:pt idx="247">
                  <c:v>40192</c:v>
                </c:pt>
                <c:pt idx="248">
                  <c:v>40193</c:v>
                </c:pt>
                <c:pt idx="249">
                  <c:v>40196</c:v>
                </c:pt>
                <c:pt idx="250">
                  <c:v>40197</c:v>
                </c:pt>
                <c:pt idx="251">
                  <c:v>40198</c:v>
                </c:pt>
                <c:pt idx="252">
                  <c:v>40199</c:v>
                </c:pt>
                <c:pt idx="253">
                  <c:v>40200</c:v>
                </c:pt>
                <c:pt idx="254">
                  <c:v>40203</c:v>
                </c:pt>
                <c:pt idx="255">
                  <c:v>40204</c:v>
                </c:pt>
                <c:pt idx="256">
                  <c:v>40205</c:v>
                </c:pt>
                <c:pt idx="257">
                  <c:v>40206</c:v>
                </c:pt>
                <c:pt idx="258">
                  <c:v>40207</c:v>
                </c:pt>
                <c:pt idx="259">
                  <c:v>40210</c:v>
                </c:pt>
                <c:pt idx="260">
                  <c:v>40211</c:v>
                </c:pt>
                <c:pt idx="261">
                  <c:v>40212</c:v>
                </c:pt>
                <c:pt idx="262">
                  <c:v>40213</c:v>
                </c:pt>
                <c:pt idx="263">
                  <c:v>40214</c:v>
                </c:pt>
                <c:pt idx="264">
                  <c:v>40231</c:v>
                </c:pt>
                <c:pt idx="265">
                  <c:v>40232</c:v>
                </c:pt>
                <c:pt idx="266">
                  <c:v>40233</c:v>
                </c:pt>
                <c:pt idx="267">
                  <c:v>40234</c:v>
                </c:pt>
                <c:pt idx="268">
                  <c:v>40235</c:v>
                </c:pt>
                <c:pt idx="269">
                  <c:v>40238</c:v>
                </c:pt>
                <c:pt idx="270">
                  <c:v>40239</c:v>
                </c:pt>
                <c:pt idx="271">
                  <c:v>40240</c:v>
                </c:pt>
                <c:pt idx="272">
                  <c:v>40242</c:v>
                </c:pt>
                <c:pt idx="273">
                  <c:v>40245</c:v>
                </c:pt>
                <c:pt idx="274">
                  <c:v>40246</c:v>
                </c:pt>
                <c:pt idx="275">
                  <c:v>40248</c:v>
                </c:pt>
                <c:pt idx="276">
                  <c:v>40249</c:v>
                </c:pt>
                <c:pt idx="277">
                  <c:v>40252</c:v>
                </c:pt>
                <c:pt idx="278">
                  <c:v>40253</c:v>
                </c:pt>
                <c:pt idx="279">
                  <c:v>40254</c:v>
                </c:pt>
                <c:pt idx="280">
                  <c:v>40255</c:v>
                </c:pt>
                <c:pt idx="281">
                  <c:v>40256</c:v>
                </c:pt>
                <c:pt idx="282">
                  <c:v>40259</c:v>
                </c:pt>
                <c:pt idx="283">
                  <c:v>40260</c:v>
                </c:pt>
                <c:pt idx="284">
                  <c:v>40261</c:v>
                </c:pt>
                <c:pt idx="285">
                  <c:v>40262</c:v>
                </c:pt>
                <c:pt idx="286">
                  <c:v>40263</c:v>
                </c:pt>
                <c:pt idx="287">
                  <c:v>40266</c:v>
                </c:pt>
                <c:pt idx="288">
                  <c:v>40267</c:v>
                </c:pt>
                <c:pt idx="289">
                  <c:v>40268</c:v>
                </c:pt>
                <c:pt idx="290">
                  <c:v>40269</c:v>
                </c:pt>
                <c:pt idx="291">
                  <c:v>40270</c:v>
                </c:pt>
                <c:pt idx="292">
                  <c:v>40274</c:v>
                </c:pt>
                <c:pt idx="293">
                  <c:v>40275</c:v>
                </c:pt>
                <c:pt idx="294">
                  <c:v>40277</c:v>
                </c:pt>
                <c:pt idx="295">
                  <c:v>40280</c:v>
                </c:pt>
                <c:pt idx="296">
                  <c:v>40281</c:v>
                </c:pt>
                <c:pt idx="297">
                  <c:v>40282</c:v>
                </c:pt>
                <c:pt idx="298">
                  <c:v>40283</c:v>
                </c:pt>
                <c:pt idx="299">
                  <c:v>40284</c:v>
                </c:pt>
                <c:pt idx="300">
                  <c:v>40287</c:v>
                </c:pt>
                <c:pt idx="301">
                  <c:v>40288</c:v>
                </c:pt>
                <c:pt idx="302">
                  <c:v>40289</c:v>
                </c:pt>
                <c:pt idx="303">
                  <c:v>40290</c:v>
                </c:pt>
                <c:pt idx="304">
                  <c:v>40291</c:v>
                </c:pt>
                <c:pt idx="305">
                  <c:v>40294</c:v>
                </c:pt>
                <c:pt idx="306">
                  <c:v>40295</c:v>
                </c:pt>
                <c:pt idx="307">
                  <c:v>40296</c:v>
                </c:pt>
                <c:pt idx="308">
                  <c:v>40297</c:v>
                </c:pt>
                <c:pt idx="309">
                  <c:v>40298</c:v>
                </c:pt>
                <c:pt idx="310">
                  <c:v>40302</c:v>
                </c:pt>
                <c:pt idx="311">
                  <c:v>40303</c:v>
                </c:pt>
                <c:pt idx="312">
                  <c:v>40304</c:v>
                </c:pt>
                <c:pt idx="313">
                  <c:v>40305</c:v>
                </c:pt>
                <c:pt idx="314">
                  <c:v>40308</c:v>
                </c:pt>
                <c:pt idx="315">
                  <c:v>40309</c:v>
                </c:pt>
                <c:pt idx="316">
                  <c:v>40310</c:v>
                </c:pt>
                <c:pt idx="317">
                  <c:v>40311</c:v>
                </c:pt>
                <c:pt idx="318">
                  <c:v>40312</c:v>
                </c:pt>
                <c:pt idx="319">
                  <c:v>40315</c:v>
                </c:pt>
                <c:pt idx="320">
                  <c:v>40316</c:v>
                </c:pt>
                <c:pt idx="321">
                  <c:v>40317</c:v>
                </c:pt>
                <c:pt idx="322">
                  <c:v>40318</c:v>
                </c:pt>
                <c:pt idx="323">
                  <c:v>40319</c:v>
                </c:pt>
                <c:pt idx="324">
                  <c:v>40322</c:v>
                </c:pt>
                <c:pt idx="325">
                  <c:v>40323</c:v>
                </c:pt>
                <c:pt idx="326">
                  <c:v>40324</c:v>
                </c:pt>
                <c:pt idx="327">
                  <c:v>40325</c:v>
                </c:pt>
                <c:pt idx="328">
                  <c:v>40326</c:v>
                </c:pt>
                <c:pt idx="329">
                  <c:v>40329</c:v>
                </c:pt>
                <c:pt idx="330">
                  <c:v>40330</c:v>
                </c:pt>
                <c:pt idx="331">
                  <c:v>40331</c:v>
                </c:pt>
                <c:pt idx="332">
                  <c:v>40333</c:v>
                </c:pt>
                <c:pt idx="333">
                  <c:v>40336</c:v>
                </c:pt>
                <c:pt idx="334">
                  <c:v>40337</c:v>
                </c:pt>
                <c:pt idx="335">
                  <c:v>40338</c:v>
                </c:pt>
                <c:pt idx="336">
                  <c:v>40340</c:v>
                </c:pt>
                <c:pt idx="337">
                  <c:v>40346</c:v>
                </c:pt>
                <c:pt idx="338">
                  <c:v>40347</c:v>
                </c:pt>
                <c:pt idx="339">
                  <c:v>40350</c:v>
                </c:pt>
                <c:pt idx="340">
                  <c:v>40351</c:v>
                </c:pt>
                <c:pt idx="341">
                  <c:v>40352</c:v>
                </c:pt>
                <c:pt idx="342">
                  <c:v>40353</c:v>
                </c:pt>
                <c:pt idx="343">
                  <c:v>40354</c:v>
                </c:pt>
                <c:pt idx="344">
                  <c:v>40357</c:v>
                </c:pt>
                <c:pt idx="345">
                  <c:v>40358</c:v>
                </c:pt>
                <c:pt idx="346">
                  <c:v>40359</c:v>
                </c:pt>
                <c:pt idx="347">
                  <c:v>40360</c:v>
                </c:pt>
                <c:pt idx="348">
                  <c:v>40361</c:v>
                </c:pt>
                <c:pt idx="349">
                  <c:v>40364</c:v>
                </c:pt>
                <c:pt idx="350">
                  <c:v>40365</c:v>
                </c:pt>
                <c:pt idx="351">
                  <c:v>40366</c:v>
                </c:pt>
                <c:pt idx="352">
                  <c:v>40367</c:v>
                </c:pt>
                <c:pt idx="353">
                  <c:v>40368</c:v>
                </c:pt>
                <c:pt idx="354">
                  <c:v>40371</c:v>
                </c:pt>
                <c:pt idx="355">
                  <c:v>40372</c:v>
                </c:pt>
                <c:pt idx="356">
                  <c:v>40373</c:v>
                </c:pt>
                <c:pt idx="357">
                  <c:v>40374</c:v>
                </c:pt>
                <c:pt idx="358">
                  <c:v>40375</c:v>
                </c:pt>
                <c:pt idx="359">
                  <c:v>40378</c:v>
                </c:pt>
                <c:pt idx="360">
                  <c:v>40379</c:v>
                </c:pt>
                <c:pt idx="361">
                  <c:v>40380</c:v>
                </c:pt>
                <c:pt idx="362">
                  <c:v>40381</c:v>
                </c:pt>
                <c:pt idx="363">
                  <c:v>40382</c:v>
                </c:pt>
                <c:pt idx="364">
                  <c:v>40385</c:v>
                </c:pt>
                <c:pt idx="365">
                  <c:v>40386</c:v>
                </c:pt>
                <c:pt idx="366">
                  <c:v>40388</c:v>
                </c:pt>
                <c:pt idx="367">
                  <c:v>40389</c:v>
                </c:pt>
                <c:pt idx="368">
                  <c:v>40392</c:v>
                </c:pt>
                <c:pt idx="369">
                  <c:v>40393</c:v>
                </c:pt>
                <c:pt idx="370">
                  <c:v>40394</c:v>
                </c:pt>
                <c:pt idx="371">
                  <c:v>40395</c:v>
                </c:pt>
                <c:pt idx="372">
                  <c:v>40396</c:v>
                </c:pt>
                <c:pt idx="373">
                  <c:v>40399</c:v>
                </c:pt>
                <c:pt idx="374">
                  <c:v>40400</c:v>
                </c:pt>
                <c:pt idx="375">
                  <c:v>40401</c:v>
                </c:pt>
                <c:pt idx="376">
                  <c:v>40402</c:v>
                </c:pt>
                <c:pt idx="377">
                  <c:v>40403</c:v>
                </c:pt>
                <c:pt idx="378">
                  <c:v>40406</c:v>
                </c:pt>
                <c:pt idx="379">
                  <c:v>40407</c:v>
                </c:pt>
                <c:pt idx="380">
                  <c:v>40408</c:v>
                </c:pt>
                <c:pt idx="381">
                  <c:v>40409</c:v>
                </c:pt>
                <c:pt idx="382">
                  <c:v>40410</c:v>
                </c:pt>
                <c:pt idx="383">
                  <c:v>40413</c:v>
                </c:pt>
                <c:pt idx="384">
                  <c:v>40414</c:v>
                </c:pt>
                <c:pt idx="385">
                  <c:v>40415</c:v>
                </c:pt>
                <c:pt idx="386">
                  <c:v>40417</c:v>
                </c:pt>
                <c:pt idx="387">
                  <c:v>40420</c:v>
                </c:pt>
                <c:pt idx="388">
                  <c:v>40421</c:v>
                </c:pt>
                <c:pt idx="389">
                  <c:v>40422</c:v>
                </c:pt>
                <c:pt idx="390">
                  <c:v>40423</c:v>
                </c:pt>
                <c:pt idx="391">
                  <c:v>40424</c:v>
                </c:pt>
                <c:pt idx="392">
                  <c:v>40427</c:v>
                </c:pt>
                <c:pt idx="393">
                  <c:v>40428</c:v>
                </c:pt>
                <c:pt idx="394">
                  <c:v>40429</c:v>
                </c:pt>
                <c:pt idx="395">
                  <c:v>40430</c:v>
                </c:pt>
                <c:pt idx="396">
                  <c:v>40431</c:v>
                </c:pt>
                <c:pt idx="397">
                  <c:v>40434</c:v>
                </c:pt>
                <c:pt idx="398">
                  <c:v>40435</c:v>
                </c:pt>
                <c:pt idx="399">
                  <c:v>40436</c:v>
                </c:pt>
                <c:pt idx="400">
                  <c:v>40437</c:v>
                </c:pt>
                <c:pt idx="401">
                  <c:v>40438</c:v>
                </c:pt>
                <c:pt idx="402">
                  <c:v>40441</c:v>
                </c:pt>
                <c:pt idx="403">
                  <c:v>40442</c:v>
                </c:pt>
                <c:pt idx="404">
                  <c:v>40448</c:v>
                </c:pt>
                <c:pt idx="405">
                  <c:v>40449</c:v>
                </c:pt>
                <c:pt idx="406">
                  <c:v>40450</c:v>
                </c:pt>
                <c:pt idx="407">
                  <c:v>40451</c:v>
                </c:pt>
                <c:pt idx="408">
                  <c:v>40459</c:v>
                </c:pt>
                <c:pt idx="409">
                  <c:v>40462</c:v>
                </c:pt>
                <c:pt idx="410">
                  <c:v>40463</c:v>
                </c:pt>
                <c:pt idx="411">
                  <c:v>40464</c:v>
                </c:pt>
                <c:pt idx="412">
                  <c:v>40465</c:v>
                </c:pt>
                <c:pt idx="413">
                  <c:v>40466</c:v>
                </c:pt>
                <c:pt idx="414">
                  <c:v>40469</c:v>
                </c:pt>
                <c:pt idx="415">
                  <c:v>40470</c:v>
                </c:pt>
                <c:pt idx="416">
                  <c:v>40471</c:v>
                </c:pt>
                <c:pt idx="417">
                  <c:v>40472</c:v>
                </c:pt>
                <c:pt idx="418">
                  <c:v>40473</c:v>
                </c:pt>
                <c:pt idx="419">
                  <c:v>40476</c:v>
                </c:pt>
                <c:pt idx="420">
                  <c:v>40477</c:v>
                </c:pt>
                <c:pt idx="421">
                  <c:v>40478</c:v>
                </c:pt>
                <c:pt idx="422">
                  <c:v>40479</c:v>
                </c:pt>
                <c:pt idx="423">
                  <c:v>40480</c:v>
                </c:pt>
                <c:pt idx="424">
                  <c:v>40483</c:v>
                </c:pt>
                <c:pt idx="425">
                  <c:v>40484</c:v>
                </c:pt>
                <c:pt idx="426">
                  <c:v>40485</c:v>
                </c:pt>
                <c:pt idx="427">
                  <c:v>40486</c:v>
                </c:pt>
                <c:pt idx="428">
                  <c:v>40487</c:v>
                </c:pt>
                <c:pt idx="429">
                  <c:v>40490</c:v>
                </c:pt>
                <c:pt idx="430">
                  <c:v>40491</c:v>
                </c:pt>
                <c:pt idx="431">
                  <c:v>40492</c:v>
                </c:pt>
                <c:pt idx="432">
                  <c:v>40493</c:v>
                </c:pt>
                <c:pt idx="433">
                  <c:v>40494</c:v>
                </c:pt>
                <c:pt idx="434">
                  <c:v>40497</c:v>
                </c:pt>
                <c:pt idx="435">
                  <c:v>40498</c:v>
                </c:pt>
                <c:pt idx="436">
                  <c:v>40499</c:v>
                </c:pt>
                <c:pt idx="437">
                  <c:v>40500</c:v>
                </c:pt>
                <c:pt idx="438">
                  <c:v>40501</c:v>
                </c:pt>
                <c:pt idx="439">
                  <c:v>40504</c:v>
                </c:pt>
                <c:pt idx="440">
                  <c:v>40505</c:v>
                </c:pt>
                <c:pt idx="441">
                  <c:v>40506</c:v>
                </c:pt>
                <c:pt idx="442">
                  <c:v>40507</c:v>
                </c:pt>
                <c:pt idx="443">
                  <c:v>40508</c:v>
                </c:pt>
                <c:pt idx="444">
                  <c:v>40511</c:v>
                </c:pt>
                <c:pt idx="445">
                  <c:v>40512</c:v>
                </c:pt>
                <c:pt idx="446">
                  <c:v>40513</c:v>
                </c:pt>
                <c:pt idx="447">
                  <c:v>40514</c:v>
                </c:pt>
                <c:pt idx="448">
                  <c:v>40515</c:v>
                </c:pt>
                <c:pt idx="449">
                  <c:v>40518</c:v>
                </c:pt>
                <c:pt idx="450">
                  <c:v>40519</c:v>
                </c:pt>
                <c:pt idx="451">
                  <c:v>40520</c:v>
                </c:pt>
                <c:pt idx="452">
                  <c:v>40521</c:v>
                </c:pt>
                <c:pt idx="453">
                  <c:v>40522</c:v>
                </c:pt>
                <c:pt idx="454">
                  <c:v>40525</c:v>
                </c:pt>
                <c:pt idx="455">
                  <c:v>40526</c:v>
                </c:pt>
                <c:pt idx="456">
                  <c:v>40527</c:v>
                </c:pt>
                <c:pt idx="457">
                  <c:v>40528</c:v>
                </c:pt>
                <c:pt idx="458">
                  <c:v>40529</c:v>
                </c:pt>
                <c:pt idx="459">
                  <c:v>40532</c:v>
                </c:pt>
                <c:pt idx="460">
                  <c:v>40533</c:v>
                </c:pt>
                <c:pt idx="461">
                  <c:v>40534</c:v>
                </c:pt>
                <c:pt idx="462">
                  <c:v>40535</c:v>
                </c:pt>
                <c:pt idx="463">
                  <c:v>40536</c:v>
                </c:pt>
                <c:pt idx="464">
                  <c:v>40539</c:v>
                </c:pt>
                <c:pt idx="465">
                  <c:v>40540</c:v>
                </c:pt>
                <c:pt idx="466">
                  <c:v>40541</c:v>
                </c:pt>
                <c:pt idx="467">
                  <c:v>40542</c:v>
                </c:pt>
                <c:pt idx="468">
                  <c:v>40543</c:v>
                </c:pt>
                <c:pt idx="469">
                  <c:v>40547</c:v>
                </c:pt>
                <c:pt idx="470">
                  <c:v>40548</c:v>
                </c:pt>
                <c:pt idx="471">
                  <c:v>40549</c:v>
                </c:pt>
                <c:pt idx="472">
                  <c:v>40550</c:v>
                </c:pt>
                <c:pt idx="473">
                  <c:v>40553</c:v>
                </c:pt>
                <c:pt idx="474">
                  <c:v>40554</c:v>
                </c:pt>
                <c:pt idx="475">
                  <c:v>40555</c:v>
                </c:pt>
                <c:pt idx="476">
                  <c:v>40556</c:v>
                </c:pt>
                <c:pt idx="477">
                  <c:v>40557</c:v>
                </c:pt>
                <c:pt idx="478">
                  <c:v>40560</c:v>
                </c:pt>
                <c:pt idx="479">
                  <c:v>40561</c:v>
                </c:pt>
                <c:pt idx="480">
                  <c:v>40562</c:v>
                </c:pt>
                <c:pt idx="481">
                  <c:v>40563</c:v>
                </c:pt>
                <c:pt idx="482">
                  <c:v>40564</c:v>
                </c:pt>
                <c:pt idx="483">
                  <c:v>40567</c:v>
                </c:pt>
                <c:pt idx="484">
                  <c:v>40568</c:v>
                </c:pt>
                <c:pt idx="485">
                  <c:v>40569</c:v>
                </c:pt>
                <c:pt idx="486">
                  <c:v>40570</c:v>
                </c:pt>
                <c:pt idx="487">
                  <c:v>40583</c:v>
                </c:pt>
                <c:pt idx="488">
                  <c:v>40584</c:v>
                </c:pt>
                <c:pt idx="489">
                  <c:v>40585</c:v>
                </c:pt>
                <c:pt idx="490">
                  <c:v>40588</c:v>
                </c:pt>
                <c:pt idx="491">
                  <c:v>40589</c:v>
                </c:pt>
                <c:pt idx="492">
                  <c:v>40590</c:v>
                </c:pt>
                <c:pt idx="493">
                  <c:v>40591</c:v>
                </c:pt>
                <c:pt idx="494">
                  <c:v>40592</c:v>
                </c:pt>
                <c:pt idx="495">
                  <c:v>40595</c:v>
                </c:pt>
                <c:pt idx="496">
                  <c:v>40596</c:v>
                </c:pt>
                <c:pt idx="497">
                  <c:v>40597</c:v>
                </c:pt>
                <c:pt idx="498">
                  <c:v>40598</c:v>
                </c:pt>
                <c:pt idx="499">
                  <c:v>40602</c:v>
                </c:pt>
                <c:pt idx="500">
                  <c:v>40603</c:v>
                </c:pt>
                <c:pt idx="501">
                  <c:v>40604</c:v>
                </c:pt>
                <c:pt idx="502">
                  <c:v>40605</c:v>
                </c:pt>
                <c:pt idx="503">
                  <c:v>40606</c:v>
                </c:pt>
                <c:pt idx="504">
                  <c:v>40609</c:v>
                </c:pt>
                <c:pt idx="505">
                  <c:v>40610</c:v>
                </c:pt>
                <c:pt idx="506">
                  <c:v>40611</c:v>
                </c:pt>
                <c:pt idx="507">
                  <c:v>40612</c:v>
                </c:pt>
                <c:pt idx="508">
                  <c:v>40613</c:v>
                </c:pt>
                <c:pt idx="509">
                  <c:v>40616</c:v>
                </c:pt>
                <c:pt idx="510">
                  <c:v>40617</c:v>
                </c:pt>
                <c:pt idx="511">
                  <c:v>40618</c:v>
                </c:pt>
                <c:pt idx="512">
                  <c:v>40619</c:v>
                </c:pt>
                <c:pt idx="513">
                  <c:v>40621</c:v>
                </c:pt>
                <c:pt idx="514">
                  <c:v>40623</c:v>
                </c:pt>
                <c:pt idx="515">
                  <c:v>40624</c:v>
                </c:pt>
                <c:pt idx="516">
                  <c:v>40625</c:v>
                </c:pt>
                <c:pt idx="517">
                  <c:v>40626</c:v>
                </c:pt>
                <c:pt idx="518">
                  <c:v>40627</c:v>
                </c:pt>
                <c:pt idx="519">
                  <c:v>40630</c:v>
                </c:pt>
                <c:pt idx="520">
                  <c:v>40631</c:v>
                </c:pt>
                <c:pt idx="521">
                  <c:v>40632</c:v>
                </c:pt>
                <c:pt idx="522">
                  <c:v>40634</c:v>
                </c:pt>
                <c:pt idx="523">
                  <c:v>40639</c:v>
                </c:pt>
                <c:pt idx="524">
                  <c:v>40640</c:v>
                </c:pt>
                <c:pt idx="525">
                  <c:v>40641</c:v>
                </c:pt>
                <c:pt idx="526">
                  <c:v>40644</c:v>
                </c:pt>
                <c:pt idx="527">
                  <c:v>40645</c:v>
                </c:pt>
                <c:pt idx="528">
                  <c:v>40646</c:v>
                </c:pt>
                <c:pt idx="529">
                  <c:v>40647</c:v>
                </c:pt>
                <c:pt idx="530">
                  <c:v>40648</c:v>
                </c:pt>
                <c:pt idx="531">
                  <c:v>40651</c:v>
                </c:pt>
                <c:pt idx="532">
                  <c:v>40652</c:v>
                </c:pt>
                <c:pt idx="533">
                  <c:v>40653</c:v>
                </c:pt>
                <c:pt idx="534">
                  <c:v>40654</c:v>
                </c:pt>
                <c:pt idx="535">
                  <c:v>40655</c:v>
                </c:pt>
                <c:pt idx="536">
                  <c:v>40658</c:v>
                </c:pt>
                <c:pt idx="537">
                  <c:v>40659</c:v>
                </c:pt>
                <c:pt idx="538">
                  <c:v>40660</c:v>
                </c:pt>
                <c:pt idx="539">
                  <c:v>40662</c:v>
                </c:pt>
                <c:pt idx="540">
                  <c:v>40666</c:v>
                </c:pt>
                <c:pt idx="541">
                  <c:v>40667</c:v>
                </c:pt>
                <c:pt idx="542">
                  <c:v>40668</c:v>
                </c:pt>
                <c:pt idx="543">
                  <c:v>40669</c:v>
                </c:pt>
                <c:pt idx="544">
                  <c:v>40672</c:v>
                </c:pt>
                <c:pt idx="545">
                  <c:v>40673</c:v>
                </c:pt>
                <c:pt idx="546">
                  <c:v>40674</c:v>
                </c:pt>
                <c:pt idx="547">
                  <c:v>40676</c:v>
                </c:pt>
                <c:pt idx="548">
                  <c:v>40679</c:v>
                </c:pt>
                <c:pt idx="549">
                  <c:v>40680</c:v>
                </c:pt>
                <c:pt idx="550">
                  <c:v>40681</c:v>
                </c:pt>
                <c:pt idx="551">
                  <c:v>40683</c:v>
                </c:pt>
                <c:pt idx="552">
                  <c:v>40686</c:v>
                </c:pt>
                <c:pt idx="553">
                  <c:v>40687</c:v>
                </c:pt>
                <c:pt idx="554">
                  <c:v>40688</c:v>
                </c:pt>
                <c:pt idx="555">
                  <c:v>40689</c:v>
                </c:pt>
                <c:pt idx="556">
                  <c:v>40690</c:v>
                </c:pt>
                <c:pt idx="557">
                  <c:v>40693</c:v>
                </c:pt>
                <c:pt idx="558">
                  <c:v>40694</c:v>
                </c:pt>
                <c:pt idx="559">
                  <c:v>40695</c:v>
                </c:pt>
                <c:pt idx="560">
                  <c:v>40696</c:v>
                </c:pt>
                <c:pt idx="561">
                  <c:v>40697</c:v>
                </c:pt>
                <c:pt idx="562">
                  <c:v>40701</c:v>
                </c:pt>
                <c:pt idx="563">
                  <c:v>40702</c:v>
                </c:pt>
                <c:pt idx="564">
                  <c:v>40703</c:v>
                </c:pt>
                <c:pt idx="565">
                  <c:v>40704</c:v>
                </c:pt>
                <c:pt idx="566">
                  <c:v>40707</c:v>
                </c:pt>
                <c:pt idx="567">
                  <c:v>40708</c:v>
                </c:pt>
                <c:pt idx="568">
                  <c:v>40709</c:v>
                </c:pt>
                <c:pt idx="569">
                  <c:v>40710</c:v>
                </c:pt>
                <c:pt idx="570">
                  <c:v>40711</c:v>
                </c:pt>
                <c:pt idx="571">
                  <c:v>40714</c:v>
                </c:pt>
                <c:pt idx="572">
                  <c:v>40715</c:v>
                </c:pt>
                <c:pt idx="573">
                  <c:v>40717</c:v>
                </c:pt>
                <c:pt idx="574">
                  <c:v>40718</c:v>
                </c:pt>
                <c:pt idx="575">
                  <c:v>40721</c:v>
                </c:pt>
                <c:pt idx="576">
                  <c:v>40722</c:v>
                </c:pt>
                <c:pt idx="577">
                  <c:v>40723</c:v>
                </c:pt>
                <c:pt idx="578">
                  <c:v>40724</c:v>
                </c:pt>
                <c:pt idx="579">
                  <c:v>40725</c:v>
                </c:pt>
                <c:pt idx="580">
                  <c:v>40728</c:v>
                </c:pt>
                <c:pt idx="581">
                  <c:v>40729</c:v>
                </c:pt>
                <c:pt idx="582">
                  <c:v>40730</c:v>
                </c:pt>
                <c:pt idx="583">
                  <c:v>40732</c:v>
                </c:pt>
                <c:pt idx="584">
                  <c:v>40735</c:v>
                </c:pt>
                <c:pt idx="585">
                  <c:v>40736</c:v>
                </c:pt>
                <c:pt idx="586">
                  <c:v>40737</c:v>
                </c:pt>
                <c:pt idx="587">
                  <c:v>40738</c:v>
                </c:pt>
                <c:pt idx="588">
                  <c:v>40739</c:v>
                </c:pt>
                <c:pt idx="589">
                  <c:v>40742</c:v>
                </c:pt>
                <c:pt idx="590">
                  <c:v>40743</c:v>
                </c:pt>
                <c:pt idx="591">
                  <c:v>40744</c:v>
                </c:pt>
                <c:pt idx="592">
                  <c:v>40745</c:v>
                </c:pt>
                <c:pt idx="593">
                  <c:v>40746</c:v>
                </c:pt>
                <c:pt idx="594">
                  <c:v>40749</c:v>
                </c:pt>
                <c:pt idx="595">
                  <c:v>40750</c:v>
                </c:pt>
                <c:pt idx="596">
                  <c:v>40751</c:v>
                </c:pt>
                <c:pt idx="597">
                  <c:v>40752</c:v>
                </c:pt>
                <c:pt idx="598">
                  <c:v>40753</c:v>
                </c:pt>
                <c:pt idx="599">
                  <c:v>40756</c:v>
                </c:pt>
                <c:pt idx="600">
                  <c:v>40757</c:v>
                </c:pt>
                <c:pt idx="601">
                  <c:v>40758</c:v>
                </c:pt>
                <c:pt idx="602">
                  <c:v>40759</c:v>
                </c:pt>
                <c:pt idx="603">
                  <c:v>40760</c:v>
                </c:pt>
                <c:pt idx="604">
                  <c:v>40763</c:v>
                </c:pt>
                <c:pt idx="605">
                  <c:v>40764</c:v>
                </c:pt>
                <c:pt idx="606">
                  <c:v>40765</c:v>
                </c:pt>
                <c:pt idx="607">
                  <c:v>40766</c:v>
                </c:pt>
                <c:pt idx="608">
                  <c:v>40767</c:v>
                </c:pt>
                <c:pt idx="609">
                  <c:v>40770</c:v>
                </c:pt>
                <c:pt idx="610">
                  <c:v>40771</c:v>
                </c:pt>
                <c:pt idx="611">
                  <c:v>40772</c:v>
                </c:pt>
                <c:pt idx="612">
                  <c:v>40773</c:v>
                </c:pt>
                <c:pt idx="613">
                  <c:v>40774</c:v>
                </c:pt>
                <c:pt idx="614">
                  <c:v>40777</c:v>
                </c:pt>
                <c:pt idx="615">
                  <c:v>40778</c:v>
                </c:pt>
                <c:pt idx="616">
                  <c:v>40779</c:v>
                </c:pt>
                <c:pt idx="617">
                  <c:v>40780</c:v>
                </c:pt>
                <c:pt idx="618">
                  <c:v>40781</c:v>
                </c:pt>
                <c:pt idx="619">
                  <c:v>40784</c:v>
                </c:pt>
                <c:pt idx="620">
                  <c:v>40785</c:v>
                </c:pt>
                <c:pt idx="621">
                  <c:v>40786</c:v>
                </c:pt>
                <c:pt idx="622">
                  <c:v>40787</c:v>
                </c:pt>
                <c:pt idx="623">
                  <c:v>40788</c:v>
                </c:pt>
                <c:pt idx="624">
                  <c:v>40791</c:v>
                </c:pt>
                <c:pt idx="625">
                  <c:v>40792</c:v>
                </c:pt>
                <c:pt idx="626">
                  <c:v>40793</c:v>
                </c:pt>
                <c:pt idx="627">
                  <c:v>40794</c:v>
                </c:pt>
                <c:pt idx="628">
                  <c:v>40795</c:v>
                </c:pt>
                <c:pt idx="629">
                  <c:v>40799</c:v>
                </c:pt>
                <c:pt idx="630">
                  <c:v>40800</c:v>
                </c:pt>
                <c:pt idx="631">
                  <c:v>40801</c:v>
                </c:pt>
                <c:pt idx="632">
                  <c:v>40805</c:v>
                </c:pt>
                <c:pt idx="633">
                  <c:v>40806</c:v>
                </c:pt>
                <c:pt idx="634">
                  <c:v>40807</c:v>
                </c:pt>
                <c:pt idx="635">
                  <c:v>40808</c:v>
                </c:pt>
                <c:pt idx="636">
                  <c:v>40809</c:v>
                </c:pt>
                <c:pt idx="637">
                  <c:v>40812</c:v>
                </c:pt>
                <c:pt idx="638">
                  <c:v>40813</c:v>
                </c:pt>
                <c:pt idx="639">
                  <c:v>40814</c:v>
                </c:pt>
                <c:pt idx="640">
                  <c:v>40815</c:v>
                </c:pt>
                <c:pt idx="641">
                  <c:v>40816</c:v>
                </c:pt>
                <c:pt idx="642">
                  <c:v>40826</c:v>
                </c:pt>
                <c:pt idx="643">
                  <c:v>40827</c:v>
                </c:pt>
                <c:pt idx="644">
                  <c:v>40828</c:v>
                </c:pt>
                <c:pt idx="645">
                  <c:v>40829</c:v>
                </c:pt>
                <c:pt idx="646">
                  <c:v>40830</c:v>
                </c:pt>
                <c:pt idx="647">
                  <c:v>40833</c:v>
                </c:pt>
                <c:pt idx="648">
                  <c:v>40834</c:v>
                </c:pt>
                <c:pt idx="649">
                  <c:v>40835</c:v>
                </c:pt>
                <c:pt idx="650">
                  <c:v>40836</c:v>
                </c:pt>
                <c:pt idx="651">
                  <c:v>40837</c:v>
                </c:pt>
                <c:pt idx="652">
                  <c:v>40840</c:v>
                </c:pt>
                <c:pt idx="653">
                  <c:v>40841</c:v>
                </c:pt>
                <c:pt idx="654">
                  <c:v>40842</c:v>
                </c:pt>
                <c:pt idx="655">
                  <c:v>40843</c:v>
                </c:pt>
                <c:pt idx="656">
                  <c:v>40844</c:v>
                </c:pt>
                <c:pt idx="657">
                  <c:v>40847</c:v>
                </c:pt>
                <c:pt idx="658">
                  <c:v>40848</c:v>
                </c:pt>
                <c:pt idx="659">
                  <c:v>40849</c:v>
                </c:pt>
                <c:pt idx="660">
                  <c:v>40850</c:v>
                </c:pt>
                <c:pt idx="661">
                  <c:v>40851</c:v>
                </c:pt>
                <c:pt idx="662">
                  <c:v>40854</c:v>
                </c:pt>
                <c:pt idx="663">
                  <c:v>40855</c:v>
                </c:pt>
                <c:pt idx="664">
                  <c:v>40856</c:v>
                </c:pt>
                <c:pt idx="665">
                  <c:v>40857</c:v>
                </c:pt>
                <c:pt idx="666">
                  <c:v>40858</c:v>
                </c:pt>
                <c:pt idx="667">
                  <c:v>40861</c:v>
                </c:pt>
                <c:pt idx="668">
                  <c:v>40862</c:v>
                </c:pt>
                <c:pt idx="669">
                  <c:v>40863</c:v>
                </c:pt>
                <c:pt idx="670">
                  <c:v>40864</c:v>
                </c:pt>
                <c:pt idx="671">
                  <c:v>40865</c:v>
                </c:pt>
                <c:pt idx="672">
                  <c:v>40868</c:v>
                </c:pt>
                <c:pt idx="673">
                  <c:v>40869</c:v>
                </c:pt>
                <c:pt idx="674">
                  <c:v>40870</c:v>
                </c:pt>
                <c:pt idx="675">
                  <c:v>40871</c:v>
                </c:pt>
                <c:pt idx="676">
                  <c:v>40872</c:v>
                </c:pt>
                <c:pt idx="677">
                  <c:v>40875</c:v>
                </c:pt>
                <c:pt idx="678">
                  <c:v>40876</c:v>
                </c:pt>
                <c:pt idx="679">
                  <c:v>40877</c:v>
                </c:pt>
                <c:pt idx="680">
                  <c:v>40878</c:v>
                </c:pt>
                <c:pt idx="681">
                  <c:v>40879</c:v>
                </c:pt>
                <c:pt idx="682">
                  <c:v>40882</c:v>
                </c:pt>
                <c:pt idx="683">
                  <c:v>40883</c:v>
                </c:pt>
                <c:pt idx="684">
                  <c:v>40885</c:v>
                </c:pt>
                <c:pt idx="685">
                  <c:v>40886</c:v>
                </c:pt>
                <c:pt idx="686">
                  <c:v>40889</c:v>
                </c:pt>
                <c:pt idx="687">
                  <c:v>40891</c:v>
                </c:pt>
                <c:pt idx="688">
                  <c:v>40892</c:v>
                </c:pt>
                <c:pt idx="689">
                  <c:v>40893</c:v>
                </c:pt>
                <c:pt idx="690">
                  <c:v>40896</c:v>
                </c:pt>
                <c:pt idx="691">
                  <c:v>40897</c:v>
                </c:pt>
                <c:pt idx="692">
                  <c:v>40898</c:v>
                </c:pt>
                <c:pt idx="693">
                  <c:v>40900</c:v>
                </c:pt>
                <c:pt idx="694">
                  <c:v>40903</c:v>
                </c:pt>
                <c:pt idx="695">
                  <c:v>40904</c:v>
                </c:pt>
                <c:pt idx="696">
                  <c:v>40905</c:v>
                </c:pt>
                <c:pt idx="697">
                  <c:v>40906</c:v>
                </c:pt>
                <c:pt idx="698">
                  <c:v>40907</c:v>
                </c:pt>
                <c:pt idx="699">
                  <c:v>40912</c:v>
                </c:pt>
                <c:pt idx="700">
                  <c:v>40913</c:v>
                </c:pt>
                <c:pt idx="701">
                  <c:v>40914</c:v>
                </c:pt>
                <c:pt idx="702">
                  <c:v>40917</c:v>
                </c:pt>
                <c:pt idx="703">
                  <c:v>40918</c:v>
                </c:pt>
                <c:pt idx="704">
                  <c:v>40919</c:v>
                </c:pt>
                <c:pt idx="705">
                  <c:v>40920</c:v>
                </c:pt>
                <c:pt idx="706">
                  <c:v>40921</c:v>
                </c:pt>
                <c:pt idx="707">
                  <c:v>40924</c:v>
                </c:pt>
                <c:pt idx="708">
                  <c:v>40925</c:v>
                </c:pt>
                <c:pt idx="709">
                  <c:v>40926</c:v>
                </c:pt>
                <c:pt idx="710">
                  <c:v>40938</c:v>
                </c:pt>
                <c:pt idx="711">
                  <c:v>40939</c:v>
                </c:pt>
                <c:pt idx="712">
                  <c:v>40940</c:v>
                </c:pt>
                <c:pt idx="713">
                  <c:v>40941</c:v>
                </c:pt>
                <c:pt idx="714">
                  <c:v>40942</c:v>
                </c:pt>
                <c:pt idx="715">
                  <c:v>40945</c:v>
                </c:pt>
                <c:pt idx="716">
                  <c:v>40946</c:v>
                </c:pt>
                <c:pt idx="717">
                  <c:v>40947</c:v>
                </c:pt>
                <c:pt idx="718">
                  <c:v>40948</c:v>
                </c:pt>
                <c:pt idx="719">
                  <c:v>40949</c:v>
                </c:pt>
                <c:pt idx="720">
                  <c:v>40952</c:v>
                </c:pt>
                <c:pt idx="721">
                  <c:v>40954</c:v>
                </c:pt>
                <c:pt idx="722">
                  <c:v>40955</c:v>
                </c:pt>
                <c:pt idx="723">
                  <c:v>40959</c:v>
                </c:pt>
                <c:pt idx="724">
                  <c:v>40960</c:v>
                </c:pt>
                <c:pt idx="725">
                  <c:v>40961</c:v>
                </c:pt>
                <c:pt idx="726">
                  <c:v>40962</c:v>
                </c:pt>
                <c:pt idx="727">
                  <c:v>40963</c:v>
                </c:pt>
                <c:pt idx="728">
                  <c:v>40966</c:v>
                </c:pt>
                <c:pt idx="729">
                  <c:v>40967</c:v>
                </c:pt>
                <c:pt idx="730">
                  <c:v>40968</c:v>
                </c:pt>
                <c:pt idx="731">
                  <c:v>40969</c:v>
                </c:pt>
                <c:pt idx="732">
                  <c:v>40991</c:v>
                </c:pt>
                <c:pt idx="733">
                  <c:v>40994</c:v>
                </c:pt>
                <c:pt idx="734">
                  <c:v>40995</c:v>
                </c:pt>
                <c:pt idx="735">
                  <c:v>40996</c:v>
                </c:pt>
                <c:pt idx="736">
                  <c:v>40997</c:v>
                </c:pt>
                <c:pt idx="737">
                  <c:v>40998</c:v>
                </c:pt>
                <c:pt idx="738">
                  <c:v>41000</c:v>
                </c:pt>
                <c:pt idx="739">
                  <c:v>41004</c:v>
                </c:pt>
                <c:pt idx="740">
                  <c:v>41008</c:v>
                </c:pt>
                <c:pt idx="741">
                  <c:v>41009</c:v>
                </c:pt>
                <c:pt idx="742">
                  <c:v>41010</c:v>
                </c:pt>
                <c:pt idx="743">
                  <c:v>41011</c:v>
                </c:pt>
                <c:pt idx="744">
                  <c:v>41012</c:v>
                </c:pt>
                <c:pt idx="745">
                  <c:v>41015</c:v>
                </c:pt>
                <c:pt idx="746">
                  <c:v>41017</c:v>
                </c:pt>
                <c:pt idx="747">
                  <c:v>41018</c:v>
                </c:pt>
                <c:pt idx="748">
                  <c:v>41019</c:v>
                </c:pt>
                <c:pt idx="749">
                  <c:v>41022</c:v>
                </c:pt>
                <c:pt idx="750">
                  <c:v>41023</c:v>
                </c:pt>
                <c:pt idx="751">
                  <c:v>41024</c:v>
                </c:pt>
                <c:pt idx="752">
                  <c:v>41025</c:v>
                </c:pt>
                <c:pt idx="753">
                  <c:v>41031</c:v>
                </c:pt>
                <c:pt idx="754">
                  <c:v>41033</c:v>
                </c:pt>
                <c:pt idx="755">
                  <c:v>41036</c:v>
                </c:pt>
                <c:pt idx="756">
                  <c:v>41037</c:v>
                </c:pt>
                <c:pt idx="757">
                  <c:v>41038</c:v>
                </c:pt>
                <c:pt idx="758">
                  <c:v>41040</c:v>
                </c:pt>
                <c:pt idx="759">
                  <c:v>41043</c:v>
                </c:pt>
                <c:pt idx="760">
                  <c:v>41044</c:v>
                </c:pt>
                <c:pt idx="761">
                  <c:v>41045</c:v>
                </c:pt>
                <c:pt idx="762">
                  <c:v>41046</c:v>
                </c:pt>
                <c:pt idx="763">
                  <c:v>41047</c:v>
                </c:pt>
                <c:pt idx="764">
                  <c:v>41050</c:v>
                </c:pt>
                <c:pt idx="765">
                  <c:v>41051</c:v>
                </c:pt>
                <c:pt idx="766">
                  <c:v>41052</c:v>
                </c:pt>
                <c:pt idx="767">
                  <c:v>41053</c:v>
                </c:pt>
                <c:pt idx="768">
                  <c:v>41054</c:v>
                </c:pt>
                <c:pt idx="769">
                  <c:v>41057</c:v>
                </c:pt>
                <c:pt idx="770">
                  <c:v>41058</c:v>
                </c:pt>
                <c:pt idx="771">
                  <c:v>41059</c:v>
                </c:pt>
                <c:pt idx="772">
                  <c:v>41060</c:v>
                </c:pt>
                <c:pt idx="773">
                  <c:v>41061</c:v>
                </c:pt>
                <c:pt idx="774">
                  <c:v>41064</c:v>
                </c:pt>
                <c:pt idx="775">
                  <c:v>41065</c:v>
                </c:pt>
                <c:pt idx="776">
                  <c:v>41066</c:v>
                </c:pt>
                <c:pt idx="777">
                  <c:v>41067</c:v>
                </c:pt>
                <c:pt idx="778">
                  <c:v>41068</c:v>
                </c:pt>
                <c:pt idx="779">
                  <c:v>41071</c:v>
                </c:pt>
                <c:pt idx="780">
                  <c:v>41072</c:v>
                </c:pt>
                <c:pt idx="781">
                  <c:v>41073</c:v>
                </c:pt>
                <c:pt idx="782">
                  <c:v>41074</c:v>
                </c:pt>
                <c:pt idx="783">
                  <c:v>41075</c:v>
                </c:pt>
                <c:pt idx="784">
                  <c:v>41078</c:v>
                </c:pt>
                <c:pt idx="785">
                  <c:v>41079</c:v>
                </c:pt>
                <c:pt idx="786">
                  <c:v>41080</c:v>
                </c:pt>
                <c:pt idx="787">
                  <c:v>41081</c:v>
                </c:pt>
                <c:pt idx="788">
                  <c:v>41085</c:v>
                </c:pt>
                <c:pt idx="789">
                  <c:v>41086</c:v>
                </c:pt>
                <c:pt idx="790">
                  <c:v>41087</c:v>
                </c:pt>
                <c:pt idx="791">
                  <c:v>41088</c:v>
                </c:pt>
                <c:pt idx="792">
                  <c:v>41089</c:v>
                </c:pt>
                <c:pt idx="793">
                  <c:v>41092</c:v>
                </c:pt>
                <c:pt idx="794">
                  <c:v>41093</c:v>
                </c:pt>
                <c:pt idx="795">
                  <c:v>41094</c:v>
                </c:pt>
                <c:pt idx="796">
                  <c:v>41095</c:v>
                </c:pt>
                <c:pt idx="797">
                  <c:v>41096</c:v>
                </c:pt>
                <c:pt idx="798">
                  <c:v>41099</c:v>
                </c:pt>
                <c:pt idx="799">
                  <c:v>41100</c:v>
                </c:pt>
                <c:pt idx="800">
                  <c:v>41101</c:v>
                </c:pt>
                <c:pt idx="801">
                  <c:v>41102</c:v>
                </c:pt>
                <c:pt idx="802">
                  <c:v>41103</c:v>
                </c:pt>
                <c:pt idx="803">
                  <c:v>41106</c:v>
                </c:pt>
                <c:pt idx="804">
                  <c:v>41107</c:v>
                </c:pt>
                <c:pt idx="805">
                  <c:v>41108</c:v>
                </c:pt>
                <c:pt idx="806">
                  <c:v>41109</c:v>
                </c:pt>
                <c:pt idx="807">
                  <c:v>41110</c:v>
                </c:pt>
                <c:pt idx="808">
                  <c:v>41113</c:v>
                </c:pt>
                <c:pt idx="809">
                  <c:v>41114</c:v>
                </c:pt>
                <c:pt idx="810">
                  <c:v>41115</c:v>
                </c:pt>
                <c:pt idx="811">
                  <c:v>41116</c:v>
                </c:pt>
                <c:pt idx="812">
                  <c:v>41117</c:v>
                </c:pt>
                <c:pt idx="813">
                  <c:v>41120</c:v>
                </c:pt>
                <c:pt idx="814">
                  <c:v>41121</c:v>
                </c:pt>
                <c:pt idx="815">
                  <c:v>41122</c:v>
                </c:pt>
                <c:pt idx="816">
                  <c:v>41123</c:v>
                </c:pt>
                <c:pt idx="817">
                  <c:v>41124</c:v>
                </c:pt>
                <c:pt idx="818">
                  <c:v>41127</c:v>
                </c:pt>
                <c:pt idx="819">
                  <c:v>41128</c:v>
                </c:pt>
                <c:pt idx="820">
                  <c:v>41129</c:v>
                </c:pt>
                <c:pt idx="821">
                  <c:v>41130</c:v>
                </c:pt>
                <c:pt idx="822">
                  <c:v>41131</c:v>
                </c:pt>
                <c:pt idx="823">
                  <c:v>41134</c:v>
                </c:pt>
                <c:pt idx="824">
                  <c:v>41135</c:v>
                </c:pt>
                <c:pt idx="825">
                  <c:v>41136</c:v>
                </c:pt>
                <c:pt idx="826">
                  <c:v>41137</c:v>
                </c:pt>
                <c:pt idx="827">
                  <c:v>41138</c:v>
                </c:pt>
                <c:pt idx="828">
                  <c:v>41141</c:v>
                </c:pt>
                <c:pt idx="829">
                  <c:v>41142</c:v>
                </c:pt>
                <c:pt idx="830">
                  <c:v>41143</c:v>
                </c:pt>
                <c:pt idx="831">
                  <c:v>41144</c:v>
                </c:pt>
                <c:pt idx="832">
                  <c:v>41145</c:v>
                </c:pt>
                <c:pt idx="833">
                  <c:v>41148</c:v>
                </c:pt>
                <c:pt idx="834">
                  <c:v>41149</c:v>
                </c:pt>
                <c:pt idx="835">
                  <c:v>41150</c:v>
                </c:pt>
                <c:pt idx="836">
                  <c:v>41151</c:v>
                </c:pt>
                <c:pt idx="837">
                  <c:v>41152</c:v>
                </c:pt>
                <c:pt idx="838">
                  <c:v>41155</c:v>
                </c:pt>
                <c:pt idx="839">
                  <c:v>41162</c:v>
                </c:pt>
                <c:pt idx="840">
                  <c:v>41163</c:v>
                </c:pt>
                <c:pt idx="841">
                  <c:v>41164</c:v>
                </c:pt>
                <c:pt idx="842">
                  <c:v>41165</c:v>
                </c:pt>
                <c:pt idx="843">
                  <c:v>41166</c:v>
                </c:pt>
                <c:pt idx="844">
                  <c:v>41169</c:v>
                </c:pt>
                <c:pt idx="845">
                  <c:v>41170</c:v>
                </c:pt>
                <c:pt idx="846">
                  <c:v>41171</c:v>
                </c:pt>
                <c:pt idx="847">
                  <c:v>41172</c:v>
                </c:pt>
                <c:pt idx="848">
                  <c:v>41173</c:v>
                </c:pt>
                <c:pt idx="849">
                  <c:v>41176</c:v>
                </c:pt>
                <c:pt idx="850">
                  <c:v>41177</c:v>
                </c:pt>
                <c:pt idx="851">
                  <c:v>41178</c:v>
                </c:pt>
                <c:pt idx="852">
                  <c:v>41179</c:v>
                </c:pt>
                <c:pt idx="853">
                  <c:v>41180</c:v>
                </c:pt>
                <c:pt idx="854">
                  <c:v>41190</c:v>
                </c:pt>
                <c:pt idx="855">
                  <c:v>41191</c:v>
                </c:pt>
                <c:pt idx="856">
                  <c:v>41192</c:v>
                </c:pt>
                <c:pt idx="857">
                  <c:v>41193</c:v>
                </c:pt>
                <c:pt idx="858">
                  <c:v>41194</c:v>
                </c:pt>
                <c:pt idx="859">
                  <c:v>41197</c:v>
                </c:pt>
                <c:pt idx="860">
                  <c:v>41198</c:v>
                </c:pt>
                <c:pt idx="861">
                  <c:v>41199</c:v>
                </c:pt>
                <c:pt idx="862">
                  <c:v>41200</c:v>
                </c:pt>
                <c:pt idx="863">
                  <c:v>41201</c:v>
                </c:pt>
                <c:pt idx="864">
                  <c:v>41204</c:v>
                </c:pt>
                <c:pt idx="865">
                  <c:v>41205</c:v>
                </c:pt>
                <c:pt idx="866">
                  <c:v>41206</c:v>
                </c:pt>
                <c:pt idx="867">
                  <c:v>41207</c:v>
                </c:pt>
                <c:pt idx="868">
                  <c:v>41208</c:v>
                </c:pt>
                <c:pt idx="869">
                  <c:v>41211</c:v>
                </c:pt>
                <c:pt idx="870">
                  <c:v>41212</c:v>
                </c:pt>
                <c:pt idx="871">
                  <c:v>41213</c:v>
                </c:pt>
                <c:pt idx="872">
                  <c:v>41214</c:v>
                </c:pt>
                <c:pt idx="873">
                  <c:v>41215</c:v>
                </c:pt>
                <c:pt idx="874">
                  <c:v>41218</c:v>
                </c:pt>
                <c:pt idx="875">
                  <c:v>41219</c:v>
                </c:pt>
                <c:pt idx="876">
                  <c:v>41220</c:v>
                </c:pt>
                <c:pt idx="877">
                  <c:v>41221</c:v>
                </c:pt>
                <c:pt idx="878">
                  <c:v>41222</c:v>
                </c:pt>
                <c:pt idx="879">
                  <c:v>41225</c:v>
                </c:pt>
                <c:pt idx="880">
                  <c:v>41226</c:v>
                </c:pt>
                <c:pt idx="881">
                  <c:v>41227</c:v>
                </c:pt>
                <c:pt idx="882">
                  <c:v>41228</c:v>
                </c:pt>
                <c:pt idx="883">
                  <c:v>41229</c:v>
                </c:pt>
                <c:pt idx="884">
                  <c:v>41232</c:v>
                </c:pt>
                <c:pt idx="885">
                  <c:v>41233</c:v>
                </c:pt>
                <c:pt idx="886">
                  <c:v>41234</c:v>
                </c:pt>
                <c:pt idx="887">
                  <c:v>41235</c:v>
                </c:pt>
                <c:pt idx="888">
                  <c:v>41236</c:v>
                </c:pt>
                <c:pt idx="889">
                  <c:v>41239</c:v>
                </c:pt>
                <c:pt idx="890">
                  <c:v>41240</c:v>
                </c:pt>
                <c:pt idx="891">
                  <c:v>41241</c:v>
                </c:pt>
                <c:pt idx="892">
                  <c:v>41242</c:v>
                </c:pt>
                <c:pt idx="893">
                  <c:v>41243</c:v>
                </c:pt>
                <c:pt idx="894">
                  <c:v>41246</c:v>
                </c:pt>
                <c:pt idx="895">
                  <c:v>41247</c:v>
                </c:pt>
                <c:pt idx="896">
                  <c:v>41248</c:v>
                </c:pt>
                <c:pt idx="897">
                  <c:v>41249</c:v>
                </c:pt>
                <c:pt idx="898">
                  <c:v>41250</c:v>
                </c:pt>
                <c:pt idx="899">
                  <c:v>41253</c:v>
                </c:pt>
                <c:pt idx="900">
                  <c:v>41254</c:v>
                </c:pt>
                <c:pt idx="901">
                  <c:v>41255</c:v>
                </c:pt>
                <c:pt idx="902">
                  <c:v>41256</c:v>
                </c:pt>
                <c:pt idx="903">
                  <c:v>41257</c:v>
                </c:pt>
                <c:pt idx="904">
                  <c:v>41260</c:v>
                </c:pt>
                <c:pt idx="905">
                  <c:v>41261</c:v>
                </c:pt>
                <c:pt idx="906">
                  <c:v>41262</c:v>
                </c:pt>
                <c:pt idx="907">
                  <c:v>41263</c:v>
                </c:pt>
                <c:pt idx="908">
                  <c:v>41264</c:v>
                </c:pt>
                <c:pt idx="909">
                  <c:v>41267</c:v>
                </c:pt>
                <c:pt idx="910">
                  <c:v>41268</c:v>
                </c:pt>
                <c:pt idx="911">
                  <c:v>41269</c:v>
                </c:pt>
                <c:pt idx="912">
                  <c:v>41270</c:v>
                </c:pt>
                <c:pt idx="913">
                  <c:v>41271</c:v>
                </c:pt>
                <c:pt idx="914">
                  <c:v>41274</c:v>
                </c:pt>
                <c:pt idx="915">
                  <c:v>41281</c:v>
                </c:pt>
                <c:pt idx="916">
                  <c:v>41282</c:v>
                </c:pt>
                <c:pt idx="917">
                  <c:v>41283</c:v>
                </c:pt>
                <c:pt idx="918">
                  <c:v>41284</c:v>
                </c:pt>
                <c:pt idx="919">
                  <c:v>41285</c:v>
                </c:pt>
                <c:pt idx="920">
                  <c:v>41288</c:v>
                </c:pt>
                <c:pt idx="921">
                  <c:v>41289</c:v>
                </c:pt>
                <c:pt idx="922">
                  <c:v>41290</c:v>
                </c:pt>
                <c:pt idx="923">
                  <c:v>41292</c:v>
                </c:pt>
                <c:pt idx="924">
                  <c:v>41295</c:v>
                </c:pt>
                <c:pt idx="925">
                  <c:v>41296</c:v>
                </c:pt>
                <c:pt idx="926">
                  <c:v>41297</c:v>
                </c:pt>
                <c:pt idx="927">
                  <c:v>41298</c:v>
                </c:pt>
                <c:pt idx="928">
                  <c:v>41299</c:v>
                </c:pt>
                <c:pt idx="929">
                  <c:v>41302</c:v>
                </c:pt>
                <c:pt idx="930">
                  <c:v>41305</c:v>
                </c:pt>
                <c:pt idx="931">
                  <c:v>41306</c:v>
                </c:pt>
                <c:pt idx="932">
                  <c:v>41309</c:v>
                </c:pt>
                <c:pt idx="933">
                  <c:v>41310</c:v>
                </c:pt>
                <c:pt idx="934">
                  <c:v>41312</c:v>
                </c:pt>
                <c:pt idx="935">
                  <c:v>41324</c:v>
                </c:pt>
                <c:pt idx="936">
                  <c:v>41325</c:v>
                </c:pt>
                <c:pt idx="937">
                  <c:v>41326</c:v>
                </c:pt>
                <c:pt idx="938">
                  <c:v>41327</c:v>
                </c:pt>
                <c:pt idx="939">
                  <c:v>41330</c:v>
                </c:pt>
                <c:pt idx="940">
                  <c:v>41331</c:v>
                </c:pt>
                <c:pt idx="941">
                  <c:v>41332</c:v>
                </c:pt>
                <c:pt idx="942">
                  <c:v>41333</c:v>
                </c:pt>
                <c:pt idx="943">
                  <c:v>41334</c:v>
                </c:pt>
                <c:pt idx="944">
                  <c:v>41337</c:v>
                </c:pt>
                <c:pt idx="945">
                  <c:v>41338</c:v>
                </c:pt>
                <c:pt idx="946">
                  <c:v>41339</c:v>
                </c:pt>
                <c:pt idx="947">
                  <c:v>41340</c:v>
                </c:pt>
                <c:pt idx="948">
                  <c:v>41341</c:v>
                </c:pt>
                <c:pt idx="949">
                  <c:v>41344</c:v>
                </c:pt>
                <c:pt idx="950">
                  <c:v>41345</c:v>
                </c:pt>
                <c:pt idx="951">
                  <c:v>41351</c:v>
                </c:pt>
                <c:pt idx="952">
                  <c:v>41352</c:v>
                </c:pt>
                <c:pt idx="953">
                  <c:v>41353</c:v>
                </c:pt>
                <c:pt idx="954">
                  <c:v>41354</c:v>
                </c:pt>
                <c:pt idx="955">
                  <c:v>41355</c:v>
                </c:pt>
                <c:pt idx="956">
                  <c:v>41358</c:v>
                </c:pt>
                <c:pt idx="957">
                  <c:v>41359</c:v>
                </c:pt>
                <c:pt idx="958">
                  <c:v>41360</c:v>
                </c:pt>
                <c:pt idx="959">
                  <c:v>41361</c:v>
                </c:pt>
                <c:pt idx="960">
                  <c:v>41362</c:v>
                </c:pt>
                <c:pt idx="961">
                  <c:v>41365</c:v>
                </c:pt>
                <c:pt idx="962">
                  <c:v>41366</c:v>
                </c:pt>
                <c:pt idx="963">
                  <c:v>41367</c:v>
                </c:pt>
                <c:pt idx="964">
                  <c:v>41372</c:v>
                </c:pt>
                <c:pt idx="965">
                  <c:v>41373</c:v>
                </c:pt>
                <c:pt idx="966">
                  <c:v>41374</c:v>
                </c:pt>
                <c:pt idx="967">
                  <c:v>41375</c:v>
                </c:pt>
                <c:pt idx="968">
                  <c:v>41376</c:v>
                </c:pt>
                <c:pt idx="969">
                  <c:v>41379</c:v>
                </c:pt>
                <c:pt idx="970">
                  <c:v>41380</c:v>
                </c:pt>
                <c:pt idx="971">
                  <c:v>41381</c:v>
                </c:pt>
                <c:pt idx="972">
                  <c:v>41382</c:v>
                </c:pt>
                <c:pt idx="973">
                  <c:v>41383</c:v>
                </c:pt>
                <c:pt idx="974">
                  <c:v>41386</c:v>
                </c:pt>
                <c:pt idx="975">
                  <c:v>41387</c:v>
                </c:pt>
                <c:pt idx="976">
                  <c:v>41388</c:v>
                </c:pt>
                <c:pt idx="977">
                  <c:v>41389</c:v>
                </c:pt>
                <c:pt idx="978">
                  <c:v>41390</c:v>
                </c:pt>
                <c:pt idx="979">
                  <c:v>41396</c:v>
                </c:pt>
                <c:pt idx="980">
                  <c:v>41397</c:v>
                </c:pt>
                <c:pt idx="981">
                  <c:v>41400</c:v>
                </c:pt>
                <c:pt idx="982">
                  <c:v>41401</c:v>
                </c:pt>
                <c:pt idx="983">
                  <c:v>41402</c:v>
                </c:pt>
                <c:pt idx="984">
                  <c:v>41403</c:v>
                </c:pt>
                <c:pt idx="985">
                  <c:v>41404</c:v>
                </c:pt>
                <c:pt idx="986">
                  <c:v>41407</c:v>
                </c:pt>
                <c:pt idx="987">
                  <c:v>41408</c:v>
                </c:pt>
                <c:pt idx="988">
                  <c:v>41409</c:v>
                </c:pt>
                <c:pt idx="989">
                  <c:v>41410</c:v>
                </c:pt>
                <c:pt idx="990">
                  <c:v>41411</c:v>
                </c:pt>
                <c:pt idx="991">
                  <c:v>41414</c:v>
                </c:pt>
                <c:pt idx="992">
                  <c:v>41415</c:v>
                </c:pt>
                <c:pt idx="993">
                  <c:v>41416</c:v>
                </c:pt>
                <c:pt idx="994">
                  <c:v>41417</c:v>
                </c:pt>
                <c:pt idx="995">
                  <c:v>41418</c:v>
                </c:pt>
                <c:pt idx="996">
                  <c:v>41421</c:v>
                </c:pt>
                <c:pt idx="997">
                  <c:v>41422</c:v>
                </c:pt>
                <c:pt idx="998">
                  <c:v>41423</c:v>
                </c:pt>
                <c:pt idx="999">
                  <c:v>41428</c:v>
                </c:pt>
                <c:pt idx="1000">
                  <c:v>41429</c:v>
                </c:pt>
                <c:pt idx="1001">
                  <c:v>41430</c:v>
                </c:pt>
                <c:pt idx="1002">
                  <c:v>41431</c:v>
                </c:pt>
                <c:pt idx="1003">
                  <c:v>41432</c:v>
                </c:pt>
                <c:pt idx="1004">
                  <c:v>41438</c:v>
                </c:pt>
                <c:pt idx="1005">
                  <c:v>41439</c:v>
                </c:pt>
                <c:pt idx="1006">
                  <c:v>41442</c:v>
                </c:pt>
                <c:pt idx="1007">
                  <c:v>41443</c:v>
                </c:pt>
                <c:pt idx="1008">
                  <c:v>41444</c:v>
                </c:pt>
                <c:pt idx="1009">
                  <c:v>41445</c:v>
                </c:pt>
                <c:pt idx="1010">
                  <c:v>41446</c:v>
                </c:pt>
                <c:pt idx="1011">
                  <c:v>41449</c:v>
                </c:pt>
                <c:pt idx="1012">
                  <c:v>41450</c:v>
                </c:pt>
                <c:pt idx="1013">
                  <c:v>41451</c:v>
                </c:pt>
                <c:pt idx="1014">
                  <c:v>41452</c:v>
                </c:pt>
                <c:pt idx="1015">
                  <c:v>41453</c:v>
                </c:pt>
                <c:pt idx="1016">
                  <c:v>41456</c:v>
                </c:pt>
                <c:pt idx="1017">
                  <c:v>41457</c:v>
                </c:pt>
                <c:pt idx="1018">
                  <c:v>41458</c:v>
                </c:pt>
                <c:pt idx="1019">
                  <c:v>41459</c:v>
                </c:pt>
                <c:pt idx="1020">
                  <c:v>41460</c:v>
                </c:pt>
                <c:pt idx="1021">
                  <c:v>41463</c:v>
                </c:pt>
                <c:pt idx="1022">
                  <c:v>41464</c:v>
                </c:pt>
                <c:pt idx="1023">
                  <c:v>41465</c:v>
                </c:pt>
                <c:pt idx="1024">
                  <c:v>41466</c:v>
                </c:pt>
                <c:pt idx="1025">
                  <c:v>41467</c:v>
                </c:pt>
                <c:pt idx="1026">
                  <c:v>41470</c:v>
                </c:pt>
                <c:pt idx="1027">
                  <c:v>41471</c:v>
                </c:pt>
                <c:pt idx="1028">
                  <c:v>41472</c:v>
                </c:pt>
                <c:pt idx="1029">
                  <c:v>41473</c:v>
                </c:pt>
                <c:pt idx="1030">
                  <c:v>41474</c:v>
                </c:pt>
                <c:pt idx="1031">
                  <c:v>41477</c:v>
                </c:pt>
                <c:pt idx="1032">
                  <c:v>41478</c:v>
                </c:pt>
                <c:pt idx="1033">
                  <c:v>41479</c:v>
                </c:pt>
                <c:pt idx="1034">
                  <c:v>41480</c:v>
                </c:pt>
                <c:pt idx="1035">
                  <c:v>41481</c:v>
                </c:pt>
                <c:pt idx="1036">
                  <c:v>41484</c:v>
                </c:pt>
                <c:pt idx="1037">
                  <c:v>41485</c:v>
                </c:pt>
                <c:pt idx="1038">
                  <c:v>41486</c:v>
                </c:pt>
                <c:pt idx="1039">
                  <c:v>41487</c:v>
                </c:pt>
                <c:pt idx="1040">
                  <c:v>41488</c:v>
                </c:pt>
                <c:pt idx="1041">
                  <c:v>41491</c:v>
                </c:pt>
                <c:pt idx="1042">
                  <c:v>41492</c:v>
                </c:pt>
                <c:pt idx="1043">
                  <c:v>41493</c:v>
                </c:pt>
                <c:pt idx="1044">
                  <c:v>41494</c:v>
                </c:pt>
                <c:pt idx="1045">
                  <c:v>41495</c:v>
                </c:pt>
                <c:pt idx="1046">
                  <c:v>41498</c:v>
                </c:pt>
                <c:pt idx="1047">
                  <c:v>41499</c:v>
                </c:pt>
                <c:pt idx="1048">
                  <c:v>41500</c:v>
                </c:pt>
                <c:pt idx="1049">
                  <c:v>41501</c:v>
                </c:pt>
                <c:pt idx="1050">
                  <c:v>41502</c:v>
                </c:pt>
                <c:pt idx="1051">
                  <c:v>41505</c:v>
                </c:pt>
                <c:pt idx="1052">
                  <c:v>41506</c:v>
                </c:pt>
                <c:pt idx="1053">
                  <c:v>41507</c:v>
                </c:pt>
                <c:pt idx="1054">
                  <c:v>41508</c:v>
                </c:pt>
                <c:pt idx="1055">
                  <c:v>41509</c:v>
                </c:pt>
                <c:pt idx="1056">
                  <c:v>41512</c:v>
                </c:pt>
                <c:pt idx="1057">
                  <c:v>41513</c:v>
                </c:pt>
                <c:pt idx="1058">
                  <c:v>41514</c:v>
                </c:pt>
                <c:pt idx="1059">
                  <c:v>41515</c:v>
                </c:pt>
                <c:pt idx="1060">
                  <c:v>41516</c:v>
                </c:pt>
                <c:pt idx="1061">
                  <c:v>41519</c:v>
                </c:pt>
                <c:pt idx="1062">
                  <c:v>41520</c:v>
                </c:pt>
                <c:pt idx="1063">
                  <c:v>41521</c:v>
                </c:pt>
                <c:pt idx="1064">
                  <c:v>41522</c:v>
                </c:pt>
                <c:pt idx="1065">
                  <c:v>41523</c:v>
                </c:pt>
                <c:pt idx="1066">
                  <c:v>41526</c:v>
                </c:pt>
                <c:pt idx="1067">
                  <c:v>41527</c:v>
                </c:pt>
                <c:pt idx="1068">
                  <c:v>41528</c:v>
                </c:pt>
                <c:pt idx="1069">
                  <c:v>41529</c:v>
                </c:pt>
                <c:pt idx="1070">
                  <c:v>41530</c:v>
                </c:pt>
                <c:pt idx="1071">
                  <c:v>41533</c:v>
                </c:pt>
                <c:pt idx="1072">
                  <c:v>41534</c:v>
                </c:pt>
                <c:pt idx="1073">
                  <c:v>41535</c:v>
                </c:pt>
                <c:pt idx="1074">
                  <c:v>41540</c:v>
                </c:pt>
                <c:pt idx="1075">
                  <c:v>41541</c:v>
                </c:pt>
                <c:pt idx="1076">
                  <c:v>41542</c:v>
                </c:pt>
                <c:pt idx="1077">
                  <c:v>41543</c:v>
                </c:pt>
                <c:pt idx="1078">
                  <c:v>41544</c:v>
                </c:pt>
                <c:pt idx="1079">
                  <c:v>41547</c:v>
                </c:pt>
                <c:pt idx="1080">
                  <c:v>41556</c:v>
                </c:pt>
                <c:pt idx="1081">
                  <c:v>41557</c:v>
                </c:pt>
                <c:pt idx="1082">
                  <c:v>41558</c:v>
                </c:pt>
                <c:pt idx="1083">
                  <c:v>41561</c:v>
                </c:pt>
                <c:pt idx="1084">
                  <c:v>41563</c:v>
                </c:pt>
                <c:pt idx="1085">
                  <c:v>41564</c:v>
                </c:pt>
                <c:pt idx="1086">
                  <c:v>41565</c:v>
                </c:pt>
                <c:pt idx="1087">
                  <c:v>41568</c:v>
                </c:pt>
                <c:pt idx="1088">
                  <c:v>41569</c:v>
                </c:pt>
                <c:pt idx="1089">
                  <c:v>41570</c:v>
                </c:pt>
                <c:pt idx="1090">
                  <c:v>41571</c:v>
                </c:pt>
                <c:pt idx="1091">
                  <c:v>41572</c:v>
                </c:pt>
                <c:pt idx="1092">
                  <c:v>41575</c:v>
                </c:pt>
                <c:pt idx="1093">
                  <c:v>41576</c:v>
                </c:pt>
                <c:pt idx="1094">
                  <c:v>41577</c:v>
                </c:pt>
                <c:pt idx="1095">
                  <c:v>41578</c:v>
                </c:pt>
                <c:pt idx="1096">
                  <c:v>41579</c:v>
                </c:pt>
                <c:pt idx="1097">
                  <c:v>41582</c:v>
                </c:pt>
                <c:pt idx="1098">
                  <c:v>41583</c:v>
                </c:pt>
                <c:pt idx="1099">
                  <c:v>41584</c:v>
                </c:pt>
                <c:pt idx="1100">
                  <c:v>41585</c:v>
                </c:pt>
                <c:pt idx="1101">
                  <c:v>41586</c:v>
                </c:pt>
                <c:pt idx="1102">
                  <c:v>41589</c:v>
                </c:pt>
                <c:pt idx="1103">
                  <c:v>41590</c:v>
                </c:pt>
                <c:pt idx="1104">
                  <c:v>41591</c:v>
                </c:pt>
                <c:pt idx="1105">
                  <c:v>41592</c:v>
                </c:pt>
                <c:pt idx="1106">
                  <c:v>41593</c:v>
                </c:pt>
                <c:pt idx="1107">
                  <c:v>41596</c:v>
                </c:pt>
                <c:pt idx="1108">
                  <c:v>41597</c:v>
                </c:pt>
                <c:pt idx="1109">
                  <c:v>41598</c:v>
                </c:pt>
                <c:pt idx="1110">
                  <c:v>41599</c:v>
                </c:pt>
                <c:pt idx="1111">
                  <c:v>41600</c:v>
                </c:pt>
                <c:pt idx="1112">
                  <c:v>41603</c:v>
                </c:pt>
                <c:pt idx="1113">
                  <c:v>41604</c:v>
                </c:pt>
                <c:pt idx="1114">
                  <c:v>41605</c:v>
                </c:pt>
                <c:pt idx="1115">
                  <c:v>41606</c:v>
                </c:pt>
                <c:pt idx="1116">
                  <c:v>41607</c:v>
                </c:pt>
                <c:pt idx="1117">
                  <c:v>41610</c:v>
                </c:pt>
                <c:pt idx="1118">
                  <c:v>41611</c:v>
                </c:pt>
                <c:pt idx="1119">
                  <c:v>41612</c:v>
                </c:pt>
                <c:pt idx="1120">
                  <c:v>41613</c:v>
                </c:pt>
                <c:pt idx="1121">
                  <c:v>41614</c:v>
                </c:pt>
                <c:pt idx="1122">
                  <c:v>41617</c:v>
                </c:pt>
                <c:pt idx="1123">
                  <c:v>41618</c:v>
                </c:pt>
                <c:pt idx="1124">
                  <c:v>41619</c:v>
                </c:pt>
                <c:pt idx="1125">
                  <c:v>41620</c:v>
                </c:pt>
                <c:pt idx="1126">
                  <c:v>41621</c:v>
                </c:pt>
                <c:pt idx="1127">
                  <c:v>41624</c:v>
                </c:pt>
                <c:pt idx="1128">
                  <c:v>41625</c:v>
                </c:pt>
                <c:pt idx="1129">
                  <c:v>41626</c:v>
                </c:pt>
                <c:pt idx="1130">
                  <c:v>41627</c:v>
                </c:pt>
                <c:pt idx="1131">
                  <c:v>41628</c:v>
                </c:pt>
                <c:pt idx="1132">
                  <c:v>41631</c:v>
                </c:pt>
                <c:pt idx="1133">
                  <c:v>41632</c:v>
                </c:pt>
                <c:pt idx="1134">
                  <c:v>41633</c:v>
                </c:pt>
                <c:pt idx="1135">
                  <c:v>41634</c:v>
                </c:pt>
                <c:pt idx="1136">
                  <c:v>41635</c:v>
                </c:pt>
                <c:pt idx="1137">
                  <c:v>41638</c:v>
                </c:pt>
                <c:pt idx="1138">
                  <c:v>41639</c:v>
                </c:pt>
                <c:pt idx="1139">
                  <c:v>41641</c:v>
                </c:pt>
                <c:pt idx="1140">
                  <c:v>41642</c:v>
                </c:pt>
                <c:pt idx="1141">
                  <c:v>41645</c:v>
                </c:pt>
                <c:pt idx="1142">
                  <c:v>41646</c:v>
                </c:pt>
                <c:pt idx="1143">
                  <c:v>41647</c:v>
                </c:pt>
                <c:pt idx="1144">
                  <c:v>41648</c:v>
                </c:pt>
                <c:pt idx="1145">
                  <c:v>41649</c:v>
                </c:pt>
                <c:pt idx="1146">
                  <c:v>41652</c:v>
                </c:pt>
                <c:pt idx="1147">
                  <c:v>41653</c:v>
                </c:pt>
                <c:pt idx="1148">
                  <c:v>41654</c:v>
                </c:pt>
                <c:pt idx="1149">
                  <c:v>41655</c:v>
                </c:pt>
                <c:pt idx="1150">
                  <c:v>41656</c:v>
                </c:pt>
                <c:pt idx="1151">
                  <c:v>41659</c:v>
                </c:pt>
                <c:pt idx="1152">
                  <c:v>41660</c:v>
                </c:pt>
                <c:pt idx="1153">
                  <c:v>41661</c:v>
                </c:pt>
                <c:pt idx="1154">
                  <c:v>41662</c:v>
                </c:pt>
                <c:pt idx="1155">
                  <c:v>41663</c:v>
                </c:pt>
                <c:pt idx="1156">
                  <c:v>41680</c:v>
                </c:pt>
                <c:pt idx="1157">
                  <c:v>41681</c:v>
                </c:pt>
                <c:pt idx="1158">
                  <c:v>41682</c:v>
                </c:pt>
                <c:pt idx="1159">
                  <c:v>41683</c:v>
                </c:pt>
                <c:pt idx="1160">
                  <c:v>41684</c:v>
                </c:pt>
                <c:pt idx="1161">
                  <c:v>41687</c:v>
                </c:pt>
                <c:pt idx="1162">
                  <c:v>41688</c:v>
                </c:pt>
                <c:pt idx="1163">
                  <c:v>41689</c:v>
                </c:pt>
                <c:pt idx="1164">
                  <c:v>41690</c:v>
                </c:pt>
                <c:pt idx="1165">
                  <c:v>41691</c:v>
                </c:pt>
                <c:pt idx="1166">
                  <c:v>41694</c:v>
                </c:pt>
                <c:pt idx="1167">
                  <c:v>41695</c:v>
                </c:pt>
                <c:pt idx="1168">
                  <c:v>41696</c:v>
                </c:pt>
                <c:pt idx="1169">
                  <c:v>41697</c:v>
                </c:pt>
                <c:pt idx="1170">
                  <c:v>41698</c:v>
                </c:pt>
                <c:pt idx="1171">
                  <c:v>41701</c:v>
                </c:pt>
                <c:pt idx="1172">
                  <c:v>41702</c:v>
                </c:pt>
                <c:pt idx="1173">
                  <c:v>41703</c:v>
                </c:pt>
                <c:pt idx="1174">
                  <c:v>41704</c:v>
                </c:pt>
                <c:pt idx="1175">
                  <c:v>41705</c:v>
                </c:pt>
                <c:pt idx="1176">
                  <c:v>41708</c:v>
                </c:pt>
                <c:pt idx="1177">
                  <c:v>41709</c:v>
                </c:pt>
                <c:pt idx="1178">
                  <c:v>41711</c:v>
                </c:pt>
                <c:pt idx="1179">
                  <c:v>41712</c:v>
                </c:pt>
                <c:pt idx="1180">
                  <c:v>41715</c:v>
                </c:pt>
                <c:pt idx="1181">
                  <c:v>41716</c:v>
                </c:pt>
                <c:pt idx="1182">
                  <c:v>41717</c:v>
                </c:pt>
                <c:pt idx="1183">
                  <c:v>41718</c:v>
                </c:pt>
                <c:pt idx="1184">
                  <c:v>41719</c:v>
                </c:pt>
                <c:pt idx="1185">
                  <c:v>41722</c:v>
                </c:pt>
                <c:pt idx="1186">
                  <c:v>41723</c:v>
                </c:pt>
                <c:pt idx="1187">
                  <c:v>41724</c:v>
                </c:pt>
                <c:pt idx="1188">
                  <c:v>41725</c:v>
                </c:pt>
                <c:pt idx="1189">
                  <c:v>41726</c:v>
                </c:pt>
                <c:pt idx="1190">
                  <c:v>41729</c:v>
                </c:pt>
                <c:pt idx="1191">
                  <c:v>41730</c:v>
                </c:pt>
                <c:pt idx="1192">
                  <c:v>41731</c:v>
                </c:pt>
                <c:pt idx="1193">
                  <c:v>41732</c:v>
                </c:pt>
                <c:pt idx="1194">
                  <c:v>41733</c:v>
                </c:pt>
                <c:pt idx="1195">
                  <c:v>41737</c:v>
                </c:pt>
                <c:pt idx="1196">
                  <c:v>41738</c:v>
                </c:pt>
                <c:pt idx="1197">
                  <c:v>41740</c:v>
                </c:pt>
                <c:pt idx="1198">
                  <c:v>41743</c:v>
                </c:pt>
                <c:pt idx="1199">
                  <c:v>41744</c:v>
                </c:pt>
                <c:pt idx="1200">
                  <c:v>41745</c:v>
                </c:pt>
                <c:pt idx="1201">
                  <c:v>41746</c:v>
                </c:pt>
                <c:pt idx="1202">
                  <c:v>41747</c:v>
                </c:pt>
                <c:pt idx="1203">
                  <c:v>41750</c:v>
                </c:pt>
                <c:pt idx="1204">
                  <c:v>41751</c:v>
                </c:pt>
                <c:pt idx="1205">
                  <c:v>41752</c:v>
                </c:pt>
                <c:pt idx="1206">
                  <c:v>41753</c:v>
                </c:pt>
                <c:pt idx="1207">
                  <c:v>41754</c:v>
                </c:pt>
                <c:pt idx="1208">
                  <c:v>41757</c:v>
                </c:pt>
                <c:pt idx="1209">
                  <c:v>41758</c:v>
                </c:pt>
                <c:pt idx="1210">
                  <c:v>41759</c:v>
                </c:pt>
                <c:pt idx="1211">
                  <c:v>41764</c:v>
                </c:pt>
                <c:pt idx="1212">
                  <c:v>41765</c:v>
                </c:pt>
                <c:pt idx="1213">
                  <c:v>41766</c:v>
                </c:pt>
                <c:pt idx="1214">
                  <c:v>41767</c:v>
                </c:pt>
                <c:pt idx="1215">
                  <c:v>41768</c:v>
                </c:pt>
                <c:pt idx="1216">
                  <c:v>41771</c:v>
                </c:pt>
                <c:pt idx="1217">
                  <c:v>41772</c:v>
                </c:pt>
                <c:pt idx="1218">
                  <c:v>41773</c:v>
                </c:pt>
                <c:pt idx="1219">
                  <c:v>41774</c:v>
                </c:pt>
                <c:pt idx="1220">
                  <c:v>41775</c:v>
                </c:pt>
                <c:pt idx="1221">
                  <c:v>41778</c:v>
                </c:pt>
                <c:pt idx="1222">
                  <c:v>41779</c:v>
                </c:pt>
                <c:pt idx="1223">
                  <c:v>41780</c:v>
                </c:pt>
                <c:pt idx="1224">
                  <c:v>41781</c:v>
                </c:pt>
                <c:pt idx="1225">
                  <c:v>41782</c:v>
                </c:pt>
                <c:pt idx="1226">
                  <c:v>41785</c:v>
                </c:pt>
                <c:pt idx="1227">
                  <c:v>41786</c:v>
                </c:pt>
                <c:pt idx="1228">
                  <c:v>41787</c:v>
                </c:pt>
                <c:pt idx="1229">
                  <c:v>41788</c:v>
                </c:pt>
                <c:pt idx="1230">
                  <c:v>41789</c:v>
                </c:pt>
                <c:pt idx="1231">
                  <c:v>41793</c:v>
                </c:pt>
                <c:pt idx="1232">
                  <c:v>41794</c:v>
                </c:pt>
                <c:pt idx="1233">
                  <c:v>41795</c:v>
                </c:pt>
                <c:pt idx="1234">
                  <c:v>41796</c:v>
                </c:pt>
                <c:pt idx="1235">
                  <c:v>41799</c:v>
                </c:pt>
                <c:pt idx="1236">
                  <c:v>41800</c:v>
                </c:pt>
                <c:pt idx="1237">
                  <c:v>41801</c:v>
                </c:pt>
                <c:pt idx="1238">
                  <c:v>41802</c:v>
                </c:pt>
                <c:pt idx="1239">
                  <c:v>41803</c:v>
                </c:pt>
                <c:pt idx="1240">
                  <c:v>41806</c:v>
                </c:pt>
                <c:pt idx="1241">
                  <c:v>41807</c:v>
                </c:pt>
                <c:pt idx="1242">
                  <c:v>41808</c:v>
                </c:pt>
                <c:pt idx="1243">
                  <c:v>41809</c:v>
                </c:pt>
                <c:pt idx="1244">
                  <c:v>41810</c:v>
                </c:pt>
                <c:pt idx="1245">
                  <c:v>41813</c:v>
                </c:pt>
                <c:pt idx="1246">
                  <c:v>41814</c:v>
                </c:pt>
                <c:pt idx="1247">
                  <c:v>41815</c:v>
                </c:pt>
                <c:pt idx="1248">
                  <c:v>41816</c:v>
                </c:pt>
                <c:pt idx="1249">
                  <c:v>41817</c:v>
                </c:pt>
                <c:pt idx="1250">
                  <c:v>41820</c:v>
                </c:pt>
                <c:pt idx="1251">
                  <c:v>41821</c:v>
                </c:pt>
                <c:pt idx="1252">
                  <c:v>41822</c:v>
                </c:pt>
                <c:pt idx="1253">
                  <c:v>41823</c:v>
                </c:pt>
                <c:pt idx="1254">
                  <c:v>41824</c:v>
                </c:pt>
                <c:pt idx="1255">
                  <c:v>41827</c:v>
                </c:pt>
                <c:pt idx="1256">
                  <c:v>41828</c:v>
                </c:pt>
                <c:pt idx="1257">
                  <c:v>41829</c:v>
                </c:pt>
                <c:pt idx="1258">
                  <c:v>41830</c:v>
                </c:pt>
                <c:pt idx="1259">
                  <c:v>41831</c:v>
                </c:pt>
                <c:pt idx="1260">
                  <c:v>41834</c:v>
                </c:pt>
                <c:pt idx="1261">
                  <c:v>41835</c:v>
                </c:pt>
                <c:pt idx="1262">
                  <c:v>41836</c:v>
                </c:pt>
                <c:pt idx="1263">
                  <c:v>41837</c:v>
                </c:pt>
                <c:pt idx="1264">
                  <c:v>41838</c:v>
                </c:pt>
                <c:pt idx="1265">
                  <c:v>41841</c:v>
                </c:pt>
                <c:pt idx="1266">
                  <c:v>41842</c:v>
                </c:pt>
                <c:pt idx="1267">
                  <c:v>41843</c:v>
                </c:pt>
                <c:pt idx="1268">
                  <c:v>41844</c:v>
                </c:pt>
                <c:pt idx="1269">
                  <c:v>41845</c:v>
                </c:pt>
                <c:pt idx="1270">
                  <c:v>41848</c:v>
                </c:pt>
                <c:pt idx="1271">
                  <c:v>41849</c:v>
                </c:pt>
                <c:pt idx="1272">
                  <c:v>41850</c:v>
                </c:pt>
                <c:pt idx="1273">
                  <c:v>41851</c:v>
                </c:pt>
                <c:pt idx="1274">
                  <c:v>41852</c:v>
                </c:pt>
                <c:pt idx="1275">
                  <c:v>41855</c:v>
                </c:pt>
                <c:pt idx="1276">
                  <c:v>41856</c:v>
                </c:pt>
                <c:pt idx="1277">
                  <c:v>41857</c:v>
                </c:pt>
                <c:pt idx="1278">
                  <c:v>41858</c:v>
                </c:pt>
                <c:pt idx="1279">
                  <c:v>41859</c:v>
                </c:pt>
                <c:pt idx="1280">
                  <c:v>41862</c:v>
                </c:pt>
                <c:pt idx="1281">
                  <c:v>41863</c:v>
                </c:pt>
                <c:pt idx="1282">
                  <c:v>41864</c:v>
                </c:pt>
                <c:pt idx="1283">
                  <c:v>41865</c:v>
                </c:pt>
                <c:pt idx="1284">
                  <c:v>41866</c:v>
                </c:pt>
                <c:pt idx="1285">
                  <c:v>41869</c:v>
                </c:pt>
                <c:pt idx="1286">
                  <c:v>41870</c:v>
                </c:pt>
                <c:pt idx="1287">
                  <c:v>41871</c:v>
                </c:pt>
                <c:pt idx="1288">
                  <c:v>41872</c:v>
                </c:pt>
                <c:pt idx="1289">
                  <c:v>41873</c:v>
                </c:pt>
                <c:pt idx="1290">
                  <c:v>41876</c:v>
                </c:pt>
                <c:pt idx="1291">
                  <c:v>41879</c:v>
                </c:pt>
                <c:pt idx="1292">
                  <c:v>41880</c:v>
                </c:pt>
                <c:pt idx="1293">
                  <c:v>41883</c:v>
                </c:pt>
                <c:pt idx="1294">
                  <c:v>41884</c:v>
                </c:pt>
                <c:pt idx="1295">
                  <c:v>41885</c:v>
                </c:pt>
                <c:pt idx="1296">
                  <c:v>41886</c:v>
                </c:pt>
                <c:pt idx="1297">
                  <c:v>41887</c:v>
                </c:pt>
                <c:pt idx="1298">
                  <c:v>41891</c:v>
                </c:pt>
                <c:pt idx="1299">
                  <c:v>41892</c:v>
                </c:pt>
                <c:pt idx="1300">
                  <c:v>41893</c:v>
                </c:pt>
                <c:pt idx="1301">
                  <c:v>41894</c:v>
                </c:pt>
                <c:pt idx="1302">
                  <c:v>41897</c:v>
                </c:pt>
                <c:pt idx="1303">
                  <c:v>41898</c:v>
                </c:pt>
                <c:pt idx="1304">
                  <c:v>41899</c:v>
                </c:pt>
                <c:pt idx="1305">
                  <c:v>41900</c:v>
                </c:pt>
                <c:pt idx="1306">
                  <c:v>41901</c:v>
                </c:pt>
                <c:pt idx="1307">
                  <c:v>41904</c:v>
                </c:pt>
                <c:pt idx="1308">
                  <c:v>41905</c:v>
                </c:pt>
                <c:pt idx="1309">
                  <c:v>41906</c:v>
                </c:pt>
                <c:pt idx="1310">
                  <c:v>41907</c:v>
                </c:pt>
                <c:pt idx="1311">
                  <c:v>41908</c:v>
                </c:pt>
                <c:pt idx="1312">
                  <c:v>41911</c:v>
                </c:pt>
                <c:pt idx="1313">
                  <c:v>41912</c:v>
                </c:pt>
                <c:pt idx="1314">
                  <c:v>41920</c:v>
                </c:pt>
                <c:pt idx="1315">
                  <c:v>41921</c:v>
                </c:pt>
                <c:pt idx="1316">
                  <c:v>41922</c:v>
                </c:pt>
                <c:pt idx="1317">
                  <c:v>41925</c:v>
                </c:pt>
                <c:pt idx="1318">
                  <c:v>41926</c:v>
                </c:pt>
                <c:pt idx="1319">
                  <c:v>41927</c:v>
                </c:pt>
                <c:pt idx="1320">
                  <c:v>41928</c:v>
                </c:pt>
                <c:pt idx="1321">
                  <c:v>41929</c:v>
                </c:pt>
                <c:pt idx="1322">
                  <c:v>41932</c:v>
                </c:pt>
                <c:pt idx="1323">
                  <c:v>41933</c:v>
                </c:pt>
                <c:pt idx="1324">
                  <c:v>41934</c:v>
                </c:pt>
                <c:pt idx="1325">
                  <c:v>41935</c:v>
                </c:pt>
                <c:pt idx="1326">
                  <c:v>41936</c:v>
                </c:pt>
                <c:pt idx="1327">
                  <c:v>41939</c:v>
                </c:pt>
                <c:pt idx="1328">
                  <c:v>41940</c:v>
                </c:pt>
                <c:pt idx="1329">
                  <c:v>41941</c:v>
                </c:pt>
                <c:pt idx="1330">
                  <c:v>41942</c:v>
                </c:pt>
                <c:pt idx="1331">
                  <c:v>41943</c:v>
                </c:pt>
                <c:pt idx="1332">
                  <c:v>41946</c:v>
                </c:pt>
                <c:pt idx="1333">
                  <c:v>41947</c:v>
                </c:pt>
                <c:pt idx="1334">
                  <c:v>41948</c:v>
                </c:pt>
                <c:pt idx="1335">
                  <c:v>41949</c:v>
                </c:pt>
                <c:pt idx="1336">
                  <c:v>41950</c:v>
                </c:pt>
                <c:pt idx="1337">
                  <c:v>41953</c:v>
                </c:pt>
                <c:pt idx="1338">
                  <c:v>41954</c:v>
                </c:pt>
                <c:pt idx="1339">
                  <c:v>41955</c:v>
                </c:pt>
                <c:pt idx="1340">
                  <c:v>41956</c:v>
                </c:pt>
                <c:pt idx="1341">
                  <c:v>41960</c:v>
                </c:pt>
                <c:pt idx="1342">
                  <c:v>41961</c:v>
                </c:pt>
                <c:pt idx="1343">
                  <c:v>41962</c:v>
                </c:pt>
                <c:pt idx="1344">
                  <c:v>41963</c:v>
                </c:pt>
                <c:pt idx="1345">
                  <c:v>41964</c:v>
                </c:pt>
                <c:pt idx="1346">
                  <c:v>41967</c:v>
                </c:pt>
                <c:pt idx="1347">
                  <c:v>41968</c:v>
                </c:pt>
                <c:pt idx="1348">
                  <c:v>41969</c:v>
                </c:pt>
                <c:pt idx="1349">
                  <c:v>41970</c:v>
                </c:pt>
                <c:pt idx="1350">
                  <c:v>41971</c:v>
                </c:pt>
                <c:pt idx="1351">
                  <c:v>41975</c:v>
                </c:pt>
                <c:pt idx="1352">
                  <c:v>41976</c:v>
                </c:pt>
                <c:pt idx="1353">
                  <c:v>41977</c:v>
                </c:pt>
                <c:pt idx="1354">
                  <c:v>41978</c:v>
                </c:pt>
                <c:pt idx="1355">
                  <c:v>41981</c:v>
                </c:pt>
                <c:pt idx="1356">
                  <c:v>41982</c:v>
                </c:pt>
                <c:pt idx="1357">
                  <c:v>41983</c:v>
                </c:pt>
                <c:pt idx="1358">
                  <c:v>41984</c:v>
                </c:pt>
                <c:pt idx="1359">
                  <c:v>41985</c:v>
                </c:pt>
                <c:pt idx="1360">
                  <c:v>41988</c:v>
                </c:pt>
                <c:pt idx="1361">
                  <c:v>41989</c:v>
                </c:pt>
                <c:pt idx="1362">
                  <c:v>41990</c:v>
                </c:pt>
                <c:pt idx="1363">
                  <c:v>41992</c:v>
                </c:pt>
                <c:pt idx="1364">
                  <c:v>41995</c:v>
                </c:pt>
                <c:pt idx="1365">
                  <c:v>41996</c:v>
                </c:pt>
                <c:pt idx="1366">
                  <c:v>41997</c:v>
                </c:pt>
                <c:pt idx="1367">
                  <c:v>41998</c:v>
                </c:pt>
                <c:pt idx="1368">
                  <c:v>41999</c:v>
                </c:pt>
                <c:pt idx="1369">
                  <c:v>42002</c:v>
                </c:pt>
                <c:pt idx="1370">
                  <c:v>42003</c:v>
                </c:pt>
                <c:pt idx="1371">
                  <c:v>42004</c:v>
                </c:pt>
                <c:pt idx="1372">
                  <c:v>42008</c:v>
                </c:pt>
                <c:pt idx="1373">
                  <c:v>42009</c:v>
                </c:pt>
                <c:pt idx="1374">
                  <c:v>42010</c:v>
                </c:pt>
                <c:pt idx="1375">
                  <c:v>42011</c:v>
                </c:pt>
                <c:pt idx="1376">
                  <c:v>42012</c:v>
                </c:pt>
                <c:pt idx="1377">
                  <c:v>42013</c:v>
                </c:pt>
                <c:pt idx="1378">
                  <c:v>42016</c:v>
                </c:pt>
                <c:pt idx="1379">
                  <c:v>42017</c:v>
                </c:pt>
                <c:pt idx="1380">
                  <c:v>42018</c:v>
                </c:pt>
                <c:pt idx="1381">
                  <c:v>42019</c:v>
                </c:pt>
                <c:pt idx="1382">
                  <c:v>42020</c:v>
                </c:pt>
                <c:pt idx="1383">
                  <c:v>42023</c:v>
                </c:pt>
                <c:pt idx="1384">
                  <c:v>42024</c:v>
                </c:pt>
                <c:pt idx="1385">
                  <c:v>42025</c:v>
                </c:pt>
                <c:pt idx="1386">
                  <c:v>42026</c:v>
                </c:pt>
                <c:pt idx="1387">
                  <c:v>42027</c:v>
                </c:pt>
                <c:pt idx="1388">
                  <c:v>42030</c:v>
                </c:pt>
                <c:pt idx="1389">
                  <c:v>42031</c:v>
                </c:pt>
                <c:pt idx="1390">
                  <c:v>42032</c:v>
                </c:pt>
                <c:pt idx="1391">
                  <c:v>42033</c:v>
                </c:pt>
                <c:pt idx="1392">
                  <c:v>42034</c:v>
                </c:pt>
                <c:pt idx="1393">
                  <c:v>42037</c:v>
                </c:pt>
                <c:pt idx="1394">
                  <c:v>42038</c:v>
                </c:pt>
                <c:pt idx="1395">
                  <c:v>42039</c:v>
                </c:pt>
                <c:pt idx="1396">
                  <c:v>42040</c:v>
                </c:pt>
                <c:pt idx="1397">
                  <c:v>42041</c:v>
                </c:pt>
                <c:pt idx="1398">
                  <c:v>42044</c:v>
                </c:pt>
                <c:pt idx="1399">
                  <c:v>42045</c:v>
                </c:pt>
                <c:pt idx="1400">
                  <c:v>42046</c:v>
                </c:pt>
                <c:pt idx="1401">
                  <c:v>42047</c:v>
                </c:pt>
                <c:pt idx="1402">
                  <c:v>42048</c:v>
                </c:pt>
                <c:pt idx="1403">
                  <c:v>42051</c:v>
                </c:pt>
                <c:pt idx="1404">
                  <c:v>42061</c:v>
                </c:pt>
                <c:pt idx="1405">
                  <c:v>42062</c:v>
                </c:pt>
                <c:pt idx="1406">
                  <c:v>42065</c:v>
                </c:pt>
                <c:pt idx="1407">
                  <c:v>42066</c:v>
                </c:pt>
                <c:pt idx="1408">
                  <c:v>42067</c:v>
                </c:pt>
                <c:pt idx="1409">
                  <c:v>42068</c:v>
                </c:pt>
                <c:pt idx="1410">
                  <c:v>42069</c:v>
                </c:pt>
                <c:pt idx="1411">
                  <c:v>42072</c:v>
                </c:pt>
                <c:pt idx="1412">
                  <c:v>42073</c:v>
                </c:pt>
                <c:pt idx="1413">
                  <c:v>42074</c:v>
                </c:pt>
                <c:pt idx="1414">
                  <c:v>42075</c:v>
                </c:pt>
                <c:pt idx="1415">
                  <c:v>42076</c:v>
                </c:pt>
                <c:pt idx="1416">
                  <c:v>42079</c:v>
                </c:pt>
                <c:pt idx="1417" formatCode="m/d/yyyy">
                  <c:v>42080</c:v>
                </c:pt>
                <c:pt idx="1418" formatCode="m/d/yyyy">
                  <c:v>42081</c:v>
                </c:pt>
                <c:pt idx="1419" formatCode="m/d/yyyy">
                  <c:v>42082</c:v>
                </c:pt>
                <c:pt idx="1420" formatCode="m/d/yyyy">
                  <c:v>42083</c:v>
                </c:pt>
                <c:pt idx="1421" formatCode="m/d/yyyy">
                  <c:v>42086</c:v>
                </c:pt>
                <c:pt idx="1422" formatCode="m/d/yyyy">
                  <c:v>42087</c:v>
                </c:pt>
                <c:pt idx="1423" formatCode="m/d/yyyy">
                  <c:v>42088</c:v>
                </c:pt>
                <c:pt idx="1424" formatCode="m/d/yyyy">
                  <c:v>42089</c:v>
                </c:pt>
                <c:pt idx="1425" formatCode="m/d/yyyy">
                  <c:v>42090</c:v>
                </c:pt>
                <c:pt idx="1426" formatCode="m/d/yyyy">
                  <c:v>42093</c:v>
                </c:pt>
                <c:pt idx="1427" formatCode="m/d/yyyy">
                  <c:v>42094</c:v>
                </c:pt>
                <c:pt idx="1428" formatCode="m/d/yyyy">
                  <c:v>42095</c:v>
                </c:pt>
                <c:pt idx="1429" formatCode="m/d/yyyy">
                  <c:v>42096</c:v>
                </c:pt>
                <c:pt idx="1430" formatCode="m/d/yyyy">
                  <c:v>42097</c:v>
                </c:pt>
                <c:pt idx="1431" formatCode="m/d/yyyy">
                  <c:v>42098</c:v>
                </c:pt>
                <c:pt idx="1432" formatCode="m/d/yyyy">
                  <c:v>42099</c:v>
                </c:pt>
                <c:pt idx="1433" formatCode="m/d/yyyy">
                  <c:v>42100</c:v>
                </c:pt>
                <c:pt idx="1434" formatCode="m/d/yyyy">
                  <c:v>42101</c:v>
                </c:pt>
                <c:pt idx="1435" formatCode="m/d/yyyy">
                  <c:v>42102</c:v>
                </c:pt>
                <c:pt idx="1436" formatCode="m/d/yyyy">
                  <c:v>42103</c:v>
                </c:pt>
                <c:pt idx="1437" formatCode="m/d/yyyy">
                  <c:v>42104</c:v>
                </c:pt>
                <c:pt idx="1438" formatCode="m/d/yyyy">
                  <c:v>42105</c:v>
                </c:pt>
                <c:pt idx="1439" formatCode="m/d/yyyy">
                  <c:v>42106</c:v>
                </c:pt>
                <c:pt idx="1440" formatCode="m/d/yyyy">
                  <c:v>42107</c:v>
                </c:pt>
                <c:pt idx="1441" formatCode="m/d/yyyy">
                  <c:v>42108</c:v>
                </c:pt>
                <c:pt idx="1442" formatCode="m/d/yyyy">
                  <c:v>42109</c:v>
                </c:pt>
                <c:pt idx="1443" formatCode="m/d/yyyy">
                  <c:v>42110</c:v>
                </c:pt>
                <c:pt idx="1444" formatCode="m/d/yyyy">
                  <c:v>42111</c:v>
                </c:pt>
                <c:pt idx="1445" formatCode="m/d/yyyy">
                  <c:v>42112</c:v>
                </c:pt>
                <c:pt idx="1446" formatCode="m/d/yyyy">
                  <c:v>42113</c:v>
                </c:pt>
                <c:pt idx="1447" formatCode="m/d/yyyy">
                  <c:v>42114</c:v>
                </c:pt>
                <c:pt idx="1448" formatCode="m/d/yyyy">
                  <c:v>42115</c:v>
                </c:pt>
                <c:pt idx="1449" formatCode="m/d/yyyy">
                  <c:v>42116</c:v>
                </c:pt>
                <c:pt idx="1450" formatCode="m/d/yyyy">
                  <c:v>42117</c:v>
                </c:pt>
                <c:pt idx="1451" formatCode="m/d/yyyy">
                  <c:v>42118</c:v>
                </c:pt>
                <c:pt idx="1452" formatCode="m/d/yyyy">
                  <c:v>42119</c:v>
                </c:pt>
                <c:pt idx="1453" formatCode="m/d/yyyy">
                  <c:v>42120</c:v>
                </c:pt>
                <c:pt idx="1454" formatCode="m/d/yyyy">
                  <c:v>42121</c:v>
                </c:pt>
                <c:pt idx="1455" formatCode="m/d/yyyy">
                  <c:v>42122</c:v>
                </c:pt>
                <c:pt idx="1456" formatCode="m/d/yyyy">
                  <c:v>42123</c:v>
                </c:pt>
                <c:pt idx="1457" formatCode="m/d/yyyy">
                  <c:v>42124</c:v>
                </c:pt>
                <c:pt idx="1458" formatCode="m/d/yyyy">
                  <c:v>42125</c:v>
                </c:pt>
                <c:pt idx="1459" formatCode="m/d/yyyy">
                  <c:v>42126</c:v>
                </c:pt>
                <c:pt idx="1460" formatCode="m/d/yyyy">
                  <c:v>42127</c:v>
                </c:pt>
                <c:pt idx="1461" formatCode="m/d/yyyy">
                  <c:v>42128</c:v>
                </c:pt>
                <c:pt idx="1462" formatCode="m/d/yyyy">
                  <c:v>42129</c:v>
                </c:pt>
                <c:pt idx="1463" formatCode="m/d/yyyy">
                  <c:v>42130</c:v>
                </c:pt>
                <c:pt idx="1464" formatCode="m/d/yyyy">
                  <c:v>42131</c:v>
                </c:pt>
                <c:pt idx="1465" formatCode="m/d/yyyy">
                  <c:v>42132</c:v>
                </c:pt>
                <c:pt idx="1466" formatCode="m/d/yyyy">
                  <c:v>42133</c:v>
                </c:pt>
                <c:pt idx="1467" formatCode="m/d/yyyy">
                  <c:v>42134</c:v>
                </c:pt>
                <c:pt idx="1468" formatCode="m/d/yyyy">
                  <c:v>42135</c:v>
                </c:pt>
                <c:pt idx="1469" formatCode="m/d/yyyy">
                  <c:v>42136</c:v>
                </c:pt>
                <c:pt idx="1470" formatCode="m/d/yyyy">
                  <c:v>42137</c:v>
                </c:pt>
                <c:pt idx="1471" formatCode="m/d/yyyy">
                  <c:v>42138</c:v>
                </c:pt>
                <c:pt idx="1472" formatCode="m/d/yyyy">
                  <c:v>42139</c:v>
                </c:pt>
                <c:pt idx="1473" formatCode="m/d/yyyy">
                  <c:v>42140</c:v>
                </c:pt>
                <c:pt idx="1474" formatCode="m/d/yyyy">
                  <c:v>42141</c:v>
                </c:pt>
                <c:pt idx="1475" formatCode="m/d/yyyy">
                  <c:v>42142</c:v>
                </c:pt>
                <c:pt idx="1476" formatCode="m/d/yyyy">
                  <c:v>42143</c:v>
                </c:pt>
                <c:pt idx="1477" formatCode="m/d/yyyy">
                  <c:v>42144</c:v>
                </c:pt>
                <c:pt idx="1478" formatCode="m/d/yyyy">
                  <c:v>42145</c:v>
                </c:pt>
                <c:pt idx="1479" formatCode="m/d/yyyy">
                  <c:v>42146</c:v>
                </c:pt>
                <c:pt idx="1480" formatCode="m/d/yyyy">
                  <c:v>42147</c:v>
                </c:pt>
                <c:pt idx="1481" formatCode="m/d/yyyy">
                  <c:v>42148</c:v>
                </c:pt>
                <c:pt idx="1482" formatCode="m/d/yyyy">
                  <c:v>42149</c:v>
                </c:pt>
                <c:pt idx="1483" formatCode="m/d/yyyy">
                  <c:v>42150</c:v>
                </c:pt>
                <c:pt idx="1484" formatCode="m/d/yyyy">
                  <c:v>42151</c:v>
                </c:pt>
                <c:pt idx="1485" formatCode="m/d/yyyy">
                  <c:v>42152</c:v>
                </c:pt>
                <c:pt idx="1486" formatCode="m/d/yyyy">
                  <c:v>42153</c:v>
                </c:pt>
                <c:pt idx="1487" formatCode="m/d/yyyy">
                  <c:v>42154</c:v>
                </c:pt>
                <c:pt idx="1488" formatCode="m/d/yyyy">
                  <c:v>42155</c:v>
                </c:pt>
                <c:pt idx="1489" formatCode="m/d/yyyy">
                  <c:v>42156</c:v>
                </c:pt>
                <c:pt idx="1490" formatCode="m/d/yyyy">
                  <c:v>42157</c:v>
                </c:pt>
                <c:pt idx="1491" formatCode="m/d/yyyy">
                  <c:v>42158</c:v>
                </c:pt>
                <c:pt idx="1492" formatCode="m/d/yyyy">
                  <c:v>42159</c:v>
                </c:pt>
                <c:pt idx="1493" formatCode="m/d/yyyy">
                  <c:v>42160</c:v>
                </c:pt>
                <c:pt idx="1494" formatCode="m/d/yyyy">
                  <c:v>42161</c:v>
                </c:pt>
                <c:pt idx="1495" formatCode="m/d/yyyy">
                  <c:v>42162</c:v>
                </c:pt>
                <c:pt idx="1496" formatCode="m/d/yyyy">
                  <c:v>42163</c:v>
                </c:pt>
                <c:pt idx="1497" formatCode="m/d/yyyy">
                  <c:v>42164</c:v>
                </c:pt>
                <c:pt idx="1498" formatCode="m/d/yyyy">
                  <c:v>42165</c:v>
                </c:pt>
                <c:pt idx="1499" formatCode="m/d/yyyy">
                  <c:v>42166</c:v>
                </c:pt>
                <c:pt idx="1500" formatCode="m/d/yyyy">
                  <c:v>42167</c:v>
                </c:pt>
                <c:pt idx="1501" formatCode="m/d/yyyy">
                  <c:v>42168</c:v>
                </c:pt>
                <c:pt idx="1502" formatCode="m/d/yyyy">
                  <c:v>42169</c:v>
                </c:pt>
                <c:pt idx="1503" formatCode="m/d/yyyy">
                  <c:v>42170</c:v>
                </c:pt>
                <c:pt idx="1504" formatCode="m/d/yyyy">
                  <c:v>42171</c:v>
                </c:pt>
                <c:pt idx="1505" formatCode="m/d/yyyy">
                  <c:v>42172</c:v>
                </c:pt>
                <c:pt idx="1506" formatCode="m/d/yyyy">
                  <c:v>42173</c:v>
                </c:pt>
                <c:pt idx="1507" formatCode="m/d/yyyy">
                  <c:v>42174</c:v>
                </c:pt>
                <c:pt idx="1508" formatCode="m/d/yyyy">
                  <c:v>42175</c:v>
                </c:pt>
                <c:pt idx="1509" formatCode="m/d/yyyy">
                  <c:v>42176</c:v>
                </c:pt>
                <c:pt idx="1510" formatCode="m/d/yyyy">
                  <c:v>42177</c:v>
                </c:pt>
                <c:pt idx="1511" formatCode="m/d/yyyy">
                  <c:v>42178</c:v>
                </c:pt>
                <c:pt idx="1512" formatCode="m/d/yyyy">
                  <c:v>42179</c:v>
                </c:pt>
                <c:pt idx="1513" formatCode="m/d/yyyy">
                  <c:v>42180</c:v>
                </c:pt>
                <c:pt idx="1514" formatCode="m/d/yyyy">
                  <c:v>42181</c:v>
                </c:pt>
                <c:pt idx="1515" formatCode="m/d/yyyy">
                  <c:v>42182</c:v>
                </c:pt>
                <c:pt idx="1516" formatCode="m/d/yyyy">
                  <c:v>42183</c:v>
                </c:pt>
                <c:pt idx="1517" formatCode="m/d/yyyy">
                  <c:v>42184</c:v>
                </c:pt>
                <c:pt idx="1518" formatCode="m/d/yyyy">
                  <c:v>42185</c:v>
                </c:pt>
                <c:pt idx="1519" formatCode="m/d/yyyy">
                  <c:v>42186</c:v>
                </c:pt>
                <c:pt idx="1520" formatCode="m/d/yyyy">
                  <c:v>42187</c:v>
                </c:pt>
                <c:pt idx="1521" formatCode="m/d/yyyy">
                  <c:v>42188</c:v>
                </c:pt>
                <c:pt idx="1522" formatCode="m/d/yyyy">
                  <c:v>42189</c:v>
                </c:pt>
                <c:pt idx="1523" formatCode="m/d/yyyy">
                  <c:v>42190</c:v>
                </c:pt>
                <c:pt idx="1524" formatCode="m/d/yyyy">
                  <c:v>42191</c:v>
                </c:pt>
                <c:pt idx="1525" formatCode="m/d/yyyy">
                  <c:v>42192</c:v>
                </c:pt>
                <c:pt idx="1526" formatCode="m/d/yyyy">
                  <c:v>42193</c:v>
                </c:pt>
                <c:pt idx="1527" formatCode="m/d/yyyy">
                  <c:v>42194</c:v>
                </c:pt>
                <c:pt idx="1528" formatCode="m/d/yyyy">
                  <c:v>42195</c:v>
                </c:pt>
                <c:pt idx="1529" formatCode="m/d/yyyy">
                  <c:v>42196</c:v>
                </c:pt>
                <c:pt idx="1530" formatCode="m/d/yyyy">
                  <c:v>42197</c:v>
                </c:pt>
                <c:pt idx="1531" formatCode="m/d/yyyy">
                  <c:v>42198</c:v>
                </c:pt>
                <c:pt idx="1532" formatCode="m/d/yyyy">
                  <c:v>42199</c:v>
                </c:pt>
                <c:pt idx="1533" formatCode="m/d/yyyy">
                  <c:v>42200</c:v>
                </c:pt>
                <c:pt idx="1534" formatCode="m/d/yyyy">
                  <c:v>42201</c:v>
                </c:pt>
                <c:pt idx="1535" formatCode="m/d/yyyy">
                  <c:v>42202</c:v>
                </c:pt>
                <c:pt idx="1536" formatCode="m/d/yyyy">
                  <c:v>42203</c:v>
                </c:pt>
                <c:pt idx="1537" formatCode="m/d/yyyy">
                  <c:v>42204</c:v>
                </c:pt>
                <c:pt idx="1538" formatCode="m/d/yyyy">
                  <c:v>42205</c:v>
                </c:pt>
                <c:pt idx="1539" formatCode="m/d/yyyy">
                  <c:v>42206</c:v>
                </c:pt>
                <c:pt idx="1540" formatCode="m/d/yyyy">
                  <c:v>42207</c:v>
                </c:pt>
                <c:pt idx="1541" formatCode="m/d/yyyy">
                  <c:v>42208</c:v>
                </c:pt>
                <c:pt idx="1542" formatCode="m/d/yyyy">
                  <c:v>42209</c:v>
                </c:pt>
                <c:pt idx="1543" formatCode="m/d/yyyy">
                  <c:v>42210</c:v>
                </c:pt>
                <c:pt idx="1544" formatCode="m/d/yyyy">
                  <c:v>42211</c:v>
                </c:pt>
                <c:pt idx="1545" formatCode="m/d/yyyy">
                  <c:v>42212</c:v>
                </c:pt>
                <c:pt idx="1546" formatCode="m/d/yyyy">
                  <c:v>42213</c:v>
                </c:pt>
                <c:pt idx="1547" formatCode="m/d/yyyy">
                  <c:v>42214</c:v>
                </c:pt>
                <c:pt idx="1548" formatCode="m/d/yyyy">
                  <c:v>42215</c:v>
                </c:pt>
                <c:pt idx="1549" formatCode="m/d/yyyy">
                  <c:v>42216</c:v>
                </c:pt>
                <c:pt idx="1550" formatCode="m/d/yyyy">
                  <c:v>42217</c:v>
                </c:pt>
                <c:pt idx="1551" formatCode="m/d/yyyy">
                  <c:v>42218</c:v>
                </c:pt>
                <c:pt idx="1552" formatCode="m/d/yyyy">
                  <c:v>42219</c:v>
                </c:pt>
                <c:pt idx="1553" formatCode="m/d/yyyy">
                  <c:v>42220</c:v>
                </c:pt>
                <c:pt idx="1554" formatCode="m/d/yyyy">
                  <c:v>42221</c:v>
                </c:pt>
                <c:pt idx="1555" formatCode="m/d/yyyy">
                  <c:v>42222</c:v>
                </c:pt>
                <c:pt idx="1556" formatCode="m/d/yyyy">
                  <c:v>42223</c:v>
                </c:pt>
                <c:pt idx="1557" formatCode="m/d/yyyy">
                  <c:v>42224</c:v>
                </c:pt>
                <c:pt idx="1558" formatCode="m/d/yyyy">
                  <c:v>42225</c:v>
                </c:pt>
                <c:pt idx="1559" formatCode="m/d/yyyy">
                  <c:v>42226</c:v>
                </c:pt>
                <c:pt idx="1560" formatCode="m/d/yyyy">
                  <c:v>42227</c:v>
                </c:pt>
                <c:pt idx="1561" formatCode="m/d/yyyy">
                  <c:v>42228</c:v>
                </c:pt>
                <c:pt idx="1562" formatCode="m/d/yyyy">
                  <c:v>42229</c:v>
                </c:pt>
                <c:pt idx="1563" formatCode="m/d/yyyy">
                  <c:v>42230</c:v>
                </c:pt>
                <c:pt idx="1564" formatCode="m/d/yyyy">
                  <c:v>42231</c:v>
                </c:pt>
                <c:pt idx="1565" formatCode="m/d/yyyy">
                  <c:v>42232</c:v>
                </c:pt>
                <c:pt idx="1566" formatCode="m/d/yyyy">
                  <c:v>42233</c:v>
                </c:pt>
                <c:pt idx="1567" formatCode="m/d/yyyy">
                  <c:v>42234</c:v>
                </c:pt>
                <c:pt idx="1568" formatCode="m/d/yyyy">
                  <c:v>42235</c:v>
                </c:pt>
                <c:pt idx="1569" formatCode="m/d/yyyy">
                  <c:v>42236</c:v>
                </c:pt>
                <c:pt idx="1570" formatCode="m/d/yyyy">
                  <c:v>42237</c:v>
                </c:pt>
                <c:pt idx="1571" formatCode="m/d/yyyy">
                  <c:v>42238</c:v>
                </c:pt>
                <c:pt idx="1572" formatCode="m/d/yyyy">
                  <c:v>42239</c:v>
                </c:pt>
                <c:pt idx="1573" formatCode="m/d/yyyy">
                  <c:v>42240</c:v>
                </c:pt>
                <c:pt idx="1574" formatCode="m/d/yyyy">
                  <c:v>42241</c:v>
                </c:pt>
                <c:pt idx="1575" formatCode="m/d/yyyy">
                  <c:v>42242</c:v>
                </c:pt>
                <c:pt idx="1576" formatCode="m/d/yyyy">
                  <c:v>42243</c:v>
                </c:pt>
                <c:pt idx="1577" formatCode="m/d/yyyy">
                  <c:v>42244</c:v>
                </c:pt>
                <c:pt idx="1578" formatCode="m/d/yyyy">
                  <c:v>42245</c:v>
                </c:pt>
                <c:pt idx="1579" formatCode="m/d/yyyy">
                  <c:v>42246</c:v>
                </c:pt>
                <c:pt idx="1580" formatCode="m/d/yyyy">
                  <c:v>42247</c:v>
                </c:pt>
                <c:pt idx="1581" formatCode="m/d/yyyy">
                  <c:v>42248</c:v>
                </c:pt>
                <c:pt idx="1582" formatCode="m/d/yyyy">
                  <c:v>42249</c:v>
                </c:pt>
                <c:pt idx="1583" formatCode="m/d/yyyy">
                  <c:v>42250</c:v>
                </c:pt>
                <c:pt idx="1584" formatCode="m/d/yyyy">
                  <c:v>42251</c:v>
                </c:pt>
                <c:pt idx="1585" formatCode="m/d/yyyy">
                  <c:v>42252</c:v>
                </c:pt>
                <c:pt idx="1586" formatCode="m/d/yyyy">
                  <c:v>42253</c:v>
                </c:pt>
                <c:pt idx="1587" formatCode="m/d/yyyy">
                  <c:v>42254</c:v>
                </c:pt>
                <c:pt idx="1588" formatCode="m/d/yyyy">
                  <c:v>42255</c:v>
                </c:pt>
                <c:pt idx="1589" formatCode="m/d/yyyy">
                  <c:v>42256</c:v>
                </c:pt>
                <c:pt idx="1590" formatCode="m/d/yyyy">
                  <c:v>42257</c:v>
                </c:pt>
                <c:pt idx="1591" formatCode="m/d/yyyy">
                  <c:v>42258</c:v>
                </c:pt>
                <c:pt idx="1592" formatCode="m/d/yyyy">
                  <c:v>42259</c:v>
                </c:pt>
                <c:pt idx="1593" formatCode="m/d/yyyy">
                  <c:v>42260</c:v>
                </c:pt>
                <c:pt idx="1594" formatCode="m/d/yyyy">
                  <c:v>42261</c:v>
                </c:pt>
                <c:pt idx="1595" formatCode="m/d/yyyy">
                  <c:v>42262</c:v>
                </c:pt>
                <c:pt idx="1596" formatCode="m/d/yyyy">
                  <c:v>42263</c:v>
                </c:pt>
                <c:pt idx="1597" formatCode="m/d/yyyy">
                  <c:v>42264</c:v>
                </c:pt>
                <c:pt idx="1598" formatCode="m/d/yyyy">
                  <c:v>42265</c:v>
                </c:pt>
                <c:pt idx="1599" formatCode="m/d/yyyy">
                  <c:v>42266</c:v>
                </c:pt>
                <c:pt idx="1600" formatCode="m/d/yyyy">
                  <c:v>42267</c:v>
                </c:pt>
                <c:pt idx="1601" formatCode="m/d/yyyy">
                  <c:v>42268</c:v>
                </c:pt>
                <c:pt idx="1602" formatCode="m/d/yyyy">
                  <c:v>42269</c:v>
                </c:pt>
                <c:pt idx="1603" formatCode="m/d/yyyy">
                  <c:v>42270</c:v>
                </c:pt>
                <c:pt idx="1604" formatCode="m/d/yyyy">
                  <c:v>42271</c:v>
                </c:pt>
                <c:pt idx="1605" formatCode="m/d/yyyy">
                  <c:v>42272</c:v>
                </c:pt>
                <c:pt idx="1606" formatCode="m/d/yyyy">
                  <c:v>42273</c:v>
                </c:pt>
                <c:pt idx="1607" formatCode="m/d/yyyy">
                  <c:v>42274</c:v>
                </c:pt>
                <c:pt idx="1608" formatCode="m/d/yyyy">
                  <c:v>42275</c:v>
                </c:pt>
                <c:pt idx="1609" formatCode="m/d/yyyy">
                  <c:v>42276</c:v>
                </c:pt>
                <c:pt idx="1610" formatCode="m/d/yyyy">
                  <c:v>42277</c:v>
                </c:pt>
                <c:pt idx="1611" formatCode="m/d/yyyy">
                  <c:v>42278</c:v>
                </c:pt>
                <c:pt idx="1612" formatCode="m/d/yyyy">
                  <c:v>42279</c:v>
                </c:pt>
                <c:pt idx="1613" formatCode="m/d/yyyy">
                  <c:v>42280</c:v>
                </c:pt>
                <c:pt idx="1614" formatCode="m/d/yyyy">
                  <c:v>42281</c:v>
                </c:pt>
                <c:pt idx="1615" formatCode="m/d/yyyy">
                  <c:v>42282</c:v>
                </c:pt>
                <c:pt idx="1616" formatCode="m/d/yyyy">
                  <c:v>42283</c:v>
                </c:pt>
                <c:pt idx="1617" formatCode="m/d/yyyy">
                  <c:v>42284</c:v>
                </c:pt>
                <c:pt idx="1618" formatCode="m/d/yyyy">
                  <c:v>42285</c:v>
                </c:pt>
                <c:pt idx="1619" formatCode="m/d/yyyy">
                  <c:v>42286</c:v>
                </c:pt>
                <c:pt idx="1620" formatCode="m/d/yyyy">
                  <c:v>42287</c:v>
                </c:pt>
                <c:pt idx="1621" formatCode="m/d/yyyy">
                  <c:v>42288</c:v>
                </c:pt>
                <c:pt idx="1622" formatCode="m/d/yyyy">
                  <c:v>42289</c:v>
                </c:pt>
                <c:pt idx="1623" formatCode="m/d/yyyy">
                  <c:v>42290</c:v>
                </c:pt>
                <c:pt idx="1624" formatCode="m/d/yyyy">
                  <c:v>42291</c:v>
                </c:pt>
                <c:pt idx="1625" formatCode="m/d/yyyy">
                  <c:v>42292</c:v>
                </c:pt>
                <c:pt idx="1626" formatCode="m/d/yyyy">
                  <c:v>42293</c:v>
                </c:pt>
                <c:pt idx="1627" formatCode="m/d/yyyy">
                  <c:v>42294</c:v>
                </c:pt>
                <c:pt idx="1628" formatCode="m/d/yyyy">
                  <c:v>42295</c:v>
                </c:pt>
                <c:pt idx="1629" formatCode="m/d/yyyy">
                  <c:v>42296</c:v>
                </c:pt>
                <c:pt idx="1630" formatCode="m/d/yyyy">
                  <c:v>42297</c:v>
                </c:pt>
                <c:pt idx="1631" formatCode="m/d/yyyy">
                  <c:v>42298</c:v>
                </c:pt>
                <c:pt idx="1632" formatCode="m/d/yyyy">
                  <c:v>42299</c:v>
                </c:pt>
                <c:pt idx="1633" formatCode="m/d/yyyy">
                  <c:v>42300</c:v>
                </c:pt>
                <c:pt idx="1634" formatCode="m/d/yyyy">
                  <c:v>42301</c:v>
                </c:pt>
                <c:pt idx="1635" formatCode="m/d/yyyy">
                  <c:v>42302</c:v>
                </c:pt>
                <c:pt idx="1636" formatCode="m/d/yyyy">
                  <c:v>42303</c:v>
                </c:pt>
                <c:pt idx="1637" formatCode="m/d/yyyy">
                  <c:v>42304</c:v>
                </c:pt>
                <c:pt idx="1638" formatCode="m/d/yyyy">
                  <c:v>42305</c:v>
                </c:pt>
                <c:pt idx="1639" formatCode="m/d/yyyy">
                  <c:v>42306</c:v>
                </c:pt>
                <c:pt idx="1640" formatCode="m/d/yyyy">
                  <c:v>42307</c:v>
                </c:pt>
                <c:pt idx="1641" formatCode="m/d/yyyy">
                  <c:v>42308</c:v>
                </c:pt>
                <c:pt idx="1642" formatCode="m/d/yyyy">
                  <c:v>42309</c:v>
                </c:pt>
                <c:pt idx="1643" formatCode="m/d/yyyy">
                  <c:v>42310</c:v>
                </c:pt>
                <c:pt idx="1644" formatCode="m/d/yyyy">
                  <c:v>42311</c:v>
                </c:pt>
                <c:pt idx="1645" formatCode="m/d/yyyy">
                  <c:v>42312</c:v>
                </c:pt>
                <c:pt idx="1646" formatCode="m/d/yyyy">
                  <c:v>42313</c:v>
                </c:pt>
                <c:pt idx="1647" formatCode="m/d/yyyy">
                  <c:v>42314</c:v>
                </c:pt>
                <c:pt idx="1648" formatCode="m/d/yyyy">
                  <c:v>42315</c:v>
                </c:pt>
                <c:pt idx="1649" formatCode="m/d/yyyy">
                  <c:v>42316</c:v>
                </c:pt>
                <c:pt idx="1650" formatCode="m/d/yyyy">
                  <c:v>42317</c:v>
                </c:pt>
                <c:pt idx="1651" formatCode="m/d/yyyy">
                  <c:v>42318</c:v>
                </c:pt>
                <c:pt idx="1652" formatCode="m/d/yyyy">
                  <c:v>42319</c:v>
                </c:pt>
                <c:pt idx="1653" formatCode="m/d/yyyy">
                  <c:v>42320</c:v>
                </c:pt>
                <c:pt idx="1654" formatCode="m/d/yyyy">
                  <c:v>42321</c:v>
                </c:pt>
                <c:pt idx="1655" formatCode="m/d/yyyy">
                  <c:v>42322</c:v>
                </c:pt>
                <c:pt idx="1656" formatCode="m/d/yyyy">
                  <c:v>42323</c:v>
                </c:pt>
                <c:pt idx="1657" formatCode="m/d/yyyy">
                  <c:v>42324</c:v>
                </c:pt>
                <c:pt idx="1658" formatCode="m/d/yyyy">
                  <c:v>42325</c:v>
                </c:pt>
                <c:pt idx="1659" formatCode="m/d/yyyy">
                  <c:v>42326</c:v>
                </c:pt>
                <c:pt idx="1660" formatCode="m/d/yyyy">
                  <c:v>42327</c:v>
                </c:pt>
                <c:pt idx="1661" formatCode="m/d/yyyy">
                  <c:v>42328</c:v>
                </c:pt>
                <c:pt idx="1662" formatCode="m/d/yyyy">
                  <c:v>42329</c:v>
                </c:pt>
                <c:pt idx="1663" formatCode="m/d/yyyy">
                  <c:v>42330</c:v>
                </c:pt>
                <c:pt idx="1664" formatCode="m/d/yyyy">
                  <c:v>42331</c:v>
                </c:pt>
                <c:pt idx="1665" formatCode="m/d/yyyy">
                  <c:v>42332</c:v>
                </c:pt>
                <c:pt idx="1666" formatCode="m/d/yyyy">
                  <c:v>42333</c:v>
                </c:pt>
                <c:pt idx="1667" formatCode="m/d/yyyy">
                  <c:v>42334</c:v>
                </c:pt>
                <c:pt idx="1668" formatCode="m/d/yyyy">
                  <c:v>42335</c:v>
                </c:pt>
                <c:pt idx="1669" formatCode="m/d/yyyy">
                  <c:v>42336</c:v>
                </c:pt>
                <c:pt idx="1670" formatCode="m/d/yyyy">
                  <c:v>42337</c:v>
                </c:pt>
                <c:pt idx="1671" formatCode="m/d/yyyy">
                  <c:v>42338</c:v>
                </c:pt>
                <c:pt idx="1672" formatCode="m/d/yyyy">
                  <c:v>42339</c:v>
                </c:pt>
                <c:pt idx="1673" formatCode="m/d/yyyy">
                  <c:v>42340</c:v>
                </c:pt>
                <c:pt idx="1674" formatCode="m/d/yyyy">
                  <c:v>42341</c:v>
                </c:pt>
                <c:pt idx="1675" formatCode="m/d/yyyy">
                  <c:v>42342</c:v>
                </c:pt>
                <c:pt idx="1676" formatCode="m/d/yyyy">
                  <c:v>42343</c:v>
                </c:pt>
                <c:pt idx="1677" formatCode="m/d/yyyy">
                  <c:v>42344</c:v>
                </c:pt>
                <c:pt idx="1678" formatCode="m/d/yyyy">
                  <c:v>42345</c:v>
                </c:pt>
                <c:pt idx="1679" formatCode="m/d/yyyy">
                  <c:v>42346</c:v>
                </c:pt>
                <c:pt idx="1680" formatCode="m/d/yyyy">
                  <c:v>42347</c:v>
                </c:pt>
                <c:pt idx="1681" formatCode="m/d/yyyy">
                  <c:v>42348</c:v>
                </c:pt>
                <c:pt idx="1682" formatCode="m/d/yyyy">
                  <c:v>42349</c:v>
                </c:pt>
                <c:pt idx="1683" formatCode="m/d/yyyy">
                  <c:v>42350</c:v>
                </c:pt>
                <c:pt idx="1684" formatCode="m/d/yyyy">
                  <c:v>42351</c:v>
                </c:pt>
                <c:pt idx="1685" formatCode="m/d/yyyy">
                  <c:v>42352</c:v>
                </c:pt>
                <c:pt idx="1686" formatCode="m/d/yyyy">
                  <c:v>42353</c:v>
                </c:pt>
                <c:pt idx="1687" formatCode="m/d/yyyy">
                  <c:v>42354</c:v>
                </c:pt>
                <c:pt idx="1688" formatCode="m/d/yyyy">
                  <c:v>42355</c:v>
                </c:pt>
                <c:pt idx="1689" formatCode="m/d/yyyy">
                  <c:v>42356</c:v>
                </c:pt>
                <c:pt idx="1690" formatCode="m/d/yyyy">
                  <c:v>42357</c:v>
                </c:pt>
                <c:pt idx="1691" formatCode="m/d/yyyy">
                  <c:v>42358</c:v>
                </c:pt>
                <c:pt idx="1692" formatCode="m/d/yyyy">
                  <c:v>42359</c:v>
                </c:pt>
                <c:pt idx="1693" formatCode="m/d/yyyy">
                  <c:v>42360</c:v>
                </c:pt>
                <c:pt idx="1694" formatCode="m/d/yyyy">
                  <c:v>42361</c:v>
                </c:pt>
                <c:pt idx="1695" formatCode="m/d/yyyy">
                  <c:v>42362</c:v>
                </c:pt>
                <c:pt idx="1696" formatCode="m/d/yyyy">
                  <c:v>42363</c:v>
                </c:pt>
                <c:pt idx="1697" formatCode="m/d/yyyy">
                  <c:v>42364</c:v>
                </c:pt>
                <c:pt idx="1698" formatCode="m/d/yyyy">
                  <c:v>42365</c:v>
                </c:pt>
                <c:pt idx="1699" formatCode="m/d/yyyy">
                  <c:v>42366</c:v>
                </c:pt>
                <c:pt idx="1700" formatCode="m/d/yyyy">
                  <c:v>42367</c:v>
                </c:pt>
                <c:pt idx="1701" formatCode="m/d/yyyy">
                  <c:v>42368</c:v>
                </c:pt>
                <c:pt idx="1702" formatCode="m/d/yyyy">
                  <c:v>42369</c:v>
                </c:pt>
                <c:pt idx="1703" formatCode="m/d/yyyy">
                  <c:v>42370</c:v>
                </c:pt>
                <c:pt idx="1704" formatCode="m/d/yyyy">
                  <c:v>42371</c:v>
                </c:pt>
                <c:pt idx="1705" formatCode="m/d/yyyy">
                  <c:v>42372</c:v>
                </c:pt>
                <c:pt idx="1706" formatCode="m/d/yyyy">
                  <c:v>42373</c:v>
                </c:pt>
                <c:pt idx="1707" formatCode="m/d/yyyy">
                  <c:v>42374</c:v>
                </c:pt>
                <c:pt idx="1708" formatCode="m/d/yyyy">
                  <c:v>42375</c:v>
                </c:pt>
                <c:pt idx="1709" formatCode="m/d/yyyy">
                  <c:v>42376</c:v>
                </c:pt>
                <c:pt idx="1710" formatCode="m/d/yyyy">
                  <c:v>42377</c:v>
                </c:pt>
                <c:pt idx="1711" formatCode="m/d/yyyy">
                  <c:v>42378</c:v>
                </c:pt>
                <c:pt idx="1712" formatCode="m/d/yyyy">
                  <c:v>42379</c:v>
                </c:pt>
                <c:pt idx="1713" formatCode="m/d/yyyy">
                  <c:v>42380</c:v>
                </c:pt>
                <c:pt idx="1714" formatCode="m/d/yyyy">
                  <c:v>42381</c:v>
                </c:pt>
              </c:numCache>
            </c:numRef>
          </c:cat>
          <c:val>
            <c:numRef>
              <c:f>开工率!$D$2:$D$2500</c:f>
              <c:numCache>
                <c:formatCode>###,###,###,###,##0.00_ </c:formatCode>
                <c:ptCount val="2499"/>
                <c:pt idx="0">
                  <c:v>28</c:v>
                </c:pt>
                <c:pt idx="1">
                  <c:v>28</c:v>
                </c:pt>
                <c:pt idx="2">
                  <c:v>28</c:v>
                </c:pt>
                <c:pt idx="3">
                  <c:v>28</c:v>
                </c:pt>
                <c:pt idx="4">
                  <c:v>27</c:v>
                </c:pt>
                <c:pt idx="5">
                  <c:v>27</c:v>
                </c:pt>
                <c:pt idx="6">
                  <c:v>27</c:v>
                </c:pt>
                <c:pt idx="7">
                  <c:v>27</c:v>
                </c:pt>
                <c:pt idx="8">
                  <c:v>20</c:v>
                </c:pt>
                <c:pt idx="9">
                  <c:v>18</c:v>
                </c:pt>
                <c:pt idx="10">
                  <c:v>15</c:v>
                </c:pt>
                <c:pt idx="11">
                  <c:v>30</c:v>
                </c:pt>
                <c:pt idx="12">
                  <c:v>30</c:v>
                </c:pt>
                <c:pt idx="13">
                  <c:v>35</c:v>
                </c:pt>
                <c:pt idx="14">
                  <c:v>35</c:v>
                </c:pt>
                <c:pt idx="15">
                  <c:v>35</c:v>
                </c:pt>
                <c:pt idx="16">
                  <c:v>45</c:v>
                </c:pt>
                <c:pt idx="17">
                  <c:v>45</c:v>
                </c:pt>
                <c:pt idx="18">
                  <c:v>50</c:v>
                </c:pt>
                <c:pt idx="19">
                  <c:v>53</c:v>
                </c:pt>
                <c:pt idx="20">
                  <c:v>63</c:v>
                </c:pt>
                <c:pt idx="21">
                  <c:v>63</c:v>
                </c:pt>
                <c:pt idx="22">
                  <c:v>63</c:v>
                </c:pt>
                <c:pt idx="23">
                  <c:v>63</c:v>
                </c:pt>
                <c:pt idx="24">
                  <c:v>63</c:v>
                </c:pt>
                <c:pt idx="25">
                  <c:v>63</c:v>
                </c:pt>
                <c:pt idx="26">
                  <c:v>65</c:v>
                </c:pt>
                <c:pt idx="27">
                  <c:v>63</c:v>
                </c:pt>
                <c:pt idx="28">
                  <c:v>62</c:v>
                </c:pt>
                <c:pt idx="29">
                  <c:v>62</c:v>
                </c:pt>
                <c:pt idx="30">
                  <c:v>62</c:v>
                </c:pt>
                <c:pt idx="31">
                  <c:v>62</c:v>
                </c:pt>
                <c:pt idx="32">
                  <c:v>62</c:v>
                </c:pt>
                <c:pt idx="33">
                  <c:v>63</c:v>
                </c:pt>
                <c:pt idx="34">
                  <c:v>63</c:v>
                </c:pt>
                <c:pt idx="35">
                  <c:v>63</c:v>
                </c:pt>
                <c:pt idx="36">
                  <c:v>63</c:v>
                </c:pt>
                <c:pt idx="37">
                  <c:v>63</c:v>
                </c:pt>
                <c:pt idx="38">
                  <c:v>63</c:v>
                </c:pt>
                <c:pt idx="39">
                  <c:v>63</c:v>
                </c:pt>
                <c:pt idx="40">
                  <c:v>63</c:v>
                </c:pt>
                <c:pt idx="41">
                  <c:v>63</c:v>
                </c:pt>
                <c:pt idx="42">
                  <c:v>63</c:v>
                </c:pt>
                <c:pt idx="43">
                  <c:v>63</c:v>
                </c:pt>
                <c:pt idx="44">
                  <c:v>63</c:v>
                </c:pt>
                <c:pt idx="45">
                  <c:v>63</c:v>
                </c:pt>
                <c:pt idx="46">
                  <c:v>63</c:v>
                </c:pt>
                <c:pt idx="47">
                  <c:v>63</c:v>
                </c:pt>
                <c:pt idx="48">
                  <c:v>63</c:v>
                </c:pt>
                <c:pt idx="49">
                  <c:v>63</c:v>
                </c:pt>
                <c:pt idx="50">
                  <c:v>63</c:v>
                </c:pt>
                <c:pt idx="51">
                  <c:v>63</c:v>
                </c:pt>
                <c:pt idx="52">
                  <c:v>63</c:v>
                </c:pt>
                <c:pt idx="53">
                  <c:v>68</c:v>
                </c:pt>
                <c:pt idx="54">
                  <c:v>68</c:v>
                </c:pt>
                <c:pt idx="55">
                  <c:v>73</c:v>
                </c:pt>
                <c:pt idx="56">
                  <c:v>73</c:v>
                </c:pt>
                <c:pt idx="57">
                  <c:v>73</c:v>
                </c:pt>
                <c:pt idx="58">
                  <c:v>72</c:v>
                </c:pt>
                <c:pt idx="59">
                  <c:v>71</c:v>
                </c:pt>
                <c:pt idx="60">
                  <c:v>68</c:v>
                </c:pt>
                <c:pt idx="61">
                  <c:v>68</c:v>
                </c:pt>
                <c:pt idx="62">
                  <c:v>68</c:v>
                </c:pt>
                <c:pt idx="63">
                  <c:v>68</c:v>
                </c:pt>
                <c:pt idx="64">
                  <c:v>68</c:v>
                </c:pt>
                <c:pt idx="65">
                  <c:v>68</c:v>
                </c:pt>
                <c:pt idx="66">
                  <c:v>68</c:v>
                </c:pt>
                <c:pt idx="67">
                  <c:v>68</c:v>
                </c:pt>
                <c:pt idx="68">
                  <c:v>68</c:v>
                </c:pt>
                <c:pt idx="69">
                  <c:v>68</c:v>
                </c:pt>
                <c:pt idx="70">
                  <c:v>68</c:v>
                </c:pt>
                <c:pt idx="71">
                  <c:v>66</c:v>
                </c:pt>
                <c:pt idx="72">
                  <c:v>66</c:v>
                </c:pt>
                <c:pt idx="73">
                  <c:v>66</c:v>
                </c:pt>
                <c:pt idx="74">
                  <c:v>64</c:v>
                </c:pt>
                <c:pt idx="75">
                  <c:v>65</c:v>
                </c:pt>
                <c:pt idx="76">
                  <c:v>64</c:v>
                </c:pt>
                <c:pt idx="77">
                  <c:v>64</c:v>
                </c:pt>
                <c:pt idx="78">
                  <c:v>64</c:v>
                </c:pt>
                <c:pt idx="79">
                  <c:v>62</c:v>
                </c:pt>
                <c:pt idx="80">
                  <c:v>62</c:v>
                </c:pt>
                <c:pt idx="81">
                  <c:v>60</c:v>
                </c:pt>
                <c:pt idx="82">
                  <c:v>60</c:v>
                </c:pt>
                <c:pt idx="83">
                  <c:v>60</c:v>
                </c:pt>
                <c:pt idx="84">
                  <c:v>65</c:v>
                </c:pt>
                <c:pt idx="85">
                  <c:v>60</c:v>
                </c:pt>
                <c:pt idx="86">
                  <c:v>60</c:v>
                </c:pt>
                <c:pt idx="87">
                  <c:v>60</c:v>
                </c:pt>
                <c:pt idx="88">
                  <c:v>60</c:v>
                </c:pt>
                <c:pt idx="89">
                  <c:v>60</c:v>
                </c:pt>
                <c:pt idx="90">
                  <c:v>60</c:v>
                </c:pt>
                <c:pt idx="91">
                  <c:v>60</c:v>
                </c:pt>
                <c:pt idx="92">
                  <c:v>60</c:v>
                </c:pt>
                <c:pt idx="93">
                  <c:v>60</c:v>
                </c:pt>
                <c:pt idx="94">
                  <c:v>60</c:v>
                </c:pt>
                <c:pt idx="95">
                  <c:v>59</c:v>
                </c:pt>
                <c:pt idx="96">
                  <c:v>59</c:v>
                </c:pt>
                <c:pt idx="97">
                  <c:v>58</c:v>
                </c:pt>
                <c:pt idx="98">
                  <c:v>58</c:v>
                </c:pt>
                <c:pt idx="99">
                  <c:v>58</c:v>
                </c:pt>
                <c:pt idx="100">
                  <c:v>58</c:v>
                </c:pt>
                <c:pt idx="101">
                  <c:v>56</c:v>
                </c:pt>
                <c:pt idx="102">
                  <c:v>56</c:v>
                </c:pt>
                <c:pt idx="103">
                  <c:v>56</c:v>
                </c:pt>
                <c:pt idx="104">
                  <c:v>56</c:v>
                </c:pt>
                <c:pt idx="105">
                  <c:v>60</c:v>
                </c:pt>
                <c:pt idx="106">
                  <c:v>62</c:v>
                </c:pt>
                <c:pt idx="107">
                  <c:v>64</c:v>
                </c:pt>
                <c:pt idx="108">
                  <c:v>64</c:v>
                </c:pt>
                <c:pt idx="109">
                  <c:v>62</c:v>
                </c:pt>
                <c:pt idx="110">
                  <c:v>62</c:v>
                </c:pt>
                <c:pt idx="111">
                  <c:v>62</c:v>
                </c:pt>
                <c:pt idx="112">
                  <c:v>61</c:v>
                </c:pt>
                <c:pt idx="113">
                  <c:v>61</c:v>
                </c:pt>
                <c:pt idx="114">
                  <c:v>61</c:v>
                </c:pt>
                <c:pt idx="115">
                  <c:v>61</c:v>
                </c:pt>
                <c:pt idx="116">
                  <c:v>61</c:v>
                </c:pt>
                <c:pt idx="117">
                  <c:v>61</c:v>
                </c:pt>
                <c:pt idx="118">
                  <c:v>61</c:v>
                </c:pt>
                <c:pt idx="119">
                  <c:v>61</c:v>
                </c:pt>
                <c:pt idx="120">
                  <c:v>61</c:v>
                </c:pt>
                <c:pt idx="121">
                  <c:v>61</c:v>
                </c:pt>
                <c:pt idx="122">
                  <c:v>61</c:v>
                </c:pt>
                <c:pt idx="123">
                  <c:v>61</c:v>
                </c:pt>
                <c:pt idx="124">
                  <c:v>61</c:v>
                </c:pt>
                <c:pt idx="125">
                  <c:v>61</c:v>
                </c:pt>
                <c:pt idx="126">
                  <c:v>65</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59</c:v>
                </c:pt>
                <c:pt idx="149">
                  <c:v>59</c:v>
                </c:pt>
                <c:pt idx="150">
                  <c:v>59</c:v>
                </c:pt>
                <c:pt idx="151">
                  <c:v>59</c:v>
                </c:pt>
                <c:pt idx="152">
                  <c:v>59</c:v>
                </c:pt>
                <c:pt idx="153">
                  <c:v>59</c:v>
                </c:pt>
                <c:pt idx="154">
                  <c:v>59</c:v>
                </c:pt>
                <c:pt idx="155">
                  <c:v>59</c:v>
                </c:pt>
                <c:pt idx="156">
                  <c:v>59</c:v>
                </c:pt>
                <c:pt idx="157">
                  <c:v>59</c:v>
                </c:pt>
                <c:pt idx="158">
                  <c:v>59</c:v>
                </c:pt>
                <c:pt idx="159">
                  <c:v>59</c:v>
                </c:pt>
                <c:pt idx="160">
                  <c:v>59</c:v>
                </c:pt>
                <c:pt idx="161">
                  <c:v>59</c:v>
                </c:pt>
                <c:pt idx="162">
                  <c:v>59</c:v>
                </c:pt>
                <c:pt idx="163">
                  <c:v>59</c:v>
                </c:pt>
                <c:pt idx="164">
                  <c:v>59</c:v>
                </c:pt>
                <c:pt idx="165">
                  <c:v>59</c:v>
                </c:pt>
                <c:pt idx="166">
                  <c:v>59</c:v>
                </c:pt>
                <c:pt idx="167">
                  <c:v>59</c:v>
                </c:pt>
                <c:pt idx="168">
                  <c:v>59</c:v>
                </c:pt>
                <c:pt idx="169">
                  <c:v>61</c:v>
                </c:pt>
                <c:pt idx="170">
                  <c:v>63</c:v>
                </c:pt>
                <c:pt idx="171">
                  <c:v>63</c:v>
                </c:pt>
                <c:pt idx="172">
                  <c:v>63</c:v>
                </c:pt>
                <c:pt idx="173">
                  <c:v>63</c:v>
                </c:pt>
                <c:pt idx="174">
                  <c:v>62</c:v>
                </c:pt>
                <c:pt idx="175">
                  <c:v>62</c:v>
                </c:pt>
                <c:pt idx="176">
                  <c:v>62</c:v>
                </c:pt>
                <c:pt idx="177">
                  <c:v>62</c:v>
                </c:pt>
                <c:pt idx="178">
                  <c:v>62</c:v>
                </c:pt>
                <c:pt idx="179">
                  <c:v>62</c:v>
                </c:pt>
                <c:pt idx="180">
                  <c:v>62</c:v>
                </c:pt>
                <c:pt idx="181">
                  <c:v>62</c:v>
                </c:pt>
                <c:pt idx="182">
                  <c:v>62</c:v>
                </c:pt>
                <c:pt idx="183">
                  <c:v>64</c:v>
                </c:pt>
                <c:pt idx="184">
                  <c:v>66</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72</c:v>
                </c:pt>
                <c:pt idx="204">
                  <c:v>72</c:v>
                </c:pt>
                <c:pt idx="205">
                  <c:v>72</c:v>
                </c:pt>
                <c:pt idx="206">
                  <c:v>72</c:v>
                </c:pt>
                <c:pt idx="207">
                  <c:v>72</c:v>
                </c:pt>
                <c:pt idx="208">
                  <c:v>72</c:v>
                </c:pt>
                <c:pt idx="209">
                  <c:v>72</c:v>
                </c:pt>
                <c:pt idx="210">
                  <c:v>72</c:v>
                </c:pt>
                <c:pt idx="211">
                  <c:v>74</c:v>
                </c:pt>
                <c:pt idx="212">
                  <c:v>74</c:v>
                </c:pt>
                <c:pt idx="213">
                  <c:v>76</c:v>
                </c:pt>
                <c:pt idx="214">
                  <c:v>76</c:v>
                </c:pt>
                <c:pt idx="215">
                  <c:v>76</c:v>
                </c:pt>
                <c:pt idx="216">
                  <c:v>76</c:v>
                </c:pt>
                <c:pt idx="217">
                  <c:v>76</c:v>
                </c:pt>
                <c:pt idx="218">
                  <c:v>76</c:v>
                </c:pt>
                <c:pt idx="219">
                  <c:v>75</c:v>
                </c:pt>
                <c:pt idx="220">
                  <c:v>73</c:v>
                </c:pt>
                <c:pt idx="221">
                  <c:v>70</c:v>
                </c:pt>
                <c:pt idx="222">
                  <c:v>70</c:v>
                </c:pt>
                <c:pt idx="223">
                  <c:v>68</c:v>
                </c:pt>
                <c:pt idx="224">
                  <c:v>67</c:v>
                </c:pt>
                <c:pt idx="225">
                  <c:v>66</c:v>
                </c:pt>
                <c:pt idx="226">
                  <c:v>66</c:v>
                </c:pt>
                <c:pt idx="227">
                  <c:v>66</c:v>
                </c:pt>
                <c:pt idx="228">
                  <c:v>66</c:v>
                </c:pt>
                <c:pt idx="229">
                  <c:v>65</c:v>
                </c:pt>
                <c:pt idx="230">
                  <c:v>64</c:v>
                </c:pt>
                <c:pt idx="231">
                  <c:v>63</c:v>
                </c:pt>
                <c:pt idx="232">
                  <c:v>60</c:v>
                </c:pt>
                <c:pt idx="233">
                  <c:v>60</c:v>
                </c:pt>
                <c:pt idx="234">
                  <c:v>60</c:v>
                </c:pt>
                <c:pt idx="235">
                  <c:v>60</c:v>
                </c:pt>
                <c:pt idx="236">
                  <c:v>60</c:v>
                </c:pt>
                <c:pt idx="237">
                  <c:v>60</c:v>
                </c:pt>
                <c:pt idx="238">
                  <c:v>60</c:v>
                </c:pt>
                <c:pt idx="239">
                  <c:v>62</c:v>
                </c:pt>
                <c:pt idx="240">
                  <c:v>62</c:v>
                </c:pt>
                <c:pt idx="241">
                  <c:v>62</c:v>
                </c:pt>
                <c:pt idx="242">
                  <c:v>62</c:v>
                </c:pt>
                <c:pt idx="243">
                  <c:v>60</c:v>
                </c:pt>
                <c:pt idx="244">
                  <c:v>60</c:v>
                </c:pt>
                <c:pt idx="245">
                  <c:v>61</c:v>
                </c:pt>
                <c:pt idx="246">
                  <c:v>61</c:v>
                </c:pt>
                <c:pt idx="247">
                  <c:v>61</c:v>
                </c:pt>
                <c:pt idx="248">
                  <c:v>61</c:v>
                </c:pt>
                <c:pt idx="249">
                  <c:v>63</c:v>
                </c:pt>
                <c:pt idx="250">
                  <c:v>65</c:v>
                </c:pt>
                <c:pt idx="251">
                  <c:v>65</c:v>
                </c:pt>
                <c:pt idx="252">
                  <c:v>65</c:v>
                </c:pt>
                <c:pt idx="253">
                  <c:v>65</c:v>
                </c:pt>
                <c:pt idx="254">
                  <c:v>65</c:v>
                </c:pt>
                <c:pt idx="255">
                  <c:v>63</c:v>
                </c:pt>
                <c:pt idx="256">
                  <c:v>61</c:v>
                </c:pt>
                <c:pt idx="257">
                  <c:v>59</c:v>
                </c:pt>
                <c:pt idx="258">
                  <c:v>57</c:v>
                </c:pt>
                <c:pt idx="259">
                  <c:v>53</c:v>
                </c:pt>
                <c:pt idx="260">
                  <c:v>45</c:v>
                </c:pt>
                <c:pt idx="261">
                  <c:v>38</c:v>
                </c:pt>
                <c:pt idx="262">
                  <c:v>35</c:v>
                </c:pt>
                <c:pt idx="263">
                  <c:v>25</c:v>
                </c:pt>
                <c:pt idx="264">
                  <c:v>28</c:v>
                </c:pt>
                <c:pt idx="265">
                  <c:v>32</c:v>
                </c:pt>
                <c:pt idx="266">
                  <c:v>35</c:v>
                </c:pt>
                <c:pt idx="267">
                  <c:v>35</c:v>
                </c:pt>
                <c:pt idx="268">
                  <c:v>35</c:v>
                </c:pt>
                <c:pt idx="269">
                  <c:v>55</c:v>
                </c:pt>
                <c:pt idx="270">
                  <c:v>55</c:v>
                </c:pt>
                <c:pt idx="271">
                  <c:v>55</c:v>
                </c:pt>
                <c:pt idx="272">
                  <c:v>55</c:v>
                </c:pt>
                <c:pt idx="273">
                  <c:v>60</c:v>
                </c:pt>
                <c:pt idx="274">
                  <c:v>62</c:v>
                </c:pt>
                <c:pt idx="275">
                  <c:v>62</c:v>
                </c:pt>
                <c:pt idx="276">
                  <c:v>68</c:v>
                </c:pt>
                <c:pt idx="277">
                  <c:v>69</c:v>
                </c:pt>
                <c:pt idx="278">
                  <c:v>70</c:v>
                </c:pt>
                <c:pt idx="279">
                  <c:v>70</c:v>
                </c:pt>
                <c:pt idx="280">
                  <c:v>70</c:v>
                </c:pt>
                <c:pt idx="281">
                  <c:v>70</c:v>
                </c:pt>
                <c:pt idx="282">
                  <c:v>70</c:v>
                </c:pt>
                <c:pt idx="283">
                  <c:v>72</c:v>
                </c:pt>
                <c:pt idx="284">
                  <c:v>72</c:v>
                </c:pt>
                <c:pt idx="285">
                  <c:v>72</c:v>
                </c:pt>
                <c:pt idx="286">
                  <c:v>72</c:v>
                </c:pt>
                <c:pt idx="287">
                  <c:v>74</c:v>
                </c:pt>
                <c:pt idx="288">
                  <c:v>75</c:v>
                </c:pt>
                <c:pt idx="289">
                  <c:v>75</c:v>
                </c:pt>
                <c:pt idx="290">
                  <c:v>75</c:v>
                </c:pt>
                <c:pt idx="291">
                  <c:v>75</c:v>
                </c:pt>
                <c:pt idx="292">
                  <c:v>78</c:v>
                </c:pt>
                <c:pt idx="293">
                  <c:v>78</c:v>
                </c:pt>
                <c:pt idx="294">
                  <c:v>78</c:v>
                </c:pt>
                <c:pt idx="295">
                  <c:v>78</c:v>
                </c:pt>
                <c:pt idx="296">
                  <c:v>80</c:v>
                </c:pt>
                <c:pt idx="297">
                  <c:v>80</c:v>
                </c:pt>
                <c:pt idx="298">
                  <c:v>80</c:v>
                </c:pt>
                <c:pt idx="299">
                  <c:v>80</c:v>
                </c:pt>
                <c:pt idx="300">
                  <c:v>80</c:v>
                </c:pt>
                <c:pt idx="301">
                  <c:v>80</c:v>
                </c:pt>
                <c:pt idx="302">
                  <c:v>80</c:v>
                </c:pt>
                <c:pt idx="303">
                  <c:v>80</c:v>
                </c:pt>
                <c:pt idx="304">
                  <c:v>80</c:v>
                </c:pt>
                <c:pt idx="305">
                  <c:v>80</c:v>
                </c:pt>
                <c:pt idx="306">
                  <c:v>80</c:v>
                </c:pt>
                <c:pt idx="307">
                  <c:v>80</c:v>
                </c:pt>
                <c:pt idx="308">
                  <c:v>80</c:v>
                </c:pt>
                <c:pt idx="309">
                  <c:v>80</c:v>
                </c:pt>
                <c:pt idx="310">
                  <c:v>80</c:v>
                </c:pt>
                <c:pt idx="311">
                  <c:v>78</c:v>
                </c:pt>
                <c:pt idx="312">
                  <c:v>76</c:v>
                </c:pt>
                <c:pt idx="313">
                  <c:v>76</c:v>
                </c:pt>
                <c:pt idx="314">
                  <c:v>74</c:v>
                </c:pt>
                <c:pt idx="315">
                  <c:v>74</c:v>
                </c:pt>
                <c:pt idx="316">
                  <c:v>74</c:v>
                </c:pt>
                <c:pt idx="317">
                  <c:v>72</c:v>
                </c:pt>
                <c:pt idx="318">
                  <c:v>72</c:v>
                </c:pt>
                <c:pt idx="319">
                  <c:v>70</c:v>
                </c:pt>
                <c:pt idx="320">
                  <c:v>70</c:v>
                </c:pt>
                <c:pt idx="321">
                  <c:v>70</c:v>
                </c:pt>
                <c:pt idx="322">
                  <c:v>70</c:v>
                </c:pt>
                <c:pt idx="323">
                  <c:v>70</c:v>
                </c:pt>
                <c:pt idx="324">
                  <c:v>70</c:v>
                </c:pt>
                <c:pt idx="325">
                  <c:v>70</c:v>
                </c:pt>
                <c:pt idx="326">
                  <c:v>70</c:v>
                </c:pt>
                <c:pt idx="327">
                  <c:v>70</c:v>
                </c:pt>
                <c:pt idx="328">
                  <c:v>70</c:v>
                </c:pt>
                <c:pt idx="329">
                  <c:v>70</c:v>
                </c:pt>
                <c:pt idx="330">
                  <c:v>70</c:v>
                </c:pt>
                <c:pt idx="331">
                  <c:v>70</c:v>
                </c:pt>
                <c:pt idx="332">
                  <c:v>70</c:v>
                </c:pt>
                <c:pt idx="333">
                  <c:v>70</c:v>
                </c:pt>
                <c:pt idx="334">
                  <c:v>70</c:v>
                </c:pt>
                <c:pt idx="335">
                  <c:v>70</c:v>
                </c:pt>
                <c:pt idx="336">
                  <c:v>70</c:v>
                </c:pt>
                <c:pt idx="337">
                  <c:v>70</c:v>
                </c:pt>
                <c:pt idx="338">
                  <c:v>70</c:v>
                </c:pt>
                <c:pt idx="339">
                  <c:v>70</c:v>
                </c:pt>
                <c:pt idx="340">
                  <c:v>70</c:v>
                </c:pt>
                <c:pt idx="341">
                  <c:v>70</c:v>
                </c:pt>
                <c:pt idx="342">
                  <c:v>70</c:v>
                </c:pt>
                <c:pt idx="343">
                  <c:v>70</c:v>
                </c:pt>
                <c:pt idx="344">
                  <c:v>72</c:v>
                </c:pt>
                <c:pt idx="345">
                  <c:v>72</c:v>
                </c:pt>
                <c:pt idx="346">
                  <c:v>72</c:v>
                </c:pt>
                <c:pt idx="347">
                  <c:v>72</c:v>
                </c:pt>
                <c:pt idx="348">
                  <c:v>72</c:v>
                </c:pt>
                <c:pt idx="349">
                  <c:v>72</c:v>
                </c:pt>
                <c:pt idx="350">
                  <c:v>70</c:v>
                </c:pt>
                <c:pt idx="351">
                  <c:v>70</c:v>
                </c:pt>
                <c:pt idx="352">
                  <c:v>70</c:v>
                </c:pt>
                <c:pt idx="353">
                  <c:v>70</c:v>
                </c:pt>
                <c:pt idx="354">
                  <c:v>70</c:v>
                </c:pt>
                <c:pt idx="355">
                  <c:v>70</c:v>
                </c:pt>
                <c:pt idx="356">
                  <c:v>70</c:v>
                </c:pt>
                <c:pt idx="357">
                  <c:v>70</c:v>
                </c:pt>
                <c:pt idx="358">
                  <c:v>70</c:v>
                </c:pt>
                <c:pt idx="359">
                  <c:v>70</c:v>
                </c:pt>
                <c:pt idx="360">
                  <c:v>70</c:v>
                </c:pt>
                <c:pt idx="361">
                  <c:v>70</c:v>
                </c:pt>
                <c:pt idx="362">
                  <c:v>70</c:v>
                </c:pt>
                <c:pt idx="363">
                  <c:v>70</c:v>
                </c:pt>
                <c:pt idx="364">
                  <c:v>70</c:v>
                </c:pt>
                <c:pt idx="365">
                  <c:v>70</c:v>
                </c:pt>
                <c:pt idx="366">
                  <c:v>70</c:v>
                </c:pt>
                <c:pt idx="367">
                  <c:v>70</c:v>
                </c:pt>
                <c:pt idx="368">
                  <c:v>70</c:v>
                </c:pt>
                <c:pt idx="369">
                  <c:v>70</c:v>
                </c:pt>
                <c:pt idx="370">
                  <c:v>70</c:v>
                </c:pt>
                <c:pt idx="371">
                  <c:v>70</c:v>
                </c:pt>
                <c:pt idx="372">
                  <c:v>70</c:v>
                </c:pt>
                <c:pt idx="373">
                  <c:v>70</c:v>
                </c:pt>
                <c:pt idx="374">
                  <c:v>70</c:v>
                </c:pt>
                <c:pt idx="375">
                  <c:v>70</c:v>
                </c:pt>
                <c:pt idx="376">
                  <c:v>70</c:v>
                </c:pt>
                <c:pt idx="377">
                  <c:v>65</c:v>
                </c:pt>
                <c:pt idx="378">
                  <c:v>65</c:v>
                </c:pt>
                <c:pt idx="379">
                  <c:v>65</c:v>
                </c:pt>
                <c:pt idx="380">
                  <c:v>65</c:v>
                </c:pt>
                <c:pt idx="381">
                  <c:v>65</c:v>
                </c:pt>
                <c:pt idx="382">
                  <c:v>65</c:v>
                </c:pt>
                <c:pt idx="383">
                  <c:v>65</c:v>
                </c:pt>
                <c:pt idx="384">
                  <c:v>65</c:v>
                </c:pt>
                <c:pt idx="385">
                  <c:v>65</c:v>
                </c:pt>
                <c:pt idx="386">
                  <c:v>65</c:v>
                </c:pt>
                <c:pt idx="387">
                  <c:v>65</c:v>
                </c:pt>
                <c:pt idx="388">
                  <c:v>66</c:v>
                </c:pt>
                <c:pt idx="389">
                  <c:v>68</c:v>
                </c:pt>
                <c:pt idx="390">
                  <c:v>68</c:v>
                </c:pt>
                <c:pt idx="391">
                  <c:v>68</c:v>
                </c:pt>
                <c:pt idx="392">
                  <c:v>68</c:v>
                </c:pt>
                <c:pt idx="393">
                  <c:v>68</c:v>
                </c:pt>
                <c:pt idx="394">
                  <c:v>68</c:v>
                </c:pt>
                <c:pt idx="395">
                  <c:v>70</c:v>
                </c:pt>
                <c:pt idx="396">
                  <c:v>70</c:v>
                </c:pt>
                <c:pt idx="397">
                  <c:v>70</c:v>
                </c:pt>
                <c:pt idx="398">
                  <c:v>70</c:v>
                </c:pt>
                <c:pt idx="399">
                  <c:v>72</c:v>
                </c:pt>
                <c:pt idx="400">
                  <c:v>72</c:v>
                </c:pt>
                <c:pt idx="401">
                  <c:v>72</c:v>
                </c:pt>
                <c:pt idx="402">
                  <c:v>72</c:v>
                </c:pt>
                <c:pt idx="403">
                  <c:v>72</c:v>
                </c:pt>
                <c:pt idx="404">
                  <c:v>76</c:v>
                </c:pt>
                <c:pt idx="405">
                  <c:v>76</c:v>
                </c:pt>
                <c:pt idx="406">
                  <c:v>76</c:v>
                </c:pt>
                <c:pt idx="407">
                  <c:v>76</c:v>
                </c:pt>
                <c:pt idx="408">
                  <c:v>76</c:v>
                </c:pt>
                <c:pt idx="409">
                  <c:v>78</c:v>
                </c:pt>
                <c:pt idx="410">
                  <c:v>78</c:v>
                </c:pt>
                <c:pt idx="411">
                  <c:v>78</c:v>
                </c:pt>
                <c:pt idx="412">
                  <c:v>78</c:v>
                </c:pt>
                <c:pt idx="413">
                  <c:v>78</c:v>
                </c:pt>
                <c:pt idx="414">
                  <c:v>76</c:v>
                </c:pt>
                <c:pt idx="415">
                  <c:v>76</c:v>
                </c:pt>
                <c:pt idx="416">
                  <c:v>75</c:v>
                </c:pt>
                <c:pt idx="417">
                  <c:v>75</c:v>
                </c:pt>
                <c:pt idx="418">
                  <c:v>75</c:v>
                </c:pt>
                <c:pt idx="419">
                  <c:v>75</c:v>
                </c:pt>
                <c:pt idx="420">
                  <c:v>75</c:v>
                </c:pt>
                <c:pt idx="421">
                  <c:v>75</c:v>
                </c:pt>
                <c:pt idx="422">
                  <c:v>75</c:v>
                </c:pt>
                <c:pt idx="423">
                  <c:v>75</c:v>
                </c:pt>
                <c:pt idx="424">
                  <c:v>75</c:v>
                </c:pt>
                <c:pt idx="425">
                  <c:v>73</c:v>
                </c:pt>
                <c:pt idx="426">
                  <c:v>73</c:v>
                </c:pt>
                <c:pt idx="427">
                  <c:v>73</c:v>
                </c:pt>
                <c:pt idx="428">
                  <c:v>73</c:v>
                </c:pt>
                <c:pt idx="429">
                  <c:v>73</c:v>
                </c:pt>
                <c:pt idx="430">
                  <c:v>73</c:v>
                </c:pt>
                <c:pt idx="431">
                  <c:v>70</c:v>
                </c:pt>
                <c:pt idx="432">
                  <c:v>70</c:v>
                </c:pt>
                <c:pt idx="433">
                  <c:v>70</c:v>
                </c:pt>
                <c:pt idx="434">
                  <c:v>70</c:v>
                </c:pt>
                <c:pt idx="435">
                  <c:v>70</c:v>
                </c:pt>
                <c:pt idx="436">
                  <c:v>70</c:v>
                </c:pt>
                <c:pt idx="437">
                  <c:v>70</c:v>
                </c:pt>
                <c:pt idx="438">
                  <c:v>70</c:v>
                </c:pt>
                <c:pt idx="439">
                  <c:v>69</c:v>
                </c:pt>
                <c:pt idx="440">
                  <c:v>67</c:v>
                </c:pt>
                <c:pt idx="441">
                  <c:v>66</c:v>
                </c:pt>
                <c:pt idx="442">
                  <c:v>66</c:v>
                </c:pt>
                <c:pt idx="443">
                  <c:v>66</c:v>
                </c:pt>
                <c:pt idx="444">
                  <c:v>66</c:v>
                </c:pt>
                <c:pt idx="445">
                  <c:v>66</c:v>
                </c:pt>
                <c:pt idx="446">
                  <c:v>66</c:v>
                </c:pt>
                <c:pt idx="447">
                  <c:v>65</c:v>
                </c:pt>
                <c:pt idx="448">
                  <c:v>65</c:v>
                </c:pt>
                <c:pt idx="449">
                  <c:v>65</c:v>
                </c:pt>
                <c:pt idx="450">
                  <c:v>65</c:v>
                </c:pt>
                <c:pt idx="451">
                  <c:v>65</c:v>
                </c:pt>
                <c:pt idx="452">
                  <c:v>65</c:v>
                </c:pt>
                <c:pt idx="453">
                  <c:v>65</c:v>
                </c:pt>
                <c:pt idx="454">
                  <c:v>65</c:v>
                </c:pt>
                <c:pt idx="455">
                  <c:v>65</c:v>
                </c:pt>
                <c:pt idx="456">
                  <c:v>65</c:v>
                </c:pt>
                <c:pt idx="457">
                  <c:v>62</c:v>
                </c:pt>
                <c:pt idx="458">
                  <c:v>62</c:v>
                </c:pt>
                <c:pt idx="459">
                  <c:v>62</c:v>
                </c:pt>
                <c:pt idx="460">
                  <c:v>62</c:v>
                </c:pt>
                <c:pt idx="461">
                  <c:v>62</c:v>
                </c:pt>
                <c:pt idx="462">
                  <c:v>62</c:v>
                </c:pt>
                <c:pt idx="463">
                  <c:v>62</c:v>
                </c:pt>
                <c:pt idx="464">
                  <c:v>60</c:v>
                </c:pt>
                <c:pt idx="465">
                  <c:v>60</c:v>
                </c:pt>
                <c:pt idx="466">
                  <c:v>60</c:v>
                </c:pt>
                <c:pt idx="467">
                  <c:v>60</c:v>
                </c:pt>
                <c:pt idx="468">
                  <c:v>59</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55</c:v>
                </c:pt>
                <c:pt idx="482">
                  <c:v>50</c:v>
                </c:pt>
                <c:pt idx="483">
                  <c:v>50</c:v>
                </c:pt>
                <c:pt idx="484">
                  <c:v>45</c:v>
                </c:pt>
                <c:pt idx="485">
                  <c:v>45</c:v>
                </c:pt>
                <c:pt idx="486">
                  <c:v>45</c:v>
                </c:pt>
                <c:pt idx="487">
                  <c:v>45</c:v>
                </c:pt>
                <c:pt idx="488">
                  <c:v>20</c:v>
                </c:pt>
                <c:pt idx="489">
                  <c:v>35</c:v>
                </c:pt>
                <c:pt idx="490">
                  <c:v>35</c:v>
                </c:pt>
                <c:pt idx="491">
                  <c:v>40</c:v>
                </c:pt>
                <c:pt idx="492">
                  <c:v>40</c:v>
                </c:pt>
                <c:pt idx="493">
                  <c:v>50</c:v>
                </c:pt>
                <c:pt idx="494">
                  <c:v>55</c:v>
                </c:pt>
                <c:pt idx="495">
                  <c:v>60</c:v>
                </c:pt>
                <c:pt idx="496">
                  <c:v>60</c:v>
                </c:pt>
                <c:pt idx="497">
                  <c:v>65</c:v>
                </c:pt>
                <c:pt idx="498">
                  <c:v>65</c:v>
                </c:pt>
                <c:pt idx="499">
                  <c:v>65</c:v>
                </c:pt>
                <c:pt idx="500">
                  <c:v>65</c:v>
                </c:pt>
                <c:pt idx="501">
                  <c:v>65</c:v>
                </c:pt>
                <c:pt idx="502">
                  <c:v>65</c:v>
                </c:pt>
                <c:pt idx="503">
                  <c:v>65</c:v>
                </c:pt>
                <c:pt idx="504">
                  <c:v>68</c:v>
                </c:pt>
                <c:pt idx="505">
                  <c:v>70</c:v>
                </c:pt>
                <c:pt idx="506">
                  <c:v>70</c:v>
                </c:pt>
                <c:pt idx="507">
                  <c:v>70</c:v>
                </c:pt>
                <c:pt idx="508">
                  <c:v>70</c:v>
                </c:pt>
                <c:pt idx="509">
                  <c:v>70</c:v>
                </c:pt>
                <c:pt idx="510">
                  <c:v>70</c:v>
                </c:pt>
                <c:pt idx="511">
                  <c:v>70</c:v>
                </c:pt>
                <c:pt idx="512">
                  <c:v>70</c:v>
                </c:pt>
                <c:pt idx="513">
                  <c:v>70</c:v>
                </c:pt>
                <c:pt idx="514">
                  <c:v>70</c:v>
                </c:pt>
                <c:pt idx="515">
                  <c:v>70</c:v>
                </c:pt>
                <c:pt idx="516">
                  <c:v>70</c:v>
                </c:pt>
                <c:pt idx="517">
                  <c:v>70</c:v>
                </c:pt>
                <c:pt idx="518">
                  <c:v>70</c:v>
                </c:pt>
                <c:pt idx="519">
                  <c:v>70</c:v>
                </c:pt>
                <c:pt idx="520">
                  <c:v>70</c:v>
                </c:pt>
                <c:pt idx="521">
                  <c:v>70</c:v>
                </c:pt>
                <c:pt idx="522">
                  <c:v>70</c:v>
                </c:pt>
                <c:pt idx="523">
                  <c:v>72</c:v>
                </c:pt>
                <c:pt idx="524">
                  <c:v>72</c:v>
                </c:pt>
                <c:pt idx="525">
                  <c:v>72</c:v>
                </c:pt>
                <c:pt idx="526">
                  <c:v>72</c:v>
                </c:pt>
                <c:pt idx="527">
                  <c:v>72</c:v>
                </c:pt>
                <c:pt idx="528">
                  <c:v>72</c:v>
                </c:pt>
                <c:pt idx="529">
                  <c:v>72</c:v>
                </c:pt>
                <c:pt idx="530">
                  <c:v>72</c:v>
                </c:pt>
                <c:pt idx="531">
                  <c:v>73</c:v>
                </c:pt>
                <c:pt idx="532">
                  <c:v>73</c:v>
                </c:pt>
                <c:pt idx="533">
                  <c:v>73</c:v>
                </c:pt>
                <c:pt idx="534">
                  <c:v>73</c:v>
                </c:pt>
                <c:pt idx="535">
                  <c:v>73</c:v>
                </c:pt>
                <c:pt idx="536">
                  <c:v>73</c:v>
                </c:pt>
                <c:pt idx="537">
                  <c:v>73</c:v>
                </c:pt>
                <c:pt idx="538">
                  <c:v>73</c:v>
                </c:pt>
                <c:pt idx="539">
                  <c:v>73</c:v>
                </c:pt>
                <c:pt idx="540">
                  <c:v>74</c:v>
                </c:pt>
                <c:pt idx="541">
                  <c:v>74</c:v>
                </c:pt>
                <c:pt idx="542">
                  <c:v>74</c:v>
                </c:pt>
                <c:pt idx="543">
                  <c:v>74</c:v>
                </c:pt>
                <c:pt idx="544">
                  <c:v>74</c:v>
                </c:pt>
                <c:pt idx="545">
                  <c:v>75</c:v>
                </c:pt>
                <c:pt idx="546">
                  <c:v>75</c:v>
                </c:pt>
                <c:pt idx="547">
                  <c:v>75</c:v>
                </c:pt>
                <c:pt idx="548">
                  <c:v>75</c:v>
                </c:pt>
                <c:pt idx="549">
                  <c:v>75</c:v>
                </c:pt>
                <c:pt idx="550">
                  <c:v>75</c:v>
                </c:pt>
                <c:pt idx="551">
                  <c:v>76</c:v>
                </c:pt>
                <c:pt idx="552">
                  <c:v>75</c:v>
                </c:pt>
                <c:pt idx="553">
                  <c:v>75</c:v>
                </c:pt>
                <c:pt idx="554">
                  <c:v>75</c:v>
                </c:pt>
                <c:pt idx="555">
                  <c:v>75</c:v>
                </c:pt>
                <c:pt idx="556">
                  <c:v>75</c:v>
                </c:pt>
                <c:pt idx="557">
                  <c:v>75</c:v>
                </c:pt>
                <c:pt idx="558">
                  <c:v>75</c:v>
                </c:pt>
                <c:pt idx="559">
                  <c:v>75</c:v>
                </c:pt>
                <c:pt idx="560">
                  <c:v>75</c:v>
                </c:pt>
                <c:pt idx="561">
                  <c:v>75</c:v>
                </c:pt>
                <c:pt idx="562">
                  <c:v>75</c:v>
                </c:pt>
                <c:pt idx="563">
                  <c:v>75</c:v>
                </c:pt>
                <c:pt idx="564">
                  <c:v>75</c:v>
                </c:pt>
                <c:pt idx="565">
                  <c:v>75</c:v>
                </c:pt>
                <c:pt idx="566">
                  <c:v>75</c:v>
                </c:pt>
                <c:pt idx="567">
                  <c:v>75</c:v>
                </c:pt>
                <c:pt idx="568">
                  <c:v>75</c:v>
                </c:pt>
                <c:pt idx="569">
                  <c:v>75</c:v>
                </c:pt>
                <c:pt idx="570">
                  <c:v>75</c:v>
                </c:pt>
                <c:pt idx="571">
                  <c:v>75</c:v>
                </c:pt>
                <c:pt idx="572">
                  <c:v>75</c:v>
                </c:pt>
                <c:pt idx="573">
                  <c:v>75</c:v>
                </c:pt>
                <c:pt idx="574">
                  <c:v>75</c:v>
                </c:pt>
                <c:pt idx="575">
                  <c:v>75</c:v>
                </c:pt>
                <c:pt idx="576">
                  <c:v>75</c:v>
                </c:pt>
                <c:pt idx="577">
                  <c:v>75</c:v>
                </c:pt>
                <c:pt idx="578">
                  <c:v>75</c:v>
                </c:pt>
                <c:pt idx="579">
                  <c:v>75</c:v>
                </c:pt>
                <c:pt idx="580">
                  <c:v>75</c:v>
                </c:pt>
                <c:pt idx="581">
                  <c:v>75</c:v>
                </c:pt>
                <c:pt idx="582">
                  <c:v>74</c:v>
                </c:pt>
                <c:pt idx="583">
                  <c:v>74</c:v>
                </c:pt>
                <c:pt idx="584">
                  <c:v>74</c:v>
                </c:pt>
                <c:pt idx="585">
                  <c:v>74</c:v>
                </c:pt>
                <c:pt idx="586">
                  <c:v>74</c:v>
                </c:pt>
                <c:pt idx="587">
                  <c:v>74</c:v>
                </c:pt>
                <c:pt idx="588">
                  <c:v>74</c:v>
                </c:pt>
                <c:pt idx="589">
                  <c:v>74</c:v>
                </c:pt>
                <c:pt idx="590">
                  <c:v>74</c:v>
                </c:pt>
                <c:pt idx="591">
                  <c:v>74</c:v>
                </c:pt>
                <c:pt idx="592">
                  <c:v>74</c:v>
                </c:pt>
                <c:pt idx="593">
                  <c:v>74</c:v>
                </c:pt>
                <c:pt idx="594">
                  <c:v>74</c:v>
                </c:pt>
                <c:pt idx="595">
                  <c:v>74</c:v>
                </c:pt>
                <c:pt idx="596">
                  <c:v>74</c:v>
                </c:pt>
                <c:pt idx="597">
                  <c:v>74</c:v>
                </c:pt>
                <c:pt idx="598">
                  <c:v>74</c:v>
                </c:pt>
                <c:pt idx="599">
                  <c:v>72</c:v>
                </c:pt>
                <c:pt idx="600">
                  <c:v>72</c:v>
                </c:pt>
                <c:pt idx="601">
                  <c:v>72</c:v>
                </c:pt>
                <c:pt idx="602">
                  <c:v>72</c:v>
                </c:pt>
                <c:pt idx="603">
                  <c:v>72</c:v>
                </c:pt>
                <c:pt idx="604">
                  <c:v>72</c:v>
                </c:pt>
                <c:pt idx="605">
                  <c:v>71</c:v>
                </c:pt>
                <c:pt idx="606">
                  <c:v>71</c:v>
                </c:pt>
                <c:pt idx="607">
                  <c:v>71</c:v>
                </c:pt>
                <c:pt idx="608">
                  <c:v>71</c:v>
                </c:pt>
                <c:pt idx="609">
                  <c:v>70</c:v>
                </c:pt>
                <c:pt idx="610">
                  <c:v>70</c:v>
                </c:pt>
                <c:pt idx="611">
                  <c:v>70</c:v>
                </c:pt>
                <c:pt idx="612">
                  <c:v>70</c:v>
                </c:pt>
                <c:pt idx="613">
                  <c:v>70</c:v>
                </c:pt>
                <c:pt idx="614">
                  <c:v>70</c:v>
                </c:pt>
                <c:pt idx="615">
                  <c:v>70</c:v>
                </c:pt>
                <c:pt idx="616">
                  <c:v>70</c:v>
                </c:pt>
                <c:pt idx="617">
                  <c:v>70</c:v>
                </c:pt>
                <c:pt idx="618">
                  <c:v>70</c:v>
                </c:pt>
                <c:pt idx="619">
                  <c:v>70</c:v>
                </c:pt>
                <c:pt idx="620">
                  <c:v>71</c:v>
                </c:pt>
                <c:pt idx="621">
                  <c:v>71</c:v>
                </c:pt>
                <c:pt idx="622">
                  <c:v>71</c:v>
                </c:pt>
                <c:pt idx="623">
                  <c:v>71</c:v>
                </c:pt>
                <c:pt idx="624">
                  <c:v>71</c:v>
                </c:pt>
                <c:pt idx="625">
                  <c:v>72</c:v>
                </c:pt>
                <c:pt idx="626">
                  <c:v>72</c:v>
                </c:pt>
                <c:pt idx="627">
                  <c:v>73</c:v>
                </c:pt>
                <c:pt idx="628">
                  <c:v>73</c:v>
                </c:pt>
                <c:pt idx="629">
                  <c:v>73</c:v>
                </c:pt>
                <c:pt idx="630">
                  <c:v>73</c:v>
                </c:pt>
                <c:pt idx="631">
                  <c:v>73</c:v>
                </c:pt>
                <c:pt idx="632">
                  <c:v>70</c:v>
                </c:pt>
                <c:pt idx="633">
                  <c:v>70</c:v>
                </c:pt>
                <c:pt idx="634">
                  <c:v>70</c:v>
                </c:pt>
                <c:pt idx="635">
                  <c:v>69</c:v>
                </c:pt>
                <c:pt idx="636">
                  <c:v>69</c:v>
                </c:pt>
                <c:pt idx="637">
                  <c:v>68</c:v>
                </c:pt>
                <c:pt idx="638">
                  <c:v>68</c:v>
                </c:pt>
                <c:pt idx="639">
                  <c:v>68</c:v>
                </c:pt>
                <c:pt idx="640">
                  <c:v>68</c:v>
                </c:pt>
                <c:pt idx="641">
                  <c:v>69</c:v>
                </c:pt>
                <c:pt idx="642">
                  <c:v>70</c:v>
                </c:pt>
                <c:pt idx="643">
                  <c:v>70</c:v>
                </c:pt>
                <c:pt idx="644">
                  <c:v>71</c:v>
                </c:pt>
                <c:pt idx="645">
                  <c:v>71</c:v>
                </c:pt>
                <c:pt idx="646">
                  <c:v>71</c:v>
                </c:pt>
                <c:pt idx="647">
                  <c:v>72</c:v>
                </c:pt>
                <c:pt idx="648">
                  <c:v>72</c:v>
                </c:pt>
                <c:pt idx="649">
                  <c:v>72</c:v>
                </c:pt>
                <c:pt idx="650">
                  <c:v>72</c:v>
                </c:pt>
                <c:pt idx="651">
                  <c:v>72</c:v>
                </c:pt>
                <c:pt idx="652">
                  <c:v>72</c:v>
                </c:pt>
                <c:pt idx="653">
                  <c:v>70</c:v>
                </c:pt>
                <c:pt idx="654">
                  <c:v>70</c:v>
                </c:pt>
                <c:pt idx="655">
                  <c:v>70</c:v>
                </c:pt>
                <c:pt idx="656">
                  <c:v>70</c:v>
                </c:pt>
                <c:pt idx="657">
                  <c:v>70</c:v>
                </c:pt>
                <c:pt idx="658">
                  <c:v>70</c:v>
                </c:pt>
                <c:pt idx="659">
                  <c:v>70</c:v>
                </c:pt>
                <c:pt idx="660">
                  <c:v>68</c:v>
                </c:pt>
                <c:pt idx="661">
                  <c:v>66</c:v>
                </c:pt>
                <c:pt idx="662">
                  <c:v>66</c:v>
                </c:pt>
                <c:pt idx="663">
                  <c:v>66</c:v>
                </c:pt>
                <c:pt idx="664">
                  <c:v>66</c:v>
                </c:pt>
                <c:pt idx="665">
                  <c:v>64</c:v>
                </c:pt>
                <c:pt idx="668">
                  <c:v>53</c:v>
                </c:pt>
                <c:pt idx="669">
                  <c:v>53</c:v>
                </c:pt>
                <c:pt idx="671">
                  <c:v>55</c:v>
                </c:pt>
                <c:pt idx="673">
                  <c:v>55</c:v>
                </c:pt>
                <c:pt idx="674">
                  <c:v>55</c:v>
                </c:pt>
                <c:pt idx="675">
                  <c:v>56</c:v>
                </c:pt>
                <c:pt idx="676">
                  <c:v>57</c:v>
                </c:pt>
                <c:pt idx="677">
                  <c:v>58</c:v>
                </c:pt>
                <c:pt idx="678">
                  <c:v>59</c:v>
                </c:pt>
                <c:pt idx="679">
                  <c:v>59</c:v>
                </c:pt>
                <c:pt idx="680">
                  <c:v>59</c:v>
                </c:pt>
                <c:pt idx="681">
                  <c:v>59</c:v>
                </c:pt>
                <c:pt idx="682">
                  <c:v>60</c:v>
                </c:pt>
                <c:pt idx="683">
                  <c:v>67</c:v>
                </c:pt>
                <c:pt idx="684">
                  <c:v>62</c:v>
                </c:pt>
                <c:pt idx="685">
                  <c:v>63</c:v>
                </c:pt>
                <c:pt idx="686">
                  <c:v>63</c:v>
                </c:pt>
                <c:pt idx="687">
                  <c:v>63</c:v>
                </c:pt>
                <c:pt idx="688">
                  <c:v>63</c:v>
                </c:pt>
                <c:pt idx="689">
                  <c:v>63</c:v>
                </c:pt>
                <c:pt idx="690">
                  <c:v>63</c:v>
                </c:pt>
                <c:pt idx="691">
                  <c:v>63</c:v>
                </c:pt>
                <c:pt idx="692">
                  <c:v>63</c:v>
                </c:pt>
                <c:pt idx="693">
                  <c:v>63</c:v>
                </c:pt>
                <c:pt idx="694">
                  <c:v>62</c:v>
                </c:pt>
                <c:pt idx="695">
                  <c:v>61</c:v>
                </c:pt>
                <c:pt idx="696">
                  <c:v>61</c:v>
                </c:pt>
                <c:pt idx="697">
                  <c:v>60</c:v>
                </c:pt>
                <c:pt idx="698">
                  <c:v>59</c:v>
                </c:pt>
                <c:pt idx="699">
                  <c:v>59</c:v>
                </c:pt>
                <c:pt idx="700">
                  <c:v>59</c:v>
                </c:pt>
                <c:pt idx="701">
                  <c:v>59</c:v>
                </c:pt>
                <c:pt idx="702">
                  <c:v>58</c:v>
                </c:pt>
                <c:pt idx="703">
                  <c:v>45</c:v>
                </c:pt>
                <c:pt idx="704">
                  <c:v>43</c:v>
                </c:pt>
                <c:pt idx="705">
                  <c:v>43</c:v>
                </c:pt>
                <c:pt idx="706">
                  <c:v>40</c:v>
                </c:pt>
                <c:pt idx="707">
                  <c:v>30</c:v>
                </c:pt>
                <c:pt idx="708">
                  <c:v>25</c:v>
                </c:pt>
                <c:pt idx="709">
                  <c:v>20</c:v>
                </c:pt>
                <c:pt idx="710">
                  <c:v>30</c:v>
                </c:pt>
                <c:pt idx="711">
                  <c:v>35</c:v>
                </c:pt>
                <c:pt idx="712">
                  <c:v>40</c:v>
                </c:pt>
                <c:pt idx="713">
                  <c:v>45</c:v>
                </c:pt>
                <c:pt idx="714">
                  <c:v>48</c:v>
                </c:pt>
                <c:pt idx="715">
                  <c:v>50</c:v>
                </c:pt>
                <c:pt idx="716">
                  <c:v>52</c:v>
                </c:pt>
                <c:pt idx="717">
                  <c:v>52</c:v>
                </c:pt>
                <c:pt idx="718">
                  <c:v>55</c:v>
                </c:pt>
                <c:pt idx="719">
                  <c:v>55</c:v>
                </c:pt>
                <c:pt idx="720">
                  <c:v>60</c:v>
                </c:pt>
                <c:pt idx="721">
                  <c:v>65</c:v>
                </c:pt>
                <c:pt idx="722">
                  <c:v>65</c:v>
                </c:pt>
                <c:pt idx="723">
                  <c:v>65</c:v>
                </c:pt>
                <c:pt idx="724">
                  <c:v>65</c:v>
                </c:pt>
                <c:pt idx="725">
                  <c:v>65</c:v>
                </c:pt>
                <c:pt idx="726">
                  <c:v>65</c:v>
                </c:pt>
                <c:pt idx="727">
                  <c:v>65</c:v>
                </c:pt>
                <c:pt idx="728">
                  <c:v>65</c:v>
                </c:pt>
                <c:pt idx="729">
                  <c:v>65</c:v>
                </c:pt>
                <c:pt idx="730">
                  <c:v>63</c:v>
                </c:pt>
                <c:pt idx="731">
                  <c:v>63</c:v>
                </c:pt>
                <c:pt idx="732">
                  <c:v>60</c:v>
                </c:pt>
                <c:pt idx="733">
                  <c:v>60</c:v>
                </c:pt>
                <c:pt idx="734">
                  <c:v>66</c:v>
                </c:pt>
                <c:pt idx="735">
                  <c:v>66</c:v>
                </c:pt>
                <c:pt idx="736">
                  <c:v>64</c:v>
                </c:pt>
                <c:pt idx="737">
                  <c:v>68</c:v>
                </c:pt>
                <c:pt idx="738">
                  <c:v>68</c:v>
                </c:pt>
                <c:pt idx="739">
                  <c:v>68</c:v>
                </c:pt>
                <c:pt idx="740">
                  <c:v>66</c:v>
                </c:pt>
                <c:pt idx="741">
                  <c:v>68</c:v>
                </c:pt>
                <c:pt idx="742">
                  <c:v>68</c:v>
                </c:pt>
                <c:pt idx="743">
                  <c:v>66</c:v>
                </c:pt>
                <c:pt idx="744">
                  <c:v>65</c:v>
                </c:pt>
                <c:pt idx="745">
                  <c:v>65</c:v>
                </c:pt>
                <c:pt idx="746">
                  <c:v>65</c:v>
                </c:pt>
                <c:pt idx="747">
                  <c:v>65</c:v>
                </c:pt>
                <c:pt idx="748">
                  <c:v>65</c:v>
                </c:pt>
                <c:pt idx="749">
                  <c:v>65</c:v>
                </c:pt>
                <c:pt idx="750">
                  <c:v>65</c:v>
                </c:pt>
                <c:pt idx="751">
                  <c:v>65</c:v>
                </c:pt>
                <c:pt idx="752">
                  <c:v>65</c:v>
                </c:pt>
                <c:pt idx="753">
                  <c:v>64</c:v>
                </c:pt>
                <c:pt idx="754">
                  <c:v>60</c:v>
                </c:pt>
                <c:pt idx="755">
                  <c:v>60</c:v>
                </c:pt>
                <c:pt idx="756">
                  <c:v>60</c:v>
                </c:pt>
                <c:pt idx="757">
                  <c:v>60</c:v>
                </c:pt>
                <c:pt idx="758">
                  <c:v>61</c:v>
                </c:pt>
                <c:pt idx="759">
                  <c:v>61</c:v>
                </c:pt>
                <c:pt idx="760">
                  <c:v>61</c:v>
                </c:pt>
                <c:pt idx="761">
                  <c:v>61</c:v>
                </c:pt>
                <c:pt idx="762">
                  <c:v>61</c:v>
                </c:pt>
                <c:pt idx="763">
                  <c:v>61</c:v>
                </c:pt>
                <c:pt idx="764">
                  <c:v>61</c:v>
                </c:pt>
                <c:pt idx="765">
                  <c:v>61</c:v>
                </c:pt>
                <c:pt idx="766">
                  <c:v>61</c:v>
                </c:pt>
                <c:pt idx="767">
                  <c:v>61</c:v>
                </c:pt>
                <c:pt idx="768">
                  <c:v>60</c:v>
                </c:pt>
                <c:pt idx="769">
                  <c:v>60</c:v>
                </c:pt>
                <c:pt idx="770">
                  <c:v>60</c:v>
                </c:pt>
                <c:pt idx="771">
                  <c:v>60</c:v>
                </c:pt>
                <c:pt idx="772">
                  <c:v>60</c:v>
                </c:pt>
                <c:pt idx="773">
                  <c:v>59</c:v>
                </c:pt>
                <c:pt idx="774">
                  <c:v>59</c:v>
                </c:pt>
                <c:pt idx="775">
                  <c:v>59</c:v>
                </c:pt>
                <c:pt idx="776">
                  <c:v>59</c:v>
                </c:pt>
                <c:pt idx="777">
                  <c:v>59</c:v>
                </c:pt>
                <c:pt idx="778">
                  <c:v>50</c:v>
                </c:pt>
                <c:pt idx="779">
                  <c:v>50</c:v>
                </c:pt>
                <c:pt idx="780">
                  <c:v>50</c:v>
                </c:pt>
                <c:pt idx="781">
                  <c:v>49</c:v>
                </c:pt>
                <c:pt idx="782">
                  <c:v>49</c:v>
                </c:pt>
                <c:pt idx="783">
                  <c:v>49</c:v>
                </c:pt>
                <c:pt idx="784">
                  <c:v>50</c:v>
                </c:pt>
                <c:pt idx="785">
                  <c:v>50</c:v>
                </c:pt>
                <c:pt idx="786">
                  <c:v>51</c:v>
                </c:pt>
                <c:pt idx="787">
                  <c:v>51</c:v>
                </c:pt>
                <c:pt idx="788">
                  <c:v>51</c:v>
                </c:pt>
                <c:pt idx="789">
                  <c:v>51</c:v>
                </c:pt>
                <c:pt idx="790">
                  <c:v>51</c:v>
                </c:pt>
                <c:pt idx="791">
                  <c:v>51</c:v>
                </c:pt>
                <c:pt idx="792">
                  <c:v>51</c:v>
                </c:pt>
                <c:pt idx="793">
                  <c:v>53</c:v>
                </c:pt>
                <c:pt idx="794">
                  <c:v>55</c:v>
                </c:pt>
                <c:pt idx="795">
                  <c:v>55</c:v>
                </c:pt>
                <c:pt idx="796">
                  <c:v>58</c:v>
                </c:pt>
                <c:pt idx="797">
                  <c:v>58</c:v>
                </c:pt>
                <c:pt idx="798">
                  <c:v>58</c:v>
                </c:pt>
                <c:pt idx="799">
                  <c:v>58</c:v>
                </c:pt>
                <c:pt idx="800">
                  <c:v>58</c:v>
                </c:pt>
                <c:pt idx="801">
                  <c:v>58</c:v>
                </c:pt>
                <c:pt idx="802">
                  <c:v>58</c:v>
                </c:pt>
                <c:pt idx="803">
                  <c:v>58</c:v>
                </c:pt>
                <c:pt idx="804">
                  <c:v>58</c:v>
                </c:pt>
                <c:pt idx="805">
                  <c:v>58</c:v>
                </c:pt>
                <c:pt idx="806">
                  <c:v>58</c:v>
                </c:pt>
                <c:pt idx="807">
                  <c:v>62</c:v>
                </c:pt>
                <c:pt idx="808">
                  <c:v>62</c:v>
                </c:pt>
                <c:pt idx="809">
                  <c:v>62</c:v>
                </c:pt>
                <c:pt idx="810">
                  <c:v>62</c:v>
                </c:pt>
                <c:pt idx="811">
                  <c:v>62</c:v>
                </c:pt>
                <c:pt idx="812">
                  <c:v>62</c:v>
                </c:pt>
                <c:pt idx="813">
                  <c:v>62</c:v>
                </c:pt>
                <c:pt idx="814">
                  <c:v>65</c:v>
                </c:pt>
                <c:pt idx="815">
                  <c:v>65</c:v>
                </c:pt>
                <c:pt idx="816">
                  <c:v>65</c:v>
                </c:pt>
                <c:pt idx="817">
                  <c:v>65</c:v>
                </c:pt>
                <c:pt idx="818">
                  <c:v>65</c:v>
                </c:pt>
                <c:pt idx="819">
                  <c:v>65</c:v>
                </c:pt>
                <c:pt idx="820">
                  <c:v>65</c:v>
                </c:pt>
                <c:pt idx="821">
                  <c:v>70</c:v>
                </c:pt>
                <c:pt idx="822">
                  <c:v>70</c:v>
                </c:pt>
                <c:pt idx="823">
                  <c:v>70</c:v>
                </c:pt>
                <c:pt idx="824">
                  <c:v>70</c:v>
                </c:pt>
                <c:pt idx="825">
                  <c:v>70</c:v>
                </c:pt>
                <c:pt idx="826">
                  <c:v>70</c:v>
                </c:pt>
                <c:pt idx="827">
                  <c:v>70</c:v>
                </c:pt>
                <c:pt idx="828">
                  <c:v>70</c:v>
                </c:pt>
                <c:pt idx="829">
                  <c:v>69</c:v>
                </c:pt>
                <c:pt idx="830">
                  <c:v>68</c:v>
                </c:pt>
                <c:pt idx="831">
                  <c:v>70</c:v>
                </c:pt>
                <c:pt idx="832">
                  <c:v>70</c:v>
                </c:pt>
                <c:pt idx="833">
                  <c:v>68</c:v>
                </c:pt>
                <c:pt idx="834">
                  <c:v>68</c:v>
                </c:pt>
                <c:pt idx="835">
                  <c:v>68</c:v>
                </c:pt>
                <c:pt idx="836">
                  <c:v>68</c:v>
                </c:pt>
                <c:pt idx="837">
                  <c:v>68</c:v>
                </c:pt>
                <c:pt idx="838">
                  <c:v>68</c:v>
                </c:pt>
                <c:pt idx="839">
                  <c:v>67</c:v>
                </c:pt>
                <c:pt idx="840">
                  <c:v>67</c:v>
                </c:pt>
                <c:pt idx="841">
                  <c:v>67</c:v>
                </c:pt>
                <c:pt idx="842">
                  <c:v>67</c:v>
                </c:pt>
                <c:pt idx="843">
                  <c:v>67</c:v>
                </c:pt>
                <c:pt idx="844">
                  <c:v>67</c:v>
                </c:pt>
                <c:pt idx="845">
                  <c:v>67</c:v>
                </c:pt>
                <c:pt idx="846">
                  <c:v>67</c:v>
                </c:pt>
                <c:pt idx="847">
                  <c:v>67</c:v>
                </c:pt>
                <c:pt idx="848">
                  <c:v>67</c:v>
                </c:pt>
                <c:pt idx="849">
                  <c:v>67</c:v>
                </c:pt>
                <c:pt idx="850">
                  <c:v>67</c:v>
                </c:pt>
                <c:pt idx="851">
                  <c:v>67</c:v>
                </c:pt>
                <c:pt idx="852">
                  <c:v>67</c:v>
                </c:pt>
                <c:pt idx="853">
                  <c:v>67</c:v>
                </c:pt>
                <c:pt idx="854">
                  <c:v>67</c:v>
                </c:pt>
                <c:pt idx="855">
                  <c:v>65</c:v>
                </c:pt>
                <c:pt idx="856">
                  <c:v>65</c:v>
                </c:pt>
                <c:pt idx="857">
                  <c:v>65</c:v>
                </c:pt>
                <c:pt idx="858">
                  <c:v>65</c:v>
                </c:pt>
                <c:pt idx="859">
                  <c:v>66</c:v>
                </c:pt>
                <c:pt idx="860">
                  <c:v>66</c:v>
                </c:pt>
                <c:pt idx="861">
                  <c:v>66</c:v>
                </c:pt>
                <c:pt idx="862">
                  <c:v>66</c:v>
                </c:pt>
                <c:pt idx="863">
                  <c:v>66</c:v>
                </c:pt>
                <c:pt idx="864">
                  <c:v>66</c:v>
                </c:pt>
                <c:pt idx="865">
                  <c:v>66</c:v>
                </c:pt>
                <c:pt idx="866">
                  <c:v>66</c:v>
                </c:pt>
                <c:pt idx="867">
                  <c:v>66</c:v>
                </c:pt>
                <c:pt idx="868">
                  <c:v>66</c:v>
                </c:pt>
                <c:pt idx="869">
                  <c:v>66</c:v>
                </c:pt>
                <c:pt idx="870">
                  <c:v>66</c:v>
                </c:pt>
                <c:pt idx="871">
                  <c:v>66</c:v>
                </c:pt>
                <c:pt idx="872">
                  <c:v>66</c:v>
                </c:pt>
                <c:pt idx="873">
                  <c:v>66</c:v>
                </c:pt>
                <c:pt idx="874">
                  <c:v>66</c:v>
                </c:pt>
                <c:pt idx="875">
                  <c:v>66</c:v>
                </c:pt>
                <c:pt idx="876">
                  <c:v>66</c:v>
                </c:pt>
                <c:pt idx="877">
                  <c:v>66</c:v>
                </c:pt>
                <c:pt idx="878">
                  <c:v>66</c:v>
                </c:pt>
                <c:pt idx="879">
                  <c:v>66</c:v>
                </c:pt>
                <c:pt idx="880">
                  <c:v>66</c:v>
                </c:pt>
                <c:pt idx="881">
                  <c:v>66</c:v>
                </c:pt>
                <c:pt idx="882">
                  <c:v>66</c:v>
                </c:pt>
                <c:pt idx="883">
                  <c:v>66</c:v>
                </c:pt>
                <c:pt idx="884">
                  <c:v>66</c:v>
                </c:pt>
                <c:pt idx="885">
                  <c:v>66</c:v>
                </c:pt>
                <c:pt idx="886">
                  <c:v>66</c:v>
                </c:pt>
                <c:pt idx="887">
                  <c:v>66</c:v>
                </c:pt>
                <c:pt idx="888">
                  <c:v>66</c:v>
                </c:pt>
                <c:pt idx="889">
                  <c:v>66</c:v>
                </c:pt>
                <c:pt idx="890">
                  <c:v>66</c:v>
                </c:pt>
                <c:pt idx="891">
                  <c:v>66</c:v>
                </c:pt>
                <c:pt idx="892">
                  <c:v>66</c:v>
                </c:pt>
                <c:pt idx="893">
                  <c:v>66</c:v>
                </c:pt>
                <c:pt idx="894">
                  <c:v>66</c:v>
                </c:pt>
                <c:pt idx="895">
                  <c:v>66</c:v>
                </c:pt>
                <c:pt idx="896">
                  <c:v>66</c:v>
                </c:pt>
                <c:pt idx="897">
                  <c:v>66</c:v>
                </c:pt>
                <c:pt idx="898">
                  <c:v>66</c:v>
                </c:pt>
                <c:pt idx="899">
                  <c:v>66</c:v>
                </c:pt>
                <c:pt idx="900">
                  <c:v>66</c:v>
                </c:pt>
                <c:pt idx="901">
                  <c:v>66</c:v>
                </c:pt>
                <c:pt idx="902">
                  <c:v>66</c:v>
                </c:pt>
                <c:pt idx="903">
                  <c:v>66</c:v>
                </c:pt>
                <c:pt idx="904">
                  <c:v>66</c:v>
                </c:pt>
                <c:pt idx="905">
                  <c:v>66</c:v>
                </c:pt>
                <c:pt idx="906">
                  <c:v>66</c:v>
                </c:pt>
                <c:pt idx="907">
                  <c:v>66</c:v>
                </c:pt>
                <c:pt idx="908">
                  <c:v>66</c:v>
                </c:pt>
                <c:pt idx="909">
                  <c:v>66</c:v>
                </c:pt>
                <c:pt idx="910">
                  <c:v>66</c:v>
                </c:pt>
                <c:pt idx="911">
                  <c:v>66</c:v>
                </c:pt>
                <c:pt idx="912">
                  <c:v>66</c:v>
                </c:pt>
                <c:pt idx="913">
                  <c:v>66</c:v>
                </c:pt>
                <c:pt idx="914">
                  <c:v>66</c:v>
                </c:pt>
                <c:pt idx="915">
                  <c:v>66</c:v>
                </c:pt>
                <c:pt idx="916">
                  <c:v>66</c:v>
                </c:pt>
                <c:pt idx="917">
                  <c:v>66</c:v>
                </c:pt>
                <c:pt idx="918">
                  <c:v>66</c:v>
                </c:pt>
                <c:pt idx="919">
                  <c:v>66</c:v>
                </c:pt>
                <c:pt idx="920">
                  <c:v>66</c:v>
                </c:pt>
                <c:pt idx="921">
                  <c:v>60</c:v>
                </c:pt>
                <c:pt idx="922">
                  <c:v>60</c:v>
                </c:pt>
                <c:pt idx="923">
                  <c:v>60</c:v>
                </c:pt>
                <c:pt idx="924">
                  <c:v>57.5</c:v>
                </c:pt>
                <c:pt idx="925">
                  <c:v>57</c:v>
                </c:pt>
                <c:pt idx="926">
                  <c:v>57</c:v>
                </c:pt>
                <c:pt idx="927">
                  <c:v>57</c:v>
                </c:pt>
                <c:pt idx="928">
                  <c:v>55</c:v>
                </c:pt>
                <c:pt idx="929">
                  <c:v>55</c:v>
                </c:pt>
                <c:pt idx="930">
                  <c:v>45</c:v>
                </c:pt>
                <c:pt idx="931">
                  <c:v>40</c:v>
                </c:pt>
                <c:pt idx="932">
                  <c:v>35</c:v>
                </c:pt>
                <c:pt idx="933">
                  <c:v>20</c:v>
                </c:pt>
                <c:pt idx="934">
                  <c:v>10</c:v>
                </c:pt>
                <c:pt idx="935">
                  <c:v>18</c:v>
                </c:pt>
                <c:pt idx="937">
                  <c:v>40</c:v>
                </c:pt>
                <c:pt idx="938">
                  <c:v>44</c:v>
                </c:pt>
                <c:pt idx="939">
                  <c:v>50</c:v>
                </c:pt>
                <c:pt idx="940">
                  <c:v>60</c:v>
                </c:pt>
                <c:pt idx="941">
                  <c:v>63</c:v>
                </c:pt>
                <c:pt idx="942">
                  <c:v>65</c:v>
                </c:pt>
                <c:pt idx="943">
                  <c:v>66</c:v>
                </c:pt>
                <c:pt idx="944">
                  <c:v>67</c:v>
                </c:pt>
                <c:pt idx="945">
                  <c:v>67</c:v>
                </c:pt>
                <c:pt idx="946">
                  <c:v>79</c:v>
                </c:pt>
                <c:pt idx="947">
                  <c:v>79</c:v>
                </c:pt>
                <c:pt idx="948">
                  <c:v>81</c:v>
                </c:pt>
                <c:pt idx="949">
                  <c:v>72.5</c:v>
                </c:pt>
                <c:pt idx="950">
                  <c:v>72.5</c:v>
                </c:pt>
                <c:pt idx="951">
                  <c:v>72.7</c:v>
                </c:pt>
                <c:pt idx="952">
                  <c:v>72.8</c:v>
                </c:pt>
                <c:pt idx="953">
                  <c:v>72.8</c:v>
                </c:pt>
                <c:pt idx="954">
                  <c:v>72.900000000000006</c:v>
                </c:pt>
                <c:pt idx="955">
                  <c:v>72.900000000000006</c:v>
                </c:pt>
                <c:pt idx="956">
                  <c:v>72.900000000000006</c:v>
                </c:pt>
                <c:pt idx="957">
                  <c:v>72.900000000000006</c:v>
                </c:pt>
                <c:pt idx="958">
                  <c:v>72.900000000000006</c:v>
                </c:pt>
                <c:pt idx="959">
                  <c:v>73.3</c:v>
                </c:pt>
                <c:pt idx="960">
                  <c:v>73.3</c:v>
                </c:pt>
                <c:pt idx="961">
                  <c:v>73.3</c:v>
                </c:pt>
                <c:pt idx="962">
                  <c:v>73.3</c:v>
                </c:pt>
                <c:pt idx="963">
                  <c:v>73.400000000000006</c:v>
                </c:pt>
                <c:pt idx="964">
                  <c:v>73.5</c:v>
                </c:pt>
                <c:pt idx="965">
                  <c:v>72.8</c:v>
                </c:pt>
                <c:pt idx="966">
                  <c:v>73.599999999999994</c:v>
                </c:pt>
                <c:pt idx="967">
                  <c:v>73.5</c:v>
                </c:pt>
                <c:pt idx="968">
                  <c:v>73.5</c:v>
                </c:pt>
                <c:pt idx="969">
                  <c:v>73.5</c:v>
                </c:pt>
                <c:pt idx="970">
                  <c:v>73.5</c:v>
                </c:pt>
                <c:pt idx="971">
                  <c:v>73.5</c:v>
                </c:pt>
                <c:pt idx="972">
                  <c:v>73.5</c:v>
                </c:pt>
                <c:pt idx="973">
                  <c:v>73.5</c:v>
                </c:pt>
                <c:pt idx="974">
                  <c:v>73.5</c:v>
                </c:pt>
                <c:pt idx="975">
                  <c:v>73.5</c:v>
                </c:pt>
                <c:pt idx="976">
                  <c:v>73.5</c:v>
                </c:pt>
                <c:pt idx="977">
                  <c:v>73.5</c:v>
                </c:pt>
                <c:pt idx="978">
                  <c:v>73.5</c:v>
                </c:pt>
                <c:pt idx="979">
                  <c:v>74.5</c:v>
                </c:pt>
                <c:pt idx="980">
                  <c:v>74.5</c:v>
                </c:pt>
                <c:pt idx="981">
                  <c:v>74.3</c:v>
                </c:pt>
                <c:pt idx="982">
                  <c:v>74.3</c:v>
                </c:pt>
                <c:pt idx="983">
                  <c:v>74.3</c:v>
                </c:pt>
                <c:pt idx="984">
                  <c:v>74.099999999999994</c:v>
                </c:pt>
                <c:pt idx="985">
                  <c:v>74.099999999999994</c:v>
                </c:pt>
                <c:pt idx="986">
                  <c:v>74</c:v>
                </c:pt>
                <c:pt idx="987">
                  <c:v>73.900000000000006</c:v>
                </c:pt>
                <c:pt idx="988">
                  <c:v>73.900000000000006</c:v>
                </c:pt>
                <c:pt idx="989">
                  <c:v>73.900000000000006</c:v>
                </c:pt>
                <c:pt idx="990">
                  <c:v>73.900000000000006</c:v>
                </c:pt>
                <c:pt idx="991">
                  <c:v>73.5</c:v>
                </c:pt>
                <c:pt idx="992">
                  <c:v>73.7</c:v>
                </c:pt>
                <c:pt idx="993">
                  <c:v>73.7</c:v>
                </c:pt>
                <c:pt idx="994">
                  <c:v>73.7</c:v>
                </c:pt>
                <c:pt idx="995">
                  <c:v>73.7</c:v>
                </c:pt>
                <c:pt idx="996">
                  <c:v>73.599999999999994</c:v>
                </c:pt>
                <c:pt idx="997">
                  <c:v>73.599999999999994</c:v>
                </c:pt>
                <c:pt idx="998">
                  <c:v>73.599999999999994</c:v>
                </c:pt>
                <c:pt idx="999">
                  <c:v>73.5</c:v>
                </c:pt>
                <c:pt idx="1000">
                  <c:v>73.5</c:v>
                </c:pt>
                <c:pt idx="1001">
                  <c:v>73.5</c:v>
                </c:pt>
                <c:pt idx="1002">
                  <c:v>73.5</c:v>
                </c:pt>
                <c:pt idx="1003">
                  <c:v>73.400000000000006</c:v>
                </c:pt>
                <c:pt idx="1004">
                  <c:v>73.400000000000006</c:v>
                </c:pt>
                <c:pt idx="1005">
                  <c:v>73.400000000000006</c:v>
                </c:pt>
                <c:pt idx="1006">
                  <c:v>73.400000000000006</c:v>
                </c:pt>
                <c:pt idx="1007">
                  <c:v>73.2</c:v>
                </c:pt>
                <c:pt idx="1008">
                  <c:v>73.2</c:v>
                </c:pt>
                <c:pt idx="1009">
                  <c:v>73.2</c:v>
                </c:pt>
                <c:pt idx="1010">
                  <c:v>73.099999999999994</c:v>
                </c:pt>
                <c:pt idx="1011">
                  <c:v>73</c:v>
                </c:pt>
                <c:pt idx="1012">
                  <c:v>73</c:v>
                </c:pt>
                <c:pt idx="1013">
                  <c:v>73</c:v>
                </c:pt>
                <c:pt idx="1014">
                  <c:v>72.900000000000006</c:v>
                </c:pt>
                <c:pt idx="1015">
                  <c:v>72.900000000000006</c:v>
                </c:pt>
                <c:pt idx="1016">
                  <c:v>72.8</c:v>
                </c:pt>
                <c:pt idx="1017">
                  <c:v>72.8</c:v>
                </c:pt>
                <c:pt idx="1018">
                  <c:v>72.7</c:v>
                </c:pt>
                <c:pt idx="1019">
                  <c:v>72.7</c:v>
                </c:pt>
                <c:pt idx="1020">
                  <c:v>72.7</c:v>
                </c:pt>
                <c:pt idx="1021">
                  <c:v>72.7</c:v>
                </c:pt>
                <c:pt idx="1022">
                  <c:v>72.599999999999994</c:v>
                </c:pt>
                <c:pt idx="1023">
                  <c:v>72.599999999999994</c:v>
                </c:pt>
                <c:pt idx="1024">
                  <c:v>72.599999999999994</c:v>
                </c:pt>
                <c:pt idx="1025">
                  <c:v>72.5</c:v>
                </c:pt>
                <c:pt idx="1026">
                  <c:v>72.5</c:v>
                </c:pt>
                <c:pt idx="1027">
                  <c:v>72</c:v>
                </c:pt>
                <c:pt idx="1028">
                  <c:v>71.8</c:v>
                </c:pt>
                <c:pt idx="1029">
                  <c:v>71.8</c:v>
                </c:pt>
                <c:pt idx="1030">
                  <c:v>71.599999999999994</c:v>
                </c:pt>
                <c:pt idx="1031">
                  <c:v>71.599999999999994</c:v>
                </c:pt>
                <c:pt idx="1032">
                  <c:v>71.599999999999994</c:v>
                </c:pt>
                <c:pt idx="1033">
                  <c:v>71.599999999999994</c:v>
                </c:pt>
                <c:pt idx="1034">
                  <c:v>71.599999999999994</c:v>
                </c:pt>
                <c:pt idx="1035">
                  <c:v>71.400000000000006</c:v>
                </c:pt>
                <c:pt idx="1036">
                  <c:v>71.400000000000006</c:v>
                </c:pt>
                <c:pt idx="1037">
                  <c:v>71</c:v>
                </c:pt>
                <c:pt idx="1038">
                  <c:v>71</c:v>
                </c:pt>
                <c:pt idx="1039">
                  <c:v>70.2</c:v>
                </c:pt>
                <c:pt idx="1040">
                  <c:v>70.599999999999994</c:v>
                </c:pt>
                <c:pt idx="1041">
                  <c:v>70.599999999999994</c:v>
                </c:pt>
                <c:pt idx="1042">
                  <c:v>70.599999999999994</c:v>
                </c:pt>
                <c:pt idx="1043">
                  <c:v>70.5</c:v>
                </c:pt>
                <c:pt idx="1044">
                  <c:v>70.5</c:v>
                </c:pt>
                <c:pt idx="1045">
                  <c:v>67</c:v>
                </c:pt>
                <c:pt idx="1046">
                  <c:v>66.8</c:v>
                </c:pt>
                <c:pt idx="1047">
                  <c:v>66.8</c:v>
                </c:pt>
                <c:pt idx="1048">
                  <c:v>67</c:v>
                </c:pt>
                <c:pt idx="1049">
                  <c:v>67</c:v>
                </c:pt>
                <c:pt idx="1050">
                  <c:v>67.3</c:v>
                </c:pt>
                <c:pt idx="1051">
                  <c:v>67.400000000000006</c:v>
                </c:pt>
                <c:pt idx="1052">
                  <c:v>67.5</c:v>
                </c:pt>
                <c:pt idx="1053">
                  <c:v>67.5</c:v>
                </c:pt>
                <c:pt idx="1054">
                  <c:v>67.7</c:v>
                </c:pt>
                <c:pt idx="1055">
                  <c:v>67.7</c:v>
                </c:pt>
                <c:pt idx="1056">
                  <c:v>67.7</c:v>
                </c:pt>
                <c:pt idx="1057">
                  <c:v>68</c:v>
                </c:pt>
                <c:pt idx="1058">
                  <c:v>68</c:v>
                </c:pt>
                <c:pt idx="1059">
                  <c:v>70</c:v>
                </c:pt>
                <c:pt idx="1060">
                  <c:v>72.5</c:v>
                </c:pt>
                <c:pt idx="1061">
                  <c:v>72.5</c:v>
                </c:pt>
                <c:pt idx="1062">
                  <c:v>72.8</c:v>
                </c:pt>
                <c:pt idx="1063">
                  <c:v>73</c:v>
                </c:pt>
                <c:pt idx="1064">
                  <c:v>73.400000000000006</c:v>
                </c:pt>
                <c:pt idx="1065">
                  <c:v>73.400000000000006</c:v>
                </c:pt>
                <c:pt idx="1066">
                  <c:v>73.5</c:v>
                </c:pt>
                <c:pt idx="1067">
                  <c:v>73.5</c:v>
                </c:pt>
                <c:pt idx="1068">
                  <c:v>73.5</c:v>
                </c:pt>
                <c:pt idx="1069">
                  <c:v>73.5</c:v>
                </c:pt>
                <c:pt idx="1070">
                  <c:v>73.5</c:v>
                </c:pt>
                <c:pt idx="1071">
                  <c:v>73.5</c:v>
                </c:pt>
                <c:pt idx="1072">
                  <c:v>73.5</c:v>
                </c:pt>
                <c:pt idx="1073">
                  <c:v>73.5</c:v>
                </c:pt>
                <c:pt idx="1074">
                  <c:v>73.2</c:v>
                </c:pt>
                <c:pt idx="1075">
                  <c:v>73.2</c:v>
                </c:pt>
                <c:pt idx="1076">
                  <c:v>73.2</c:v>
                </c:pt>
                <c:pt idx="1077">
                  <c:v>73.2</c:v>
                </c:pt>
                <c:pt idx="1078">
                  <c:v>73.2</c:v>
                </c:pt>
                <c:pt idx="1079">
                  <c:v>73.2</c:v>
                </c:pt>
                <c:pt idx="1080">
                  <c:v>73.2</c:v>
                </c:pt>
                <c:pt idx="1081">
                  <c:v>73.2</c:v>
                </c:pt>
                <c:pt idx="1082">
                  <c:v>73.2</c:v>
                </c:pt>
                <c:pt idx="1083">
                  <c:v>73.2</c:v>
                </c:pt>
                <c:pt idx="1084">
                  <c:v>73.099999999999994</c:v>
                </c:pt>
                <c:pt idx="1085">
                  <c:v>73.099999999999994</c:v>
                </c:pt>
                <c:pt idx="1086">
                  <c:v>73.099999999999994</c:v>
                </c:pt>
                <c:pt idx="1087">
                  <c:v>72.900000000000006</c:v>
                </c:pt>
                <c:pt idx="1088">
                  <c:v>72.900000000000006</c:v>
                </c:pt>
                <c:pt idx="1089">
                  <c:v>72.900000000000006</c:v>
                </c:pt>
                <c:pt idx="1090">
                  <c:v>72.900000000000006</c:v>
                </c:pt>
                <c:pt idx="1091">
                  <c:v>72.900000000000006</c:v>
                </c:pt>
                <c:pt idx="1092">
                  <c:v>72.8</c:v>
                </c:pt>
                <c:pt idx="1093">
                  <c:v>72.7</c:v>
                </c:pt>
                <c:pt idx="1094">
                  <c:v>72.7</c:v>
                </c:pt>
                <c:pt idx="1095">
                  <c:v>72.7</c:v>
                </c:pt>
                <c:pt idx="1096">
                  <c:v>72.7</c:v>
                </c:pt>
                <c:pt idx="1097">
                  <c:v>72.7</c:v>
                </c:pt>
                <c:pt idx="1098">
                  <c:v>72.599999999999994</c:v>
                </c:pt>
                <c:pt idx="1099">
                  <c:v>72.599999999999994</c:v>
                </c:pt>
                <c:pt idx="1100">
                  <c:v>72.599999999999994</c:v>
                </c:pt>
                <c:pt idx="1101">
                  <c:v>72.599999999999994</c:v>
                </c:pt>
                <c:pt idx="1102">
                  <c:v>72.599999999999994</c:v>
                </c:pt>
                <c:pt idx="1103">
                  <c:v>72.599999999999994</c:v>
                </c:pt>
                <c:pt idx="1104">
                  <c:v>72.599999999999994</c:v>
                </c:pt>
                <c:pt idx="1105">
                  <c:v>72.5</c:v>
                </c:pt>
                <c:pt idx="1106">
                  <c:v>72.5</c:v>
                </c:pt>
                <c:pt idx="1107">
                  <c:v>72.5</c:v>
                </c:pt>
                <c:pt idx="1108">
                  <c:v>72.5</c:v>
                </c:pt>
                <c:pt idx="1109">
                  <c:v>72.5</c:v>
                </c:pt>
                <c:pt idx="1110">
                  <c:v>72.5</c:v>
                </c:pt>
                <c:pt idx="1111">
                  <c:v>72.400000000000006</c:v>
                </c:pt>
                <c:pt idx="1112">
                  <c:v>72.400000000000006</c:v>
                </c:pt>
                <c:pt idx="1113">
                  <c:v>71.8</c:v>
                </c:pt>
                <c:pt idx="1114">
                  <c:v>71.8</c:v>
                </c:pt>
                <c:pt idx="1115">
                  <c:v>71.400000000000006</c:v>
                </c:pt>
                <c:pt idx="1116">
                  <c:v>71.400000000000006</c:v>
                </c:pt>
                <c:pt idx="1117">
                  <c:v>71.2</c:v>
                </c:pt>
                <c:pt idx="1118">
                  <c:v>71.2</c:v>
                </c:pt>
                <c:pt idx="1119">
                  <c:v>70.2</c:v>
                </c:pt>
                <c:pt idx="1120">
                  <c:v>70.2</c:v>
                </c:pt>
                <c:pt idx="1121">
                  <c:v>70.2</c:v>
                </c:pt>
                <c:pt idx="1122">
                  <c:v>70.2</c:v>
                </c:pt>
                <c:pt idx="1123">
                  <c:v>70.2</c:v>
                </c:pt>
                <c:pt idx="1124">
                  <c:v>70.2</c:v>
                </c:pt>
                <c:pt idx="1125">
                  <c:v>69.599999999999994</c:v>
                </c:pt>
                <c:pt idx="1126">
                  <c:v>69.599999999999994</c:v>
                </c:pt>
                <c:pt idx="1127">
                  <c:v>69.2</c:v>
                </c:pt>
                <c:pt idx="1128">
                  <c:v>69</c:v>
                </c:pt>
                <c:pt idx="1129">
                  <c:v>69</c:v>
                </c:pt>
                <c:pt idx="1130">
                  <c:v>69</c:v>
                </c:pt>
                <c:pt idx="1131">
                  <c:v>69</c:v>
                </c:pt>
                <c:pt idx="1132">
                  <c:v>68.5</c:v>
                </c:pt>
                <c:pt idx="1133">
                  <c:v>68.5</c:v>
                </c:pt>
                <c:pt idx="1134">
                  <c:v>68.5</c:v>
                </c:pt>
                <c:pt idx="1135">
                  <c:v>68.5</c:v>
                </c:pt>
                <c:pt idx="1136">
                  <c:v>68.2</c:v>
                </c:pt>
                <c:pt idx="1137">
                  <c:v>68.2</c:v>
                </c:pt>
                <c:pt idx="1138">
                  <c:v>68.2</c:v>
                </c:pt>
                <c:pt idx="1139">
                  <c:v>68.2</c:v>
                </c:pt>
                <c:pt idx="1140">
                  <c:v>67.5</c:v>
                </c:pt>
                <c:pt idx="1141">
                  <c:v>67.5</c:v>
                </c:pt>
                <c:pt idx="1142">
                  <c:v>67.5</c:v>
                </c:pt>
                <c:pt idx="1143">
                  <c:v>67.5</c:v>
                </c:pt>
                <c:pt idx="1144">
                  <c:v>67.5</c:v>
                </c:pt>
                <c:pt idx="1145">
                  <c:v>56</c:v>
                </c:pt>
                <c:pt idx="1146">
                  <c:v>57</c:v>
                </c:pt>
                <c:pt idx="1147">
                  <c:v>57</c:v>
                </c:pt>
                <c:pt idx="1148">
                  <c:v>56</c:v>
                </c:pt>
                <c:pt idx="1149">
                  <c:v>55</c:v>
                </c:pt>
                <c:pt idx="1150">
                  <c:v>48</c:v>
                </c:pt>
                <c:pt idx="1151">
                  <c:v>43</c:v>
                </c:pt>
                <c:pt idx="1152">
                  <c:v>43</c:v>
                </c:pt>
                <c:pt idx="1153">
                  <c:v>28</c:v>
                </c:pt>
                <c:pt idx="1154">
                  <c:v>25</c:v>
                </c:pt>
                <c:pt idx="1155">
                  <c:v>25</c:v>
                </c:pt>
                <c:pt idx="1156">
                  <c:v>25</c:v>
                </c:pt>
                <c:pt idx="1157">
                  <c:v>25</c:v>
                </c:pt>
                <c:pt idx="1158">
                  <c:v>25</c:v>
                </c:pt>
                <c:pt idx="1159">
                  <c:v>30</c:v>
                </c:pt>
                <c:pt idx="1160">
                  <c:v>32</c:v>
                </c:pt>
                <c:pt idx="1161">
                  <c:v>40</c:v>
                </c:pt>
                <c:pt idx="1162">
                  <c:v>48</c:v>
                </c:pt>
                <c:pt idx="1163">
                  <c:v>50</c:v>
                </c:pt>
                <c:pt idx="1164">
                  <c:v>52</c:v>
                </c:pt>
                <c:pt idx="1165">
                  <c:v>60</c:v>
                </c:pt>
                <c:pt idx="1166">
                  <c:v>62</c:v>
                </c:pt>
                <c:pt idx="1167">
                  <c:v>64</c:v>
                </c:pt>
                <c:pt idx="1168">
                  <c:v>65</c:v>
                </c:pt>
                <c:pt idx="1169">
                  <c:v>65</c:v>
                </c:pt>
                <c:pt idx="1170">
                  <c:v>65</c:v>
                </c:pt>
                <c:pt idx="1171">
                  <c:v>67</c:v>
                </c:pt>
                <c:pt idx="1172">
                  <c:v>68</c:v>
                </c:pt>
                <c:pt idx="1173">
                  <c:v>68</c:v>
                </c:pt>
                <c:pt idx="1174">
                  <c:v>70</c:v>
                </c:pt>
                <c:pt idx="1175">
                  <c:v>70</c:v>
                </c:pt>
                <c:pt idx="1176">
                  <c:v>70</c:v>
                </c:pt>
                <c:pt idx="1177">
                  <c:v>71</c:v>
                </c:pt>
                <c:pt idx="1178">
                  <c:v>72</c:v>
                </c:pt>
                <c:pt idx="1179">
                  <c:v>72</c:v>
                </c:pt>
                <c:pt idx="1180">
                  <c:v>72</c:v>
                </c:pt>
                <c:pt idx="1181">
                  <c:v>72</c:v>
                </c:pt>
                <c:pt idx="1182">
                  <c:v>72</c:v>
                </c:pt>
                <c:pt idx="1183">
                  <c:v>72</c:v>
                </c:pt>
                <c:pt idx="1184">
                  <c:v>72</c:v>
                </c:pt>
                <c:pt idx="1185">
                  <c:v>78</c:v>
                </c:pt>
                <c:pt idx="1186">
                  <c:v>78</c:v>
                </c:pt>
                <c:pt idx="1187">
                  <c:v>78</c:v>
                </c:pt>
                <c:pt idx="1188">
                  <c:v>78</c:v>
                </c:pt>
                <c:pt idx="1189">
                  <c:v>78</c:v>
                </c:pt>
                <c:pt idx="1190">
                  <c:v>78</c:v>
                </c:pt>
                <c:pt idx="1191">
                  <c:v>80</c:v>
                </c:pt>
                <c:pt idx="1192">
                  <c:v>80</c:v>
                </c:pt>
                <c:pt idx="1193">
                  <c:v>80</c:v>
                </c:pt>
                <c:pt idx="1194">
                  <c:v>80</c:v>
                </c:pt>
                <c:pt idx="1195">
                  <c:v>80</c:v>
                </c:pt>
                <c:pt idx="1196">
                  <c:v>80</c:v>
                </c:pt>
                <c:pt idx="1197">
                  <c:v>81</c:v>
                </c:pt>
                <c:pt idx="1198">
                  <c:v>81</c:v>
                </c:pt>
                <c:pt idx="1199">
                  <c:v>81</c:v>
                </c:pt>
                <c:pt idx="1200">
                  <c:v>81</c:v>
                </c:pt>
                <c:pt idx="1201">
                  <c:v>81</c:v>
                </c:pt>
                <c:pt idx="1202">
                  <c:v>78</c:v>
                </c:pt>
                <c:pt idx="1203">
                  <c:v>78</c:v>
                </c:pt>
                <c:pt idx="1204">
                  <c:v>78</c:v>
                </c:pt>
                <c:pt idx="1205">
                  <c:v>78</c:v>
                </c:pt>
                <c:pt idx="1206">
                  <c:v>78</c:v>
                </c:pt>
                <c:pt idx="1207">
                  <c:v>78</c:v>
                </c:pt>
                <c:pt idx="1208">
                  <c:v>78</c:v>
                </c:pt>
                <c:pt idx="1209">
                  <c:v>78</c:v>
                </c:pt>
                <c:pt idx="1210">
                  <c:v>78</c:v>
                </c:pt>
                <c:pt idx="1211">
                  <c:v>72</c:v>
                </c:pt>
                <c:pt idx="1212">
                  <c:v>72</c:v>
                </c:pt>
                <c:pt idx="1213">
                  <c:v>73</c:v>
                </c:pt>
                <c:pt idx="1214">
                  <c:v>73</c:v>
                </c:pt>
                <c:pt idx="1215">
                  <c:v>73</c:v>
                </c:pt>
                <c:pt idx="1216">
                  <c:v>73</c:v>
                </c:pt>
                <c:pt idx="1217">
                  <c:v>74</c:v>
                </c:pt>
                <c:pt idx="1218">
                  <c:v>74</c:v>
                </c:pt>
                <c:pt idx="1219">
                  <c:v>74</c:v>
                </c:pt>
                <c:pt idx="1220">
                  <c:v>74</c:v>
                </c:pt>
                <c:pt idx="1221">
                  <c:v>76</c:v>
                </c:pt>
                <c:pt idx="1222">
                  <c:v>76</c:v>
                </c:pt>
                <c:pt idx="1223">
                  <c:v>76</c:v>
                </c:pt>
                <c:pt idx="1224">
                  <c:v>76</c:v>
                </c:pt>
                <c:pt idx="1225">
                  <c:v>76</c:v>
                </c:pt>
                <c:pt idx="1226">
                  <c:v>76</c:v>
                </c:pt>
                <c:pt idx="1227">
                  <c:v>76</c:v>
                </c:pt>
                <c:pt idx="1228">
                  <c:v>76</c:v>
                </c:pt>
                <c:pt idx="1229">
                  <c:v>76</c:v>
                </c:pt>
                <c:pt idx="1230">
                  <c:v>76</c:v>
                </c:pt>
                <c:pt idx="1231">
                  <c:v>74</c:v>
                </c:pt>
                <c:pt idx="1232">
                  <c:v>74</c:v>
                </c:pt>
                <c:pt idx="1233">
                  <c:v>74</c:v>
                </c:pt>
                <c:pt idx="1234">
                  <c:v>74</c:v>
                </c:pt>
                <c:pt idx="1235">
                  <c:v>71</c:v>
                </c:pt>
                <c:pt idx="1236">
                  <c:v>71</c:v>
                </c:pt>
                <c:pt idx="1237">
                  <c:v>71</c:v>
                </c:pt>
                <c:pt idx="1238">
                  <c:v>71</c:v>
                </c:pt>
                <c:pt idx="1239">
                  <c:v>71</c:v>
                </c:pt>
                <c:pt idx="1240">
                  <c:v>71</c:v>
                </c:pt>
                <c:pt idx="1241">
                  <c:v>69</c:v>
                </c:pt>
                <c:pt idx="1242">
                  <c:v>69</c:v>
                </c:pt>
                <c:pt idx="1243">
                  <c:v>69</c:v>
                </c:pt>
                <c:pt idx="1244">
                  <c:v>68</c:v>
                </c:pt>
                <c:pt idx="1245">
                  <c:v>69</c:v>
                </c:pt>
                <c:pt idx="1246">
                  <c:v>69</c:v>
                </c:pt>
                <c:pt idx="1247">
                  <c:v>69</c:v>
                </c:pt>
                <c:pt idx="1248">
                  <c:v>69</c:v>
                </c:pt>
                <c:pt idx="1249">
                  <c:v>69</c:v>
                </c:pt>
                <c:pt idx="1250">
                  <c:v>67</c:v>
                </c:pt>
                <c:pt idx="1251">
                  <c:v>67</c:v>
                </c:pt>
                <c:pt idx="1252">
                  <c:v>67</c:v>
                </c:pt>
                <c:pt idx="1253">
                  <c:v>67</c:v>
                </c:pt>
                <c:pt idx="1254">
                  <c:v>67</c:v>
                </c:pt>
                <c:pt idx="1255">
                  <c:v>64</c:v>
                </c:pt>
                <c:pt idx="1256">
                  <c:v>64</c:v>
                </c:pt>
                <c:pt idx="1257">
                  <c:v>64</c:v>
                </c:pt>
                <c:pt idx="1258">
                  <c:v>64</c:v>
                </c:pt>
                <c:pt idx="1259">
                  <c:v>64</c:v>
                </c:pt>
                <c:pt idx="1260">
                  <c:v>62</c:v>
                </c:pt>
                <c:pt idx="1261">
                  <c:v>62</c:v>
                </c:pt>
                <c:pt idx="1262">
                  <c:v>62</c:v>
                </c:pt>
                <c:pt idx="1263">
                  <c:v>62</c:v>
                </c:pt>
                <c:pt idx="1264">
                  <c:v>62</c:v>
                </c:pt>
                <c:pt idx="1265">
                  <c:v>62</c:v>
                </c:pt>
                <c:pt idx="1266">
                  <c:v>62</c:v>
                </c:pt>
                <c:pt idx="1267">
                  <c:v>62</c:v>
                </c:pt>
                <c:pt idx="1268">
                  <c:v>62</c:v>
                </c:pt>
                <c:pt idx="1269">
                  <c:v>62</c:v>
                </c:pt>
                <c:pt idx="1270">
                  <c:v>59</c:v>
                </c:pt>
                <c:pt idx="1271">
                  <c:v>59</c:v>
                </c:pt>
                <c:pt idx="1272">
                  <c:v>59</c:v>
                </c:pt>
                <c:pt idx="1273">
                  <c:v>59</c:v>
                </c:pt>
                <c:pt idx="1274">
                  <c:v>59</c:v>
                </c:pt>
                <c:pt idx="1275">
                  <c:v>59</c:v>
                </c:pt>
                <c:pt idx="1276">
                  <c:v>59</c:v>
                </c:pt>
                <c:pt idx="1277">
                  <c:v>59</c:v>
                </c:pt>
                <c:pt idx="1278">
                  <c:v>59</c:v>
                </c:pt>
                <c:pt idx="1279">
                  <c:v>59</c:v>
                </c:pt>
                <c:pt idx="1280">
                  <c:v>64</c:v>
                </c:pt>
                <c:pt idx="1281">
                  <c:v>64</c:v>
                </c:pt>
                <c:pt idx="1282">
                  <c:v>64</c:v>
                </c:pt>
                <c:pt idx="1283">
                  <c:v>64</c:v>
                </c:pt>
                <c:pt idx="1284">
                  <c:v>64</c:v>
                </c:pt>
                <c:pt idx="1285">
                  <c:v>66</c:v>
                </c:pt>
                <c:pt idx="1286">
                  <c:v>66</c:v>
                </c:pt>
                <c:pt idx="1287">
                  <c:v>66</c:v>
                </c:pt>
                <c:pt idx="1288">
                  <c:v>66</c:v>
                </c:pt>
                <c:pt idx="1289">
                  <c:v>66</c:v>
                </c:pt>
                <c:pt idx="1290">
                  <c:v>67</c:v>
                </c:pt>
                <c:pt idx="1291">
                  <c:v>67</c:v>
                </c:pt>
                <c:pt idx="1292">
                  <c:v>67</c:v>
                </c:pt>
                <c:pt idx="1293">
                  <c:v>76</c:v>
                </c:pt>
                <c:pt idx="1294">
                  <c:v>76</c:v>
                </c:pt>
                <c:pt idx="1295">
                  <c:v>76</c:v>
                </c:pt>
                <c:pt idx="1296">
                  <c:v>76</c:v>
                </c:pt>
                <c:pt idx="1297">
                  <c:v>76</c:v>
                </c:pt>
                <c:pt idx="1298">
                  <c:v>78</c:v>
                </c:pt>
                <c:pt idx="1299">
                  <c:v>78</c:v>
                </c:pt>
                <c:pt idx="1300">
                  <c:v>78</c:v>
                </c:pt>
                <c:pt idx="1301">
                  <c:v>78</c:v>
                </c:pt>
                <c:pt idx="1302">
                  <c:v>78</c:v>
                </c:pt>
                <c:pt idx="1303">
                  <c:v>78</c:v>
                </c:pt>
                <c:pt idx="1304">
                  <c:v>78</c:v>
                </c:pt>
                <c:pt idx="1305">
                  <c:v>78</c:v>
                </c:pt>
                <c:pt idx="1306">
                  <c:v>78</c:v>
                </c:pt>
                <c:pt idx="1307">
                  <c:v>78</c:v>
                </c:pt>
                <c:pt idx="1308">
                  <c:v>78</c:v>
                </c:pt>
                <c:pt idx="1309">
                  <c:v>78</c:v>
                </c:pt>
                <c:pt idx="1310">
                  <c:v>78</c:v>
                </c:pt>
                <c:pt idx="1311">
                  <c:v>78</c:v>
                </c:pt>
                <c:pt idx="1312">
                  <c:v>77</c:v>
                </c:pt>
                <c:pt idx="1313">
                  <c:v>77</c:v>
                </c:pt>
                <c:pt idx="1314">
                  <c:v>77</c:v>
                </c:pt>
                <c:pt idx="1315">
                  <c:v>77</c:v>
                </c:pt>
                <c:pt idx="1316">
                  <c:v>77</c:v>
                </c:pt>
                <c:pt idx="1317">
                  <c:v>77</c:v>
                </c:pt>
                <c:pt idx="1318">
                  <c:v>77</c:v>
                </c:pt>
                <c:pt idx="1319">
                  <c:v>77</c:v>
                </c:pt>
                <c:pt idx="1320">
                  <c:v>77</c:v>
                </c:pt>
                <c:pt idx="1321">
                  <c:v>77</c:v>
                </c:pt>
                <c:pt idx="1322">
                  <c:v>77</c:v>
                </c:pt>
                <c:pt idx="1323">
                  <c:v>77</c:v>
                </c:pt>
                <c:pt idx="1324">
                  <c:v>77</c:v>
                </c:pt>
                <c:pt idx="1325">
                  <c:v>77</c:v>
                </c:pt>
                <c:pt idx="1326">
                  <c:v>77</c:v>
                </c:pt>
                <c:pt idx="1327">
                  <c:v>81</c:v>
                </c:pt>
                <c:pt idx="1328">
                  <c:v>81</c:v>
                </c:pt>
                <c:pt idx="1329">
                  <c:v>81</c:v>
                </c:pt>
                <c:pt idx="1330">
                  <c:v>81</c:v>
                </c:pt>
                <c:pt idx="1331">
                  <c:v>81</c:v>
                </c:pt>
                <c:pt idx="1332">
                  <c:v>81</c:v>
                </c:pt>
                <c:pt idx="1333">
                  <c:v>81</c:v>
                </c:pt>
                <c:pt idx="1334">
                  <c:v>81</c:v>
                </c:pt>
                <c:pt idx="1335">
                  <c:v>81</c:v>
                </c:pt>
                <c:pt idx="1336">
                  <c:v>81</c:v>
                </c:pt>
                <c:pt idx="1337">
                  <c:v>80</c:v>
                </c:pt>
                <c:pt idx="1338">
                  <c:v>80</c:v>
                </c:pt>
                <c:pt idx="1339">
                  <c:v>80</c:v>
                </c:pt>
                <c:pt idx="1340">
                  <c:v>80</c:v>
                </c:pt>
                <c:pt idx="1341">
                  <c:v>79</c:v>
                </c:pt>
                <c:pt idx="1342">
                  <c:v>79</c:v>
                </c:pt>
                <c:pt idx="1343">
                  <c:v>79</c:v>
                </c:pt>
                <c:pt idx="1344">
                  <c:v>79</c:v>
                </c:pt>
                <c:pt idx="1345">
                  <c:v>79</c:v>
                </c:pt>
                <c:pt idx="1346">
                  <c:v>79</c:v>
                </c:pt>
                <c:pt idx="1347">
                  <c:v>79</c:v>
                </c:pt>
                <c:pt idx="1348">
                  <c:v>79</c:v>
                </c:pt>
                <c:pt idx="1349">
                  <c:v>79</c:v>
                </c:pt>
                <c:pt idx="1350">
                  <c:v>79</c:v>
                </c:pt>
                <c:pt idx="1351">
                  <c:v>78</c:v>
                </c:pt>
                <c:pt idx="1352">
                  <c:v>78</c:v>
                </c:pt>
                <c:pt idx="1353">
                  <c:v>76</c:v>
                </c:pt>
                <c:pt idx="1354">
                  <c:v>75</c:v>
                </c:pt>
                <c:pt idx="1355">
                  <c:v>75</c:v>
                </c:pt>
                <c:pt idx="1356">
                  <c:v>75</c:v>
                </c:pt>
                <c:pt idx="1357">
                  <c:v>75</c:v>
                </c:pt>
                <c:pt idx="1358">
                  <c:v>75</c:v>
                </c:pt>
                <c:pt idx="1359">
                  <c:v>75</c:v>
                </c:pt>
                <c:pt idx="1360">
                  <c:v>73</c:v>
                </c:pt>
                <c:pt idx="1361">
                  <c:v>73</c:v>
                </c:pt>
                <c:pt idx="1362">
                  <c:v>73</c:v>
                </c:pt>
                <c:pt idx="1363">
                  <c:v>73</c:v>
                </c:pt>
                <c:pt idx="1364">
                  <c:v>72.5</c:v>
                </c:pt>
                <c:pt idx="1365">
                  <c:v>72.5</c:v>
                </c:pt>
                <c:pt idx="1366">
                  <c:v>72.5</c:v>
                </c:pt>
                <c:pt idx="1367">
                  <c:v>72.5</c:v>
                </c:pt>
                <c:pt idx="1368">
                  <c:v>72.5</c:v>
                </c:pt>
                <c:pt idx="1369">
                  <c:v>71</c:v>
                </c:pt>
                <c:pt idx="1370">
                  <c:v>71</c:v>
                </c:pt>
                <c:pt idx="1371">
                  <c:v>71</c:v>
                </c:pt>
                <c:pt idx="1372">
                  <c:v>68</c:v>
                </c:pt>
                <c:pt idx="1373">
                  <c:v>68</c:v>
                </c:pt>
                <c:pt idx="1374">
                  <c:v>68</c:v>
                </c:pt>
                <c:pt idx="1375">
                  <c:v>68</c:v>
                </c:pt>
                <c:pt idx="1376">
                  <c:v>68</c:v>
                </c:pt>
                <c:pt idx="1377">
                  <c:v>68</c:v>
                </c:pt>
                <c:pt idx="1378">
                  <c:v>66</c:v>
                </c:pt>
                <c:pt idx="1379">
                  <c:v>66</c:v>
                </c:pt>
                <c:pt idx="1380">
                  <c:v>66</c:v>
                </c:pt>
                <c:pt idx="1381">
                  <c:v>66</c:v>
                </c:pt>
                <c:pt idx="1382">
                  <c:v>66</c:v>
                </c:pt>
                <c:pt idx="1383">
                  <c:v>63</c:v>
                </c:pt>
                <c:pt idx="1384">
                  <c:v>63</c:v>
                </c:pt>
                <c:pt idx="1385">
                  <c:v>63</c:v>
                </c:pt>
                <c:pt idx="1386">
                  <c:v>63</c:v>
                </c:pt>
                <c:pt idx="1387">
                  <c:v>63</c:v>
                </c:pt>
                <c:pt idx="1388">
                  <c:v>55</c:v>
                </c:pt>
                <c:pt idx="1389">
                  <c:v>55</c:v>
                </c:pt>
                <c:pt idx="1390">
                  <c:v>55</c:v>
                </c:pt>
                <c:pt idx="1391">
                  <c:v>55</c:v>
                </c:pt>
                <c:pt idx="1392">
                  <c:v>55</c:v>
                </c:pt>
                <c:pt idx="1393">
                  <c:v>45</c:v>
                </c:pt>
                <c:pt idx="1394">
                  <c:v>45</c:v>
                </c:pt>
                <c:pt idx="1395">
                  <c:v>45</c:v>
                </c:pt>
                <c:pt idx="1396">
                  <c:v>45</c:v>
                </c:pt>
                <c:pt idx="1397">
                  <c:v>45</c:v>
                </c:pt>
                <c:pt idx="1398">
                  <c:v>37</c:v>
                </c:pt>
                <c:pt idx="1399">
                  <c:v>37</c:v>
                </c:pt>
                <c:pt idx="1400">
                  <c:v>37</c:v>
                </c:pt>
                <c:pt idx="1401">
                  <c:v>37</c:v>
                </c:pt>
                <c:pt idx="1402">
                  <c:v>37</c:v>
                </c:pt>
                <c:pt idx="1403">
                  <c:v>10</c:v>
                </c:pt>
                <c:pt idx="1404">
                  <c:v>10</c:v>
                </c:pt>
                <c:pt idx="1405">
                  <c:v>10</c:v>
                </c:pt>
                <c:pt idx="1406">
                  <c:v>20</c:v>
                </c:pt>
                <c:pt idx="1407">
                  <c:v>20</c:v>
                </c:pt>
                <c:pt idx="1408">
                  <c:v>20</c:v>
                </c:pt>
                <c:pt idx="1409">
                  <c:v>20</c:v>
                </c:pt>
                <c:pt idx="1410">
                  <c:v>20</c:v>
                </c:pt>
                <c:pt idx="1411">
                  <c:v>45</c:v>
                </c:pt>
                <c:pt idx="1412">
                  <c:v>45</c:v>
                </c:pt>
                <c:pt idx="1413">
                  <c:v>45</c:v>
                </c:pt>
                <c:pt idx="1414">
                  <c:v>45</c:v>
                </c:pt>
                <c:pt idx="1415">
                  <c:v>45</c:v>
                </c:pt>
                <c:pt idx="1416">
                  <c:v>65</c:v>
                </c:pt>
                <c:pt idx="1417" formatCode="General">
                  <c:v>65</c:v>
                </c:pt>
                <c:pt idx="1418" formatCode="General">
                  <c:v>65</c:v>
                </c:pt>
                <c:pt idx="1419" formatCode="General">
                  <c:v>65</c:v>
                </c:pt>
                <c:pt idx="1420" formatCode="General">
                  <c:v>65</c:v>
                </c:pt>
                <c:pt idx="1421" formatCode="General">
                  <c:v>70</c:v>
                </c:pt>
                <c:pt idx="1422" formatCode="General">
                  <c:v>70</c:v>
                </c:pt>
                <c:pt idx="1423" formatCode="General">
                  <c:v>70</c:v>
                </c:pt>
                <c:pt idx="1424" formatCode="General">
                  <c:v>70</c:v>
                </c:pt>
                <c:pt idx="1425" formatCode="General">
                  <c:v>70</c:v>
                </c:pt>
                <c:pt idx="1426" formatCode="General">
                  <c:v>77</c:v>
                </c:pt>
                <c:pt idx="1427" formatCode="General">
                  <c:v>77</c:v>
                </c:pt>
                <c:pt idx="1428" formatCode="General">
                  <c:v>77</c:v>
                </c:pt>
                <c:pt idx="1429" formatCode="General">
                  <c:v>77</c:v>
                </c:pt>
                <c:pt idx="1430" formatCode="General">
                  <c:v>77</c:v>
                </c:pt>
                <c:pt idx="1434" formatCode="General">
                  <c:v>78</c:v>
                </c:pt>
                <c:pt idx="1437" formatCode="General">
                  <c:v>78</c:v>
                </c:pt>
                <c:pt idx="1440" formatCode="General">
                  <c:v>79</c:v>
                </c:pt>
                <c:pt idx="1441" formatCode="General">
                  <c:v>79</c:v>
                </c:pt>
                <c:pt idx="1442" formatCode="General">
                  <c:v>79</c:v>
                </c:pt>
                <c:pt idx="1443" formatCode="General">
                  <c:v>79</c:v>
                </c:pt>
                <c:pt idx="1444" formatCode="General">
                  <c:v>79</c:v>
                </c:pt>
                <c:pt idx="1447" formatCode="General">
                  <c:v>80</c:v>
                </c:pt>
                <c:pt idx="1448" formatCode="General">
                  <c:v>80</c:v>
                </c:pt>
                <c:pt idx="1449" formatCode="General">
                  <c:v>80</c:v>
                </c:pt>
                <c:pt idx="1450" formatCode="General">
                  <c:v>80</c:v>
                </c:pt>
                <c:pt idx="1451" formatCode="General">
                  <c:v>80</c:v>
                </c:pt>
                <c:pt idx="1455" formatCode="General">
                  <c:v>80</c:v>
                </c:pt>
                <c:pt idx="1456" formatCode="General">
                  <c:v>80</c:v>
                </c:pt>
                <c:pt idx="1457" formatCode="General">
                  <c:v>80</c:v>
                </c:pt>
                <c:pt idx="1461" formatCode="General">
                  <c:v>80</c:v>
                </c:pt>
                <c:pt idx="1462" formatCode="General">
                  <c:v>80</c:v>
                </c:pt>
                <c:pt idx="1463" formatCode="General">
                  <c:v>80</c:v>
                </c:pt>
                <c:pt idx="1464" formatCode="General">
                  <c:v>80</c:v>
                </c:pt>
                <c:pt idx="1465" formatCode="General">
                  <c:v>80</c:v>
                </c:pt>
                <c:pt idx="1468" formatCode="General">
                  <c:v>80</c:v>
                </c:pt>
                <c:pt idx="1471" formatCode="General">
                  <c:v>80</c:v>
                </c:pt>
                <c:pt idx="1472" formatCode="General">
                  <c:v>80</c:v>
                </c:pt>
                <c:pt idx="1475" formatCode="General">
                  <c:v>78</c:v>
                </c:pt>
                <c:pt idx="1476" formatCode="General">
                  <c:v>78</c:v>
                </c:pt>
                <c:pt idx="1477" formatCode="General">
                  <c:v>78</c:v>
                </c:pt>
                <c:pt idx="1478" formatCode="General">
                  <c:v>78</c:v>
                </c:pt>
                <c:pt idx="1479" formatCode="General">
                  <c:v>78</c:v>
                </c:pt>
                <c:pt idx="1482" formatCode="General">
                  <c:v>73</c:v>
                </c:pt>
                <c:pt idx="1483" formatCode="General">
                  <c:v>73</c:v>
                </c:pt>
                <c:pt idx="1484" formatCode="General">
                  <c:v>73</c:v>
                </c:pt>
                <c:pt idx="1486" formatCode="General">
                  <c:v>73</c:v>
                </c:pt>
                <c:pt idx="1489" formatCode="General">
                  <c:v>72</c:v>
                </c:pt>
                <c:pt idx="1490" formatCode="General">
                  <c:v>72</c:v>
                </c:pt>
                <c:pt idx="1491" formatCode="General">
                  <c:v>72</c:v>
                </c:pt>
                <c:pt idx="1492" formatCode="General">
                  <c:v>72</c:v>
                </c:pt>
                <c:pt idx="1493" formatCode="General">
                  <c:v>72</c:v>
                </c:pt>
                <c:pt idx="1496" formatCode="General">
                  <c:v>72</c:v>
                </c:pt>
                <c:pt idx="1497" formatCode="General">
                  <c:v>72</c:v>
                </c:pt>
                <c:pt idx="1498" formatCode="General">
                  <c:v>72</c:v>
                </c:pt>
                <c:pt idx="1503" formatCode="General">
                  <c:v>70</c:v>
                </c:pt>
                <c:pt idx="1504" formatCode="General">
                  <c:v>70</c:v>
                </c:pt>
                <c:pt idx="1505" formatCode="General">
                  <c:v>70</c:v>
                </c:pt>
                <c:pt idx="1506" formatCode="General">
                  <c:v>70</c:v>
                </c:pt>
                <c:pt idx="1507" formatCode="General">
                  <c:v>70</c:v>
                </c:pt>
                <c:pt idx="1511" formatCode="General">
                  <c:v>70</c:v>
                </c:pt>
                <c:pt idx="1512" formatCode="General">
                  <c:v>70</c:v>
                </c:pt>
                <c:pt idx="1513" formatCode="General">
                  <c:v>70</c:v>
                </c:pt>
                <c:pt idx="1514" formatCode="General">
                  <c:v>70</c:v>
                </c:pt>
                <c:pt idx="1517" formatCode="General">
                  <c:v>69</c:v>
                </c:pt>
                <c:pt idx="1518" formatCode="General">
                  <c:v>69</c:v>
                </c:pt>
                <c:pt idx="1519" formatCode="General">
                  <c:v>69</c:v>
                </c:pt>
                <c:pt idx="1520" formatCode="General">
                  <c:v>69</c:v>
                </c:pt>
                <c:pt idx="1521" formatCode="General">
                  <c:v>69</c:v>
                </c:pt>
                <c:pt idx="1524" formatCode="General">
                  <c:v>69</c:v>
                </c:pt>
                <c:pt idx="1525" formatCode="General">
                  <c:v>69</c:v>
                </c:pt>
                <c:pt idx="1526" formatCode="General">
                  <c:v>69</c:v>
                </c:pt>
                <c:pt idx="1527" formatCode="General">
                  <c:v>69</c:v>
                </c:pt>
                <c:pt idx="1528" formatCode="General">
                  <c:v>68</c:v>
                </c:pt>
                <c:pt idx="1531" formatCode="General">
                  <c:v>68</c:v>
                </c:pt>
                <c:pt idx="1532" formatCode="General">
                  <c:v>68</c:v>
                </c:pt>
                <c:pt idx="1533" formatCode="General">
                  <c:v>66</c:v>
                </c:pt>
                <c:pt idx="1534" formatCode="General">
                  <c:v>66</c:v>
                </c:pt>
                <c:pt idx="1535" formatCode="General">
                  <c:v>64</c:v>
                </c:pt>
                <c:pt idx="1538" formatCode="General">
                  <c:v>64</c:v>
                </c:pt>
                <c:pt idx="1542" formatCode="General">
                  <c:v>63</c:v>
                </c:pt>
                <c:pt idx="1545" formatCode="General">
                  <c:v>63</c:v>
                </c:pt>
                <c:pt idx="1546" formatCode="General">
                  <c:v>63</c:v>
                </c:pt>
                <c:pt idx="1548" formatCode="General">
                  <c:v>63</c:v>
                </c:pt>
                <c:pt idx="1549" formatCode="General">
                  <c:v>63</c:v>
                </c:pt>
                <c:pt idx="1552" formatCode="General">
                  <c:v>61</c:v>
                </c:pt>
                <c:pt idx="1553" formatCode="General">
                  <c:v>61</c:v>
                </c:pt>
                <c:pt idx="1554" formatCode="General">
                  <c:v>61</c:v>
                </c:pt>
                <c:pt idx="1555" formatCode="General">
                  <c:v>61</c:v>
                </c:pt>
                <c:pt idx="1556" formatCode="General">
                  <c:v>61</c:v>
                </c:pt>
                <c:pt idx="1559" formatCode="General">
                  <c:v>60</c:v>
                </c:pt>
                <c:pt idx="1560" formatCode="General">
                  <c:v>60</c:v>
                </c:pt>
                <c:pt idx="1561" formatCode="General">
                  <c:v>60</c:v>
                </c:pt>
                <c:pt idx="1562" formatCode="General">
                  <c:v>60</c:v>
                </c:pt>
                <c:pt idx="1563" formatCode="General">
                  <c:v>60</c:v>
                </c:pt>
                <c:pt idx="1573" formatCode="General">
                  <c:v>65</c:v>
                </c:pt>
                <c:pt idx="1574" formatCode="General">
                  <c:v>65</c:v>
                </c:pt>
                <c:pt idx="1575" formatCode="General">
                  <c:v>65</c:v>
                </c:pt>
                <c:pt idx="1576" formatCode="General">
                  <c:v>65</c:v>
                </c:pt>
                <c:pt idx="1577" formatCode="General">
                  <c:v>65</c:v>
                </c:pt>
                <c:pt idx="1580" formatCode="General">
                  <c:v>69</c:v>
                </c:pt>
                <c:pt idx="1581" formatCode="General">
                  <c:v>69</c:v>
                </c:pt>
                <c:pt idx="1582" formatCode="General">
                  <c:v>69</c:v>
                </c:pt>
                <c:pt idx="1587" formatCode="General">
                  <c:v>71</c:v>
                </c:pt>
                <c:pt idx="1588" formatCode="General">
                  <c:v>71</c:v>
                </c:pt>
                <c:pt idx="1589" formatCode="General">
                  <c:v>71</c:v>
                </c:pt>
                <c:pt idx="1590" formatCode="General">
                  <c:v>71</c:v>
                </c:pt>
                <c:pt idx="1591" formatCode="General">
                  <c:v>71</c:v>
                </c:pt>
                <c:pt idx="1594" formatCode="General">
                  <c:v>69</c:v>
                </c:pt>
                <c:pt idx="1595" formatCode="General">
                  <c:v>69</c:v>
                </c:pt>
                <c:pt idx="1596" formatCode="General">
                  <c:v>69</c:v>
                </c:pt>
                <c:pt idx="1597" formatCode="General">
                  <c:v>69</c:v>
                </c:pt>
                <c:pt idx="1598" formatCode="General">
                  <c:v>69</c:v>
                </c:pt>
                <c:pt idx="1601" formatCode="General">
                  <c:v>69</c:v>
                </c:pt>
                <c:pt idx="1602" formatCode="General">
                  <c:v>68</c:v>
                </c:pt>
                <c:pt idx="1603" formatCode="General">
                  <c:v>68</c:v>
                </c:pt>
                <c:pt idx="1604" formatCode="General">
                  <c:v>68</c:v>
                </c:pt>
                <c:pt idx="1605" formatCode="General">
                  <c:v>68</c:v>
                </c:pt>
                <c:pt idx="1608" formatCode="General">
                  <c:v>67</c:v>
                </c:pt>
                <c:pt idx="1609" formatCode="General">
                  <c:v>67</c:v>
                </c:pt>
                <c:pt idx="1610" formatCode="General">
                  <c:v>67</c:v>
                </c:pt>
                <c:pt idx="1618" formatCode="General">
                  <c:v>62</c:v>
                </c:pt>
                <c:pt idx="1619" formatCode="General">
                  <c:v>62</c:v>
                </c:pt>
                <c:pt idx="1622" formatCode="General">
                  <c:v>72</c:v>
                </c:pt>
                <c:pt idx="1624" formatCode="General">
                  <c:v>72</c:v>
                </c:pt>
                <c:pt idx="1625" formatCode="General">
                  <c:v>72</c:v>
                </c:pt>
                <c:pt idx="1626" formatCode="General">
                  <c:v>72</c:v>
                </c:pt>
                <c:pt idx="1629" formatCode="General">
                  <c:v>73</c:v>
                </c:pt>
                <c:pt idx="1630" formatCode="General">
                  <c:v>73</c:v>
                </c:pt>
                <c:pt idx="1631" formatCode="General">
                  <c:v>73</c:v>
                </c:pt>
                <c:pt idx="1633" formatCode="General">
                  <c:v>73</c:v>
                </c:pt>
                <c:pt idx="1636" formatCode="General">
                  <c:v>73</c:v>
                </c:pt>
                <c:pt idx="1637" formatCode="General">
                  <c:v>73</c:v>
                </c:pt>
                <c:pt idx="1638" formatCode="General">
                  <c:v>73</c:v>
                </c:pt>
                <c:pt idx="1639" formatCode="General">
                  <c:v>73</c:v>
                </c:pt>
                <c:pt idx="1640" formatCode="General">
                  <c:v>73</c:v>
                </c:pt>
                <c:pt idx="1643" formatCode="General">
                  <c:v>73</c:v>
                </c:pt>
                <c:pt idx="1644" formatCode="General">
                  <c:v>72</c:v>
                </c:pt>
                <c:pt idx="1645" formatCode="General">
                  <c:v>72</c:v>
                </c:pt>
                <c:pt idx="1646" formatCode="General">
                  <c:v>72</c:v>
                </c:pt>
                <c:pt idx="1647" formatCode="General">
                  <c:v>72</c:v>
                </c:pt>
                <c:pt idx="1650" formatCode="General">
                  <c:v>72</c:v>
                </c:pt>
                <c:pt idx="1651" formatCode="General">
                  <c:v>72</c:v>
                </c:pt>
                <c:pt idx="1652" formatCode="General">
                  <c:v>72</c:v>
                </c:pt>
                <c:pt idx="1653" formatCode="General">
                  <c:v>72</c:v>
                </c:pt>
                <c:pt idx="1654" formatCode="General">
                  <c:v>72</c:v>
                </c:pt>
                <c:pt idx="1657" formatCode="General">
                  <c:v>72</c:v>
                </c:pt>
                <c:pt idx="1658" formatCode="General">
                  <c:v>72</c:v>
                </c:pt>
                <c:pt idx="1659" formatCode="General">
                  <c:v>72</c:v>
                </c:pt>
                <c:pt idx="1660" formatCode="General">
                  <c:v>72</c:v>
                </c:pt>
                <c:pt idx="1661" formatCode="General">
                  <c:v>72</c:v>
                </c:pt>
                <c:pt idx="1668" formatCode="General">
                  <c:v>67</c:v>
                </c:pt>
                <c:pt idx="1671" formatCode="General">
                  <c:v>67</c:v>
                </c:pt>
                <c:pt idx="1672" formatCode="General">
                  <c:v>67</c:v>
                </c:pt>
                <c:pt idx="1673" formatCode="General">
                  <c:v>67</c:v>
                </c:pt>
                <c:pt idx="1674" formatCode="General">
                  <c:v>67</c:v>
                </c:pt>
                <c:pt idx="1675" formatCode="General">
                  <c:v>67</c:v>
                </c:pt>
                <c:pt idx="1678" formatCode="General">
                  <c:v>65</c:v>
                </c:pt>
                <c:pt idx="1679" formatCode="General">
                  <c:v>65</c:v>
                </c:pt>
                <c:pt idx="1680" formatCode="General">
                  <c:v>65</c:v>
                </c:pt>
                <c:pt idx="1681" formatCode="General">
                  <c:v>65</c:v>
                </c:pt>
                <c:pt idx="1682" formatCode="General">
                  <c:v>65</c:v>
                </c:pt>
                <c:pt idx="1685" formatCode="General">
                  <c:v>60</c:v>
                </c:pt>
                <c:pt idx="1686" formatCode="General">
                  <c:v>60</c:v>
                </c:pt>
                <c:pt idx="1687" formatCode="General">
                  <c:v>60</c:v>
                </c:pt>
                <c:pt idx="1688" formatCode="General">
                  <c:v>60</c:v>
                </c:pt>
                <c:pt idx="1692" formatCode="General">
                  <c:v>56</c:v>
                </c:pt>
                <c:pt idx="1693" formatCode="General">
                  <c:v>56</c:v>
                </c:pt>
                <c:pt idx="1694" formatCode="General">
                  <c:v>56</c:v>
                </c:pt>
                <c:pt idx="1695" formatCode="General">
                  <c:v>56</c:v>
                </c:pt>
                <c:pt idx="1696" formatCode="General">
                  <c:v>56</c:v>
                </c:pt>
                <c:pt idx="1699" formatCode="General">
                  <c:v>55</c:v>
                </c:pt>
                <c:pt idx="1700" formatCode="General">
                  <c:v>55</c:v>
                </c:pt>
                <c:pt idx="1701" formatCode="General">
                  <c:v>55</c:v>
                </c:pt>
                <c:pt idx="1702" formatCode="General">
                  <c:v>55</c:v>
                </c:pt>
                <c:pt idx="1706" formatCode="General">
                  <c:v>54</c:v>
                </c:pt>
                <c:pt idx="1707" formatCode="General">
                  <c:v>54</c:v>
                </c:pt>
                <c:pt idx="1708" formatCode="General">
                  <c:v>54</c:v>
                </c:pt>
                <c:pt idx="1709" formatCode="General">
                  <c:v>54</c:v>
                </c:pt>
                <c:pt idx="1710" formatCode="General">
                  <c:v>54</c:v>
                </c:pt>
                <c:pt idx="1713" formatCode="General">
                  <c:v>54</c:v>
                </c:pt>
                <c:pt idx="1714" formatCode="General">
                  <c:v>54</c:v>
                </c:pt>
              </c:numCache>
            </c:numRef>
          </c:val>
        </c:ser>
        <c:marker val="1"/>
        <c:axId val="472805376"/>
        <c:axId val="472806912"/>
      </c:lineChart>
      <c:dateAx>
        <c:axId val="472805376"/>
        <c:scaling>
          <c:orientation val="minMax"/>
          <c:min val="41275"/>
        </c:scaling>
        <c:axPos val="b"/>
        <c:numFmt formatCode="yyyy\-mm;@" sourceLinked="0"/>
        <c:minorTickMark val="in"/>
        <c:tickLblPos val="nextTo"/>
        <c:spPr>
          <a:ln w="9525">
            <a:solidFill>
              <a:schemeClr val="tx1"/>
            </a:solidFill>
          </a:ln>
        </c:spPr>
        <c:crossAx val="472806912"/>
        <c:crosses val="autoZero"/>
        <c:auto val="1"/>
        <c:lblOffset val="100"/>
        <c:baseTimeUnit val="days"/>
        <c:majorUnit val="6"/>
        <c:majorTimeUnit val="months"/>
        <c:minorUnit val="1"/>
        <c:minorTimeUnit val="months"/>
      </c:dateAx>
      <c:valAx>
        <c:axId val="472806912"/>
        <c:scaling>
          <c:orientation val="minMax"/>
          <c:max val="100"/>
          <c:min val="0"/>
        </c:scaling>
        <c:axPos val="l"/>
        <c:majorGridlines>
          <c:spPr>
            <a:ln>
              <a:solidFill>
                <a:schemeClr val="bg1">
                  <a:lumMod val="85000"/>
                </a:schemeClr>
              </a:solidFill>
              <a:prstDash val="dash"/>
            </a:ln>
          </c:spPr>
        </c:majorGridlines>
        <c:numFmt formatCode="General" sourceLinked="0"/>
        <c:tickLblPos val="nextTo"/>
        <c:spPr>
          <a:ln w="9525">
            <a:solidFill>
              <a:schemeClr val="tx1"/>
            </a:solidFill>
          </a:ln>
        </c:spPr>
        <c:crossAx val="472805376"/>
        <c:crosses val="autoZero"/>
        <c:crossBetween val="between"/>
        <c:majorUnit val="20"/>
      </c:valAx>
    </c:plotArea>
    <c:legend>
      <c:legendPos val="b"/>
      <c:layout>
        <c:manualLayout>
          <c:xMode val="edge"/>
          <c:yMode val="edge"/>
          <c:x val="0.14270436507936562"/>
          <c:y val="0.90945545977011499"/>
          <c:w val="0.71459110931390024"/>
          <c:h val="9.0544426950135246E-2"/>
        </c:manualLayout>
      </c:layout>
    </c:legend>
    <c:dispBlanksAs val="span"/>
  </c:chart>
  <c:spPr>
    <a:ln>
      <a:noFill/>
    </a:ln>
  </c:spPr>
  <c:txPr>
    <a:bodyPr/>
    <a:lstStyle/>
    <a:p>
      <a:pPr>
        <a:defRPr sz="800">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9547768190319"/>
          <c:y val="0.15242106685193801"/>
          <c:w val="0.75775670213747393"/>
          <c:h val="0.70543268488497757"/>
        </c:manualLayout>
      </c:layout>
      <c:scatterChart>
        <c:scatterStyle val="lineMarker"/>
        <c:ser>
          <c:idx val="0"/>
          <c:order val="0"/>
          <c:tx>
            <c:strRef>
              <c:f>Sheet1!$B$1</c:f>
              <c:strCache>
                <c:ptCount val="1"/>
                <c:pt idx="0">
                  <c:v>纯碱（轻质、华东）</c:v>
                </c:pt>
              </c:strCache>
            </c:strRef>
          </c:tx>
          <c:spPr>
            <a:ln w="19050" cap="rnd">
              <a:solidFill>
                <a:schemeClr val="accent1"/>
              </a:solidFill>
              <a:round/>
            </a:ln>
            <a:effectLst/>
          </c:spPr>
          <c:marker>
            <c:symbol val="none"/>
          </c:marker>
          <c:xVal>
            <c:numRef>
              <c:f>Sheet1!$A$2:$A$2200</c:f>
              <c:numCache>
                <c:formatCode>m/d/yyyy</c:formatCode>
                <c:ptCount val="2199"/>
                <c:pt idx="0">
                  <c:v>40179</c:v>
                </c:pt>
                <c:pt idx="1">
                  <c:v>40180</c:v>
                </c:pt>
                <c:pt idx="2">
                  <c:v>40181</c:v>
                </c:pt>
                <c:pt idx="3">
                  <c:v>40182</c:v>
                </c:pt>
                <c:pt idx="4">
                  <c:v>40183</c:v>
                </c:pt>
                <c:pt idx="5">
                  <c:v>40184</c:v>
                </c:pt>
                <c:pt idx="6">
                  <c:v>40185</c:v>
                </c:pt>
                <c:pt idx="7">
                  <c:v>40186</c:v>
                </c:pt>
                <c:pt idx="8">
                  <c:v>40187</c:v>
                </c:pt>
                <c:pt idx="9">
                  <c:v>40188</c:v>
                </c:pt>
                <c:pt idx="10">
                  <c:v>40189</c:v>
                </c:pt>
                <c:pt idx="11">
                  <c:v>40190</c:v>
                </c:pt>
                <c:pt idx="12">
                  <c:v>40191</c:v>
                </c:pt>
                <c:pt idx="13">
                  <c:v>40192</c:v>
                </c:pt>
                <c:pt idx="14">
                  <c:v>40193</c:v>
                </c:pt>
                <c:pt idx="15">
                  <c:v>40194</c:v>
                </c:pt>
                <c:pt idx="16">
                  <c:v>40195</c:v>
                </c:pt>
                <c:pt idx="17">
                  <c:v>40196</c:v>
                </c:pt>
                <c:pt idx="18">
                  <c:v>40197</c:v>
                </c:pt>
                <c:pt idx="19">
                  <c:v>40198</c:v>
                </c:pt>
                <c:pt idx="20">
                  <c:v>40199</c:v>
                </c:pt>
                <c:pt idx="21">
                  <c:v>40200</c:v>
                </c:pt>
                <c:pt idx="22">
                  <c:v>40201</c:v>
                </c:pt>
                <c:pt idx="23">
                  <c:v>40202</c:v>
                </c:pt>
                <c:pt idx="24">
                  <c:v>40203</c:v>
                </c:pt>
                <c:pt idx="25">
                  <c:v>40204</c:v>
                </c:pt>
                <c:pt idx="26">
                  <c:v>40205</c:v>
                </c:pt>
                <c:pt idx="27">
                  <c:v>40206</c:v>
                </c:pt>
                <c:pt idx="28">
                  <c:v>40207</c:v>
                </c:pt>
                <c:pt idx="29">
                  <c:v>40208</c:v>
                </c:pt>
                <c:pt idx="30">
                  <c:v>40209</c:v>
                </c:pt>
                <c:pt idx="31">
                  <c:v>40210</c:v>
                </c:pt>
                <c:pt idx="32">
                  <c:v>40211</c:v>
                </c:pt>
                <c:pt idx="33">
                  <c:v>40212</c:v>
                </c:pt>
                <c:pt idx="34">
                  <c:v>40213</c:v>
                </c:pt>
                <c:pt idx="35">
                  <c:v>40214</c:v>
                </c:pt>
                <c:pt idx="36">
                  <c:v>40215</c:v>
                </c:pt>
                <c:pt idx="37">
                  <c:v>40216</c:v>
                </c:pt>
                <c:pt idx="38">
                  <c:v>40217</c:v>
                </c:pt>
                <c:pt idx="39">
                  <c:v>40218</c:v>
                </c:pt>
                <c:pt idx="40">
                  <c:v>40219</c:v>
                </c:pt>
                <c:pt idx="41">
                  <c:v>40220</c:v>
                </c:pt>
                <c:pt idx="42">
                  <c:v>40221</c:v>
                </c:pt>
                <c:pt idx="43">
                  <c:v>40222</c:v>
                </c:pt>
                <c:pt idx="44">
                  <c:v>40223</c:v>
                </c:pt>
                <c:pt idx="45">
                  <c:v>40224</c:v>
                </c:pt>
                <c:pt idx="46">
                  <c:v>40225</c:v>
                </c:pt>
                <c:pt idx="47">
                  <c:v>40226</c:v>
                </c:pt>
                <c:pt idx="48">
                  <c:v>40227</c:v>
                </c:pt>
                <c:pt idx="49">
                  <c:v>40228</c:v>
                </c:pt>
                <c:pt idx="50">
                  <c:v>40229</c:v>
                </c:pt>
                <c:pt idx="51">
                  <c:v>40230</c:v>
                </c:pt>
                <c:pt idx="52">
                  <c:v>40231</c:v>
                </c:pt>
                <c:pt idx="53">
                  <c:v>40232</c:v>
                </c:pt>
                <c:pt idx="54">
                  <c:v>40233</c:v>
                </c:pt>
                <c:pt idx="55">
                  <c:v>40234</c:v>
                </c:pt>
                <c:pt idx="56">
                  <c:v>40235</c:v>
                </c:pt>
                <c:pt idx="57">
                  <c:v>40236</c:v>
                </c:pt>
                <c:pt idx="58">
                  <c:v>40237</c:v>
                </c:pt>
                <c:pt idx="59">
                  <c:v>40238</c:v>
                </c:pt>
                <c:pt idx="60">
                  <c:v>40239</c:v>
                </c:pt>
                <c:pt idx="61">
                  <c:v>40240</c:v>
                </c:pt>
                <c:pt idx="62">
                  <c:v>40241</c:v>
                </c:pt>
                <c:pt idx="63">
                  <c:v>40242</c:v>
                </c:pt>
                <c:pt idx="64">
                  <c:v>40243</c:v>
                </c:pt>
                <c:pt idx="65">
                  <c:v>40244</c:v>
                </c:pt>
                <c:pt idx="66">
                  <c:v>40245</c:v>
                </c:pt>
                <c:pt idx="67">
                  <c:v>40246</c:v>
                </c:pt>
                <c:pt idx="68">
                  <c:v>40247</c:v>
                </c:pt>
                <c:pt idx="69">
                  <c:v>40248</c:v>
                </c:pt>
                <c:pt idx="70">
                  <c:v>40249</c:v>
                </c:pt>
                <c:pt idx="71">
                  <c:v>40250</c:v>
                </c:pt>
                <c:pt idx="72">
                  <c:v>40251</c:v>
                </c:pt>
                <c:pt idx="73">
                  <c:v>40252</c:v>
                </c:pt>
                <c:pt idx="74">
                  <c:v>40253</c:v>
                </c:pt>
                <c:pt idx="75">
                  <c:v>40254</c:v>
                </c:pt>
                <c:pt idx="76">
                  <c:v>40255</c:v>
                </c:pt>
                <c:pt idx="77">
                  <c:v>40256</c:v>
                </c:pt>
                <c:pt idx="78">
                  <c:v>40257</c:v>
                </c:pt>
                <c:pt idx="79">
                  <c:v>40258</c:v>
                </c:pt>
                <c:pt idx="80">
                  <c:v>40259</c:v>
                </c:pt>
                <c:pt idx="81">
                  <c:v>40260</c:v>
                </c:pt>
                <c:pt idx="82">
                  <c:v>40261</c:v>
                </c:pt>
                <c:pt idx="83">
                  <c:v>40262</c:v>
                </c:pt>
                <c:pt idx="84">
                  <c:v>40263</c:v>
                </c:pt>
                <c:pt idx="85">
                  <c:v>40264</c:v>
                </c:pt>
                <c:pt idx="86">
                  <c:v>40265</c:v>
                </c:pt>
                <c:pt idx="87">
                  <c:v>40266</c:v>
                </c:pt>
                <c:pt idx="88">
                  <c:v>40267</c:v>
                </c:pt>
                <c:pt idx="89">
                  <c:v>40268</c:v>
                </c:pt>
                <c:pt idx="90">
                  <c:v>40269</c:v>
                </c:pt>
                <c:pt idx="91">
                  <c:v>40270</c:v>
                </c:pt>
                <c:pt idx="92">
                  <c:v>40271</c:v>
                </c:pt>
                <c:pt idx="93">
                  <c:v>40272</c:v>
                </c:pt>
                <c:pt idx="94">
                  <c:v>40273</c:v>
                </c:pt>
                <c:pt idx="95">
                  <c:v>40274</c:v>
                </c:pt>
                <c:pt idx="96">
                  <c:v>40275</c:v>
                </c:pt>
                <c:pt idx="97">
                  <c:v>40276</c:v>
                </c:pt>
                <c:pt idx="98">
                  <c:v>40277</c:v>
                </c:pt>
                <c:pt idx="99">
                  <c:v>40278</c:v>
                </c:pt>
                <c:pt idx="100">
                  <c:v>40279</c:v>
                </c:pt>
                <c:pt idx="101">
                  <c:v>40280</c:v>
                </c:pt>
                <c:pt idx="102">
                  <c:v>40281</c:v>
                </c:pt>
                <c:pt idx="103">
                  <c:v>40282</c:v>
                </c:pt>
                <c:pt idx="104">
                  <c:v>40283</c:v>
                </c:pt>
                <c:pt idx="105">
                  <c:v>40284</c:v>
                </c:pt>
                <c:pt idx="106">
                  <c:v>40285</c:v>
                </c:pt>
                <c:pt idx="107">
                  <c:v>40286</c:v>
                </c:pt>
                <c:pt idx="108">
                  <c:v>40287</c:v>
                </c:pt>
                <c:pt idx="109">
                  <c:v>40288</c:v>
                </c:pt>
                <c:pt idx="110">
                  <c:v>40289</c:v>
                </c:pt>
                <c:pt idx="111">
                  <c:v>40290</c:v>
                </c:pt>
                <c:pt idx="112">
                  <c:v>40291</c:v>
                </c:pt>
                <c:pt idx="113">
                  <c:v>40292</c:v>
                </c:pt>
                <c:pt idx="114">
                  <c:v>40293</c:v>
                </c:pt>
                <c:pt idx="115">
                  <c:v>40294</c:v>
                </c:pt>
                <c:pt idx="116">
                  <c:v>40295</c:v>
                </c:pt>
                <c:pt idx="117">
                  <c:v>40296</c:v>
                </c:pt>
                <c:pt idx="118">
                  <c:v>40297</c:v>
                </c:pt>
                <c:pt idx="119">
                  <c:v>40298</c:v>
                </c:pt>
                <c:pt idx="120">
                  <c:v>40299</c:v>
                </c:pt>
                <c:pt idx="121">
                  <c:v>40300</c:v>
                </c:pt>
                <c:pt idx="122">
                  <c:v>40301</c:v>
                </c:pt>
                <c:pt idx="123">
                  <c:v>40302</c:v>
                </c:pt>
                <c:pt idx="124">
                  <c:v>40303</c:v>
                </c:pt>
                <c:pt idx="125">
                  <c:v>40304</c:v>
                </c:pt>
                <c:pt idx="126">
                  <c:v>40305</c:v>
                </c:pt>
                <c:pt idx="127">
                  <c:v>40306</c:v>
                </c:pt>
                <c:pt idx="128">
                  <c:v>40307</c:v>
                </c:pt>
                <c:pt idx="129">
                  <c:v>40308</c:v>
                </c:pt>
                <c:pt idx="130">
                  <c:v>40309</c:v>
                </c:pt>
                <c:pt idx="131">
                  <c:v>40310</c:v>
                </c:pt>
                <c:pt idx="132">
                  <c:v>40311</c:v>
                </c:pt>
                <c:pt idx="133">
                  <c:v>40312</c:v>
                </c:pt>
                <c:pt idx="134">
                  <c:v>40313</c:v>
                </c:pt>
                <c:pt idx="135">
                  <c:v>40314</c:v>
                </c:pt>
                <c:pt idx="136">
                  <c:v>40315</c:v>
                </c:pt>
                <c:pt idx="137">
                  <c:v>40316</c:v>
                </c:pt>
                <c:pt idx="138">
                  <c:v>40317</c:v>
                </c:pt>
                <c:pt idx="139">
                  <c:v>40318</c:v>
                </c:pt>
                <c:pt idx="140">
                  <c:v>40319</c:v>
                </c:pt>
                <c:pt idx="141">
                  <c:v>40320</c:v>
                </c:pt>
                <c:pt idx="142">
                  <c:v>40321</c:v>
                </c:pt>
                <c:pt idx="143">
                  <c:v>40322</c:v>
                </c:pt>
                <c:pt idx="144">
                  <c:v>40323</c:v>
                </c:pt>
                <c:pt idx="145">
                  <c:v>40324</c:v>
                </c:pt>
                <c:pt idx="146">
                  <c:v>40325</c:v>
                </c:pt>
                <c:pt idx="147">
                  <c:v>40326</c:v>
                </c:pt>
                <c:pt idx="148">
                  <c:v>40327</c:v>
                </c:pt>
                <c:pt idx="149">
                  <c:v>40328</c:v>
                </c:pt>
                <c:pt idx="150">
                  <c:v>40329</c:v>
                </c:pt>
                <c:pt idx="151">
                  <c:v>40330</c:v>
                </c:pt>
                <c:pt idx="152">
                  <c:v>40331</c:v>
                </c:pt>
                <c:pt idx="153">
                  <c:v>40332</c:v>
                </c:pt>
                <c:pt idx="154">
                  <c:v>40333</c:v>
                </c:pt>
                <c:pt idx="155">
                  <c:v>40334</c:v>
                </c:pt>
                <c:pt idx="156">
                  <c:v>40335</c:v>
                </c:pt>
                <c:pt idx="157">
                  <c:v>40336</c:v>
                </c:pt>
                <c:pt idx="158">
                  <c:v>40337</c:v>
                </c:pt>
                <c:pt idx="159">
                  <c:v>40338</c:v>
                </c:pt>
                <c:pt idx="160">
                  <c:v>40339</c:v>
                </c:pt>
                <c:pt idx="161">
                  <c:v>40340</c:v>
                </c:pt>
                <c:pt idx="162">
                  <c:v>40341</c:v>
                </c:pt>
                <c:pt idx="163">
                  <c:v>40342</c:v>
                </c:pt>
                <c:pt idx="164">
                  <c:v>40343</c:v>
                </c:pt>
                <c:pt idx="165">
                  <c:v>40344</c:v>
                </c:pt>
                <c:pt idx="166">
                  <c:v>40345</c:v>
                </c:pt>
                <c:pt idx="167">
                  <c:v>40346</c:v>
                </c:pt>
                <c:pt idx="168">
                  <c:v>40347</c:v>
                </c:pt>
                <c:pt idx="169">
                  <c:v>40348</c:v>
                </c:pt>
                <c:pt idx="170">
                  <c:v>40349</c:v>
                </c:pt>
                <c:pt idx="171">
                  <c:v>40350</c:v>
                </c:pt>
                <c:pt idx="172">
                  <c:v>40351</c:v>
                </c:pt>
                <c:pt idx="173">
                  <c:v>40352</c:v>
                </c:pt>
                <c:pt idx="174">
                  <c:v>40353</c:v>
                </c:pt>
                <c:pt idx="175">
                  <c:v>40354</c:v>
                </c:pt>
                <c:pt idx="176">
                  <c:v>40355</c:v>
                </c:pt>
                <c:pt idx="177">
                  <c:v>40356</c:v>
                </c:pt>
                <c:pt idx="178">
                  <c:v>40357</c:v>
                </c:pt>
                <c:pt idx="179">
                  <c:v>40358</c:v>
                </c:pt>
                <c:pt idx="180">
                  <c:v>40359</c:v>
                </c:pt>
                <c:pt idx="181">
                  <c:v>40360</c:v>
                </c:pt>
                <c:pt idx="182">
                  <c:v>40361</c:v>
                </c:pt>
                <c:pt idx="183">
                  <c:v>40362</c:v>
                </c:pt>
                <c:pt idx="184">
                  <c:v>40363</c:v>
                </c:pt>
                <c:pt idx="185">
                  <c:v>40364</c:v>
                </c:pt>
                <c:pt idx="186">
                  <c:v>40365</c:v>
                </c:pt>
                <c:pt idx="187">
                  <c:v>40366</c:v>
                </c:pt>
                <c:pt idx="188">
                  <c:v>40367</c:v>
                </c:pt>
                <c:pt idx="189">
                  <c:v>40368</c:v>
                </c:pt>
                <c:pt idx="190">
                  <c:v>40369</c:v>
                </c:pt>
                <c:pt idx="191">
                  <c:v>40370</c:v>
                </c:pt>
                <c:pt idx="192">
                  <c:v>40371</c:v>
                </c:pt>
                <c:pt idx="193">
                  <c:v>40372</c:v>
                </c:pt>
                <c:pt idx="194">
                  <c:v>40373</c:v>
                </c:pt>
                <c:pt idx="195">
                  <c:v>40374</c:v>
                </c:pt>
                <c:pt idx="196">
                  <c:v>40375</c:v>
                </c:pt>
                <c:pt idx="197">
                  <c:v>40376</c:v>
                </c:pt>
                <c:pt idx="198">
                  <c:v>40377</c:v>
                </c:pt>
                <c:pt idx="199">
                  <c:v>40378</c:v>
                </c:pt>
                <c:pt idx="200">
                  <c:v>40379</c:v>
                </c:pt>
                <c:pt idx="201">
                  <c:v>40380</c:v>
                </c:pt>
                <c:pt idx="202">
                  <c:v>40381</c:v>
                </c:pt>
                <c:pt idx="203">
                  <c:v>40382</c:v>
                </c:pt>
                <c:pt idx="204">
                  <c:v>40383</c:v>
                </c:pt>
                <c:pt idx="205">
                  <c:v>40384</c:v>
                </c:pt>
                <c:pt idx="206">
                  <c:v>40385</c:v>
                </c:pt>
                <c:pt idx="207">
                  <c:v>40386</c:v>
                </c:pt>
                <c:pt idx="208">
                  <c:v>40387</c:v>
                </c:pt>
                <c:pt idx="209">
                  <c:v>40388</c:v>
                </c:pt>
                <c:pt idx="210">
                  <c:v>40389</c:v>
                </c:pt>
                <c:pt idx="211">
                  <c:v>40390</c:v>
                </c:pt>
                <c:pt idx="212">
                  <c:v>40391</c:v>
                </c:pt>
                <c:pt idx="213">
                  <c:v>40392</c:v>
                </c:pt>
                <c:pt idx="214">
                  <c:v>40393</c:v>
                </c:pt>
                <c:pt idx="215">
                  <c:v>40394</c:v>
                </c:pt>
                <c:pt idx="216">
                  <c:v>40395</c:v>
                </c:pt>
                <c:pt idx="217">
                  <c:v>40396</c:v>
                </c:pt>
                <c:pt idx="218">
                  <c:v>40397</c:v>
                </c:pt>
                <c:pt idx="219">
                  <c:v>40398</c:v>
                </c:pt>
                <c:pt idx="220">
                  <c:v>40399</c:v>
                </c:pt>
                <c:pt idx="221">
                  <c:v>40400</c:v>
                </c:pt>
                <c:pt idx="222">
                  <c:v>40401</c:v>
                </c:pt>
                <c:pt idx="223">
                  <c:v>40402</c:v>
                </c:pt>
                <c:pt idx="224">
                  <c:v>40403</c:v>
                </c:pt>
                <c:pt idx="225">
                  <c:v>40404</c:v>
                </c:pt>
                <c:pt idx="226">
                  <c:v>40405</c:v>
                </c:pt>
                <c:pt idx="227">
                  <c:v>40406</c:v>
                </c:pt>
                <c:pt idx="228">
                  <c:v>40407</c:v>
                </c:pt>
                <c:pt idx="229">
                  <c:v>40408</c:v>
                </c:pt>
                <c:pt idx="230">
                  <c:v>40409</c:v>
                </c:pt>
                <c:pt idx="231">
                  <c:v>40410</c:v>
                </c:pt>
                <c:pt idx="232">
                  <c:v>40411</c:v>
                </c:pt>
                <c:pt idx="233">
                  <c:v>40412</c:v>
                </c:pt>
                <c:pt idx="234">
                  <c:v>40413</c:v>
                </c:pt>
                <c:pt idx="235">
                  <c:v>40414</c:v>
                </c:pt>
                <c:pt idx="236">
                  <c:v>40415</c:v>
                </c:pt>
                <c:pt idx="237">
                  <c:v>40416</c:v>
                </c:pt>
                <c:pt idx="238">
                  <c:v>40417</c:v>
                </c:pt>
                <c:pt idx="239">
                  <c:v>40418</c:v>
                </c:pt>
                <c:pt idx="240">
                  <c:v>40419</c:v>
                </c:pt>
                <c:pt idx="241">
                  <c:v>40420</c:v>
                </c:pt>
                <c:pt idx="242">
                  <c:v>40421</c:v>
                </c:pt>
                <c:pt idx="243">
                  <c:v>40422</c:v>
                </c:pt>
                <c:pt idx="244">
                  <c:v>40423</c:v>
                </c:pt>
                <c:pt idx="245">
                  <c:v>40424</c:v>
                </c:pt>
                <c:pt idx="246">
                  <c:v>40425</c:v>
                </c:pt>
                <c:pt idx="247">
                  <c:v>40426</c:v>
                </c:pt>
                <c:pt idx="248">
                  <c:v>40427</c:v>
                </c:pt>
                <c:pt idx="249">
                  <c:v>40428</c:v>
                </c:pt>
                <c:pt idx="250">
                  <c:v>40429</c:v>
                </c:pt>
                <c:pt idx="251">
                  <c:v>40430</c:v>
                </c:pt>
                <c:pt idx="252">
                  <c:v>40431</c:v>
                </c:pt>
                <c:pt idx="253">
                  <c:v>40432</c:v>
                </c:pt>
                <c:pt idx="254">
                  <c:v>40433</c:v>
                </c:pt>
                <c:pt idx="255">
                  <c:v>40434</c:v>
                </c:pt>
                <c:pt idx="256">
                  <c:v>40435</c:v>
                </c:pt>
                <c:pt idx="257">
                  <c:v>40436</c:v>
                </c:pt>
                <c:pt idx="258">
                  <c:v>40437</c:v>
                </c:pt>
                <c:pt idx="259">
                  <c:v>40438</c:v>
                </c:pt>
                <c:pt idx="260">
                  <c:v>40439</c:v>
                </c:pt>
                <c:pt idx="261">
                  <c:v>40440</c:v>
                </c:pt>
                <c:pt idx="262">
                  <c:v>40441</c:v>
                </c:pt>
                <c:pt idx="263">
                  <c:v>40442</c:v>
                </c:pt>
                <c:pt idx="264">
                  <c:v>40443</c:v>
                </c:pt>
                <c:pt idx="265">
                  <c:v>40444</c:v>
                </c:pt>
                <c:pt idx="266">
                  <c:v>40445</c:v>
                </c:pt>
                <c:pt idx="267">
                  <c:v>40446</c:v>
                </c:pt>
                <c:pt idx="268">
                  <c:v>40447</c:v>
                </c:pt>
                <c:pt idx="269">
                  <c:v>40448</c:v>
                </c:pt>
                <c:pt idx="270">
                  <c:v>40449</c:v>
                </c:pt>
                <c:pt idx="271">
                  <c:v>40450</c:v>
                </c:pt>
                <c:pt idx="272">
                  <c:v>40451</c:v>
                </c:pt>
                <c:pt idx="273">
                  <c:v>40452</c:v>
                </c:pt>
                <c:pt idx="274">
                  <c:v>40453</c:v>
                </c:pt>
                <c:pt idx="275">
                  <c:v>40454</c:v>
                </c:pt>
                <c:pt idx="276">
                  <c:v>40455</c:v>
                </c:pt>
                <c:pt idx="277">
                  <c:v>40456</c:v>
                </c:pt>
                <c:pt idx="278">
                  <c:v>40457</c:v>
                </c:pt>
                <c:pt idx="279">
                  <c:v>40458</c:v>
                </c:pt>
                <c:pt idx="280">
                  <c:v>40459</c:v>
                </c:pt>
                <c:pt idx="281">
                  <c:v>40460</c:v>
                </c:pt>
                <c:pt idx="282">
                  <c:v>40461</c:v>
                </c:pt>
                <c:pt idx="283">
                  <c:v>40462</c:v>
                </c:pt>
                <c:pt idx="284">
                  <c:v>40463</c:v>
                </c:pt>
                <c:pt idx="285">
                  <c:v>40464</c:v>
                </c:pt>
                <c:pt idx="286">
                  <c:v>40465</c:v>
                </c:pt>
                <c:pt idx="287">
                  <c:v>40466</c:v>
                </c:pt>
                <c:pt idx="288">
                  <c:v>40467</c:v>
                </c:pt>
                <c:pt idx="289">
                  <c:v>40468</c:v>
                </c:pt>
                <c:pt idx="290">
                  <c:v>40469</c:v>
                </c:pt>
                <c:pt idx="291">
                  <c:v>40470</c:v>
                </c:pt>
                <c:pt idx="292">
                  <c:v>40471</c:v>
                </c:pt>
                <c:pt idx="293">
                  <c:v>40472</c:v>
                </c:pt>
                <c:pt idx="294">
                  <c:v>40473</c:v>
                </c:pt>
                <c:pt idx="295">
                  <c:v>40474</c:v>
                </c:pt>
                <c:pt idx="296">
                  <c:v>40475</c:v>
                </c:pt>
                <c:pt idx="297">
                  <c:v>40476</c:v>
                </c:pt>
                <c:pt idx="298">
                  <c:v>40477</c:v>
                </c:pt>
                <c:pt idx="299">
                  <c:v>40478</c:v>
                </c:pt>
                <c:pt idx="300">
                  <c:v>40479</c:v>
                </c:pt>
                <c:pt idx="301">
                  <c:v>40480</c:v>
                </c:pt>
                <c:pt idx="302">
                  <c:v>40481</c:v>
                </c:pt>
                <c:pt idx="303">
                  <c:v>40482</c:v>
                </c:pt>
                <c:pt idx="304">
                  <c:v>40483</c:v>
                </c:pt>
                <c:pt idx="305">
                  <c:v>40484</c:v>
                </c:pt>
                <c:pt idx="306">
                  <c:v>40485</c:v>
                </c:pt>
                <c:pt idx="307">
                  <c:v>40486</c:v>
                </c:pt>
                <c:pt idx="308">
                  <c:v>40487</c:v>
                </c:pt>
                <c:pt idx="309">
                  <c:v>40488</c:v>
                </c:pt>
                <c:pt idx="310">
                  <c:v>40489</c:v>
                </c:pt>
                <c:pt idx="311">
                  <c:v>40490</c:v>
                </c:pt>
                <c:pt idx="312">
                  <c:v>40491</c:v>
                </c:pt>
                <c:pt idx="313">
                  <c:v>40492</c:v>
                </c:pt>
                <c:pt idx="314">
                  <c:v>40493</c:v>
                </c:pt>
                <c:pt idx="315">
                  <c:v>40494</c:v>
                </c:pt>
                <c:pt idx="316">
                  <c:v>40495</c:v>
                </c:pt>
                <c:pt idx="317">
                  <c:v>40496</c:v>
                </c:pt>
                <c:pt idx="318">
                  <c:v>40497</c:v>
                </c:pt>
                <c:pt idx="319">
                  <c:v>40498</c:v>
                </c:pt>
                <c:pt idx="320">
                  <c:v>40499</c:v>
                </c:pt>
                <c:pt idx="321">
                  <c:v>40500</c:v>
                </c:pt>
                <c:pt idx="322">
                  <c:v>40501</c:v>
                </c:pt>
                <c:pt idx="323">
                  <c:v>40502</c:v>
                </c:pt>
                <c:pt idx="324">
                  <c:v>40503</c:v>
                </c:pt>
                <c:pt idx="325">
                  <c:v>40504</c:v>
                </c:pt>
                <c:pt idx="326">
                  <c:v>40505</c:v>
                </c:pt>
                <c:pt idx="327">
                  <c:v>40506</c:v>
                </c:pt>
                <c:pt idx="328">
                  <c:v>40507</c:v>
                </c:pt>
                <c:pt idx="329">
                  <c:v>40508</c:v>
                </c:pt>
                <c:pt idx="330">
                  <c:v>40509</c:v>
                </c:pt>
                <c:pt idx="331">
                  <c:v>40510</c:v>
                </c:pt>
                <c:pt idx="332">
                  <c:v>40511</c:v>
                </c:pt>
                <c:pt idx="333">
                  <c:v>40512</c:v>
                </c:pt>
                <c:pt idx="334">
                  <c:v>40513</c:v>
                </c:pt>
                <c:pt idx="335">
                  <c:v>40514</c:v>
                </c:pt>
                <c:pt idx="336">
                  <c:v>40515</c:v>
                </c:pt>
                <c:pt idx="337">
                  <c:v>40516</c:v>
                </c:pt>
                <c:pt idx="338">
                  <c:v>40517</c:v>
                </c:pt>
                <c:pt idx="339">
                  <c:v>40518</c:v>
                </c:pt>
                <c:pt idx="340">
                  <c:v>40519</c:v>
                </c:pt>
                <c:pt idx="341">
                  <c:v>40520</c:v>
                </c:pt>
                <c:pt idx="342">
                  <c:v>40521</c:v>
                </c:pt>
                <c:pt idx="343">
                  <c:v>40522</c:v>
                </c:pt>
                <c:pt idx="344">
                  <c:v>40523</c:v>
                </c:pt>
                <c:pt idx="345">
                  <c:v>40524</c:v>
                </c:pt>
                <c:pt idx="346">
                  <c:v>40525</c:v>
                </c:pt>
                <c:pt idx="347">
                  <c:v>40526</c:v>
                </c:pt>
                <c:pt idx="348">
                  <c:v>40527</c:v>
                </c:pt>
                <c:pt idx="349">
                  <c:v>40528</c:v>
                </c:pt>
                <c:pt idx="350">
                  <c:v>40529</c:v>
                </c:pt>
                <c:pt idx="351">
                  <c:v>40530</c:v>
                </c:pt>
                <c:pt idx="352">
                  <c:v>40531</c:v>
                </c:pt>
                <c:pt idx="353">
                  <c:v>40532</c:v>
                </c:pt>
                <c:pt idx="354">
                  <c:v>40533</c:v>
                </c:pt>
                <c:pt idx="355">
                  <c:v>40534</c:v>
                </c:pt>
                <c:pt idx="356">
                  <c:v>40535</c:v>
                </c:pt>
                <c:pt idx="357">
                  <c:v>40536</c:v>
                </c:pt>
                <c:pt idx="358">
                  <c:v>40537</c:v>
                </c:pt>
                <c:pt idx="359">
                  <c:v>40538</c:v>
                </c:pt>
                <c:pt idx="360">
                  <c:v>40539</c:v>
                </c:pt>
                <c:pt idx="361">
                  <c:v>40540</c:v>
                </c:pt>
                <c:pt idx="362">
                  <c:v>40541</c:v>
                </c:pt>
                <c:pt idx="363">
                  <c:v>40542</c:v>
                </c:pt>
                <c:pt idx="364">
                  <c:v>40543</c:v>
                </c:pt>
                <c:pt idx="365">
                  <c:v>40544</c:v>
                </c:pt>
                <c:pt idx="366">
                  <c:v>40545</c:v>
                </c:pt>
                <c:pt idx="367">
                  <c:v>40546</c:v>
                </c:pt>
                <c:pt idx="368">
                  <c:v>40547</c:v>
                </c:pt>
                <c:pt idx="369">
                  <c:v>40548</c:v>
                </c:pt>
                <c:pt idx="370">
                  <c:v>40549</c:v>
                </c:pt>
                <c:pt idx="371">
                  <c:v>40550</c:v>
                </c:pt>
                <c:pt idx="372">
                  <c:v>40551</c:v>
                </c:pt>
                <c:pt idx="373">
                  <c:v>40552</c:v>
                </c:pt>
                <c:pt idx="374">
                  <c:v>40553</c:v>
                </c:pt>
                <c:pt idx="375">
                  <c:v>40554</c:v>
                </c:pt>
                <c:pt idx="376">
                  <c:v>40555</c:v>
                </c:pt>
                <c:pt idx="377">
                  <c:v>40556</c:v>
                </c:pt>
                <c:pt idx="378">
                  <c:v>40557</c:v>
                </c:pt>
                <c:pt idx="379">
                  <c:v>40558</c:v>
                </c:pt>
                <c:pt idx="380">
                  <c:v>40559</c:v>
                </c:pt>
                <c:pt idx="381">
                  <c:v>40560</c:v>
                </c:pt>
                <c:pt idx="382">
                  <c:v>40561</c:v>
                </c:pt>
                <c:pt idx="383">
                  <c:v>40562</c:v>
                </c:pt>
                <c:pt idx="384">
                  <c:v>40563</c:v>
                </c:pt>
                <c:pt idx="385">
                  <c:v>40564</c:v>
                </c:pt>
                <c:pt idx="386">
                  <c:v>40565</c:v>
                </c:pt>
                <c:pt idx="387">
                  <c:v>40566</c:v>
                </c:pt>
                <c:pt idx="388">
                  <c:v>40567</c:v>
                </c:pt>
                <c:pt idx="389">
                  <c:v>40568</c:v>
                </c:pt>
                <c:pt idx="390">
                  <c:v>40569</c:v>
                </c:pt>
                <c:pt idx="391">
                  <c:v>40570</c:v>
                </c:pt>
                <c:pt idx="392">
                  <c:v>40571</c:v>
                </c:pt>
                <c:pt idx="393">
                  <c:v>40572</c:v>
                </c:pt>
                <c:pt idx="394">
                  <c:v>40573</c:v>
                </c:pt>
                <c:pt idx="395">
                  <c:v>40574</c:v>
                </c:pt>
                <c:pt idx="396">
                  <c:v>40575</c:v>
                </c:pt>
                <c:pt idx="397">
                  <c:v>40576</c:v>
                </c:pt>
                <c:pt idx="398">
                  <c:v>40577</c:v>
                </c:pt>
                <c:pt idx="399">
                  <c:v>40578</c:v>
                </c:pt>
                <c:pt idx="400">
                  <c:v>40579</c:v>
                </c:pt>
                <c:pt idx="401">
                  <c:v>40580</c:v>
                </c:pt>
                <c:pt idx="402">
                  <c:v>40581</c:v>
                </c:pt>
                <c:pt idx="403">
                  <c:v>40582</c:v>
                </c:pt>
                <c:pt idx="404">
                  <c:v>40583</c:v>
                </c:pt>
                <c:pt idx="405">
                  <c:v>40584</c:v>
                </c:pt>
                <c:pt idx="406">
                  <c:v>40585</c:v>
                </c:pt>
                <c:pt idx="407">
                  <c:v>40586</c:v>
                </c:pt>
                <c:pt idx="408">
                  <c:v>40587</c:v>
                </c:pt>
                <c:pt idx="409">
                  <c:v>40588</c:v>
                </c:pt>
                <c:pt idx="410">
                  <c:v>40589</c:v>
                </c:pt>
                <c:pt idx="411">
                  <c:v>40590</c:v>
                </c:pt>
                <c:pt idx="412">
                  <c:v>40591</c:v>
                </c:pt>
                <c:pt idx="413">
                  <c:v>40592</c:v>
                </c:pt>
                <c:pt idx="414">
                  <c:v>40593</c:v>
                </c:pt>
                <c:pt idx="415">
                  <c:v>40594</c:v>
                </c:pt>
                <c:pt idx="416">
                  <c:v>40595</c:v>
                </c:pt>
                <c:pt idx="417">
                  <c:v>40596</c:v>
                </c:pt>
                <c:pt idx="418">
                  <c:v>40597</c:v>
                </c:pt>
                <c:pt idx="419">
                  <c:v>40598</c:v>
                </c:pt>
                <c:pt idx="420">
                  <c:v>40599</c:v>
                </c:pt>
                <c:pt idx="421">
                  <c:v>40600</c:v>
                </c:pt>
                <c:pt idx="422">
                  <c:v>40601</c:v>
                </c:pt>
                <c:pt idx="423">
                  <c:v>40602</c:v>
                </c:pt>
                <c:pt idx="424">
                  <c:v>40603</c:v>
                </c:pt>
                <c:pt idx="425">
                  <c:v>40604</c:v>
                </c:pt>
                <c:pt idx="426">
                  <c:v>40605</c:v>
                </c:pt>
                <c:pt idx="427">
                  <c:v>40606</c:v>
                </c:pt>
                <c:pt idx="428">
                  <c:v>40607</c:v>
                </c:pt>
                <c:pt idx="429">
                  <c:v>40608</c:v>
                </c:pt>
                <c:pt idx="430">
                  <c:v>40609</c:v>
                </c:pt>
                <c:pt idx="431">
                  <c:v>40610</c:v>
                </c:pt>
                <c:pt idx="432">
                  <c:v>40611</c:v>
                </c:pt>
                <c:pt idx="433">
                  <c:v>40612</c:v>
                </c:pt>
                <c:pt idx="434">
                  <c:v>40613</c:v>
                </c:pt>
                <c:pt idx="435">
                  <c:v>40614</c:v>
                </c:pt>
                <c:pt idx="436">
                  <c:v>40615</c:v>
                </c:pt>
                <c:pt idx="437">
                  <c:v>40616</c:v>
                </c:pt>
                <c:pt idx="438">
                  <c:v>40617</c:v>
                </c:pt>
                <c:pt idx="439">
                  <c:v>40618</c:v>
                </c:pt>
                <c:pt idx="440">
                  <c:v>40619</c:v>
                </c:pt>
                <c:pt idx="441">
                  <c:v>40620</c:v>
                </c:pt>
                <c:pt idx="442">
                  <c:v>40621</c:v>
                </c:pt>
                <c:pt idx="443">
                  <c:v>40622</c:v>
                </c:pt>
                <c:pt idx="444">
                  <c:v>40623</c:v>
                </c:pt>
                <c:pt idx="445">
                  <c:v>40624</c:v>
                </c:pt>
                <c:pt idx="446">
                  <c:v>40625</c:v>
                </c:pt>
                <c:pt idx="447">
                  <c:v>40626</c:v>
                </c:pt>
                <c:pt idx="448">
                  <c:v>40627</c:v>
                </c:pt>
                <c:pt idx="449">
                  <c:v>40628</c:v>
                </c:pt>
                <c:pt idx="450">
                  <c:v>40629</c:v>
                </c:pt>
                <c:pt idx="451">
                  <c:v>40630</c:v>
                </c:pt>
                <c:pt idx="452">
                  <c:v>40631</c:v>
                </c:pt>
                <c:pt idx="453">
                  <c:v>40632</c:v>
                </c:pt>
                <c:pt idx="454">
                  <c:v>40633</c:v>
                </c:pt>
                <c:pt idx="455">
                  <c:v>40634</c:v>
                </c:pt>
                <c:pt idx="456">
                  <c:v>40635</c:v>
                </c:pt>
                <c:pt idx="457">
                  <c:v>40636</c:v>
                </c:pt>
                <c:pt idx="458">
                  <c:v>40637</c:v>
                </c:pt>
                <c:pt idx="459">
                  <c:v>40638</c:v>
                </c:pt>
                <c:pt idx="460">
                  <c:v>40639</c:v>
                </c:pt>
                <c:pt idx="461">
                  <c:v>40640</c:v>
                </c:pt>
                <c:pt idx="462">
                  <c:v>40641</c:v>
                </c:pt>
                <c:pt idx="463">
                  <c:v>40642</c:v>
                </c:pt>
                <c:pt idx="464">
                  <c:v>40643</c:v>
                </c:pt>
                <c:pt idx="465">
                  <c:v>40644</c:v>
                </c:pt>
                <c:pt idx="466">
                  <c:v>40645</c:v>
                </c:pt>
                <c:pt idx="467">
                  <c:v>40646</c:v>
                </c:pt>
                <c:pt idx="468">
                  <c:v>40647</c:v>
                </c:pt>
                <c:pt idx="469">
                  <c:v>40648</c:v>
                </c:pt>
                <c:pt idx="470">
                  <c:v>40649</c:v>
                </c:pt>
                <c:pt idx="471">
                  <c:v>40650</c:v>
                </c:pt>
                <c:pt idx="472">
                  <c:v>40651</c:v>
                </c:pt>
                <c:pt idx="473">
                  <c:v>40652</c:v>
                </c:pt>
                <c:pt idx="474">
                  <c:v>40653</c:v>
                </c:pt>
                <c:pt idx="475">
                  <c:v>40654</c:v>
                </c:pt>
                <c:pt idx="476">
                  <c:v>40655</c:v>
                </c:pt>
                <c:pt idx="477">
                  <c:v>40656</c:v>
                </c:pt>
                <c:pt idx="478">
                  <c:v>40657</c:v>
                </c:pt>
                <c:pt idx="479">
                  <c:v>40658</c:v>
                </c:pt>
                <c:pt idx="480">
                  <c:v>40659</c:v>
                </c:pt>
                <c:pt idx="481">
                  <c:v>40660</c:v>
                </c:pt>
                <c:pt idx="482">
                  <c:v>40661</c:v>
                </c:pt>
                <c:pt idx="483">
                  <c:v>40662</c:v>
                </c:pt>
                <c:pt idx="484">
                  <c:v>40663</c:v>
                </c:pt>
                <c:pt idx="485">
                  <c:v>40664</c:v>
                </c:pt>
                <c:pt idx="486">
                  <c:v>40665</c:v>
                </c:pt>
                <c:pt idx="487">
                  <c:v>40666</c:v>
                </c:pt>
                <c:pt idx="488">
                  <c:v>40667</c:v>
                </c:pt>
                <c:pt idx="489">
                  <c:v>40668</c:v>
                </c:pt>
                <c:pt idx="490">
                  <c:v>40669</c:v>
                </c:pt>
                <c:pt idx="491">
                  <c:v>40670</c:v>
                </c:pt>
                <c:pt idx="492">
                  <c:v>40671</c:v>
                </c:pt>
                <c:pt idx="493">
                  <c:v>40672</c:v>
                </c:pt>
                <c:pt idx="494">
                  <c:v>40673</c:v>
                </c:pt>
                <c:pt idx="495">
                  <c:v>40674</c:v>
                </c:pt>
                <c:pt idx="496">
                  <c:v>40675</c:v>
                </c:pt>
                <c:pt idx="497">
                  <c:v>40676</c:v>
                </c:pt>
                <c:pt idx="498">
                  <c:v>40677</c:v>
                </c:pt>
                <c:pt idx="499">
                  <c:v>40678</c:v>
                </c:pt>
                <c:pt idx="500">
                  <c:v>40679</c:v>
                </c:pt>
                <c:pt idx="501">
                  <c:v>40680</c:v>
                </c:pt>
                <c:pt idx="502">
                  <c:v>40681</c:v>
                </c:pt>
                <c:pt idx="503">
                  <c:v>40682</c:v>
                </c:pt>
                <c:pt idx="504">
                  <c:v>40683</c:v>
                </c:pt>
                <c:pt idx="505">
                  <c:v>40684</c:v>
                </c:pt>
                <c:pt idx="506">
                  <c:v>40685</c:v>
                </c:pt>
                <c:pt idx="507">
                  <c:v>40686</c:v>
                </c:pt>
                <c:pt idx="508">
                  <c:v>40687</c:v>
                </c:pt>
                <c:pt idx="509">
                  <c:v>40688</c:v>
                </c:pt>
                <c:pt idx="510">
                  <c:v>40689</c:v>
                </c:pt>
                <c:pt idx="511">
                  <c:v>40690</c:v>
                </c:pt>
                <c:pt idx="512">
                  <c:v>40691</c:v>
                </c:pt>
                <c:pt idx="513">
                  <c:v>40692</c:v>
                </c:pt>
                <c:pt idx="514">
                  <c:v>40693</c:v>
                </c:pt>
                <c:pt idx="515">
                  <c:v>40694</c:v>
                </c:pt>
                <c:pt idx="516">
                  <c:v>40695</c:v>
                </c:pt>
                <c:pt idx="517">
                  <c:v>40696</c:v>
                </c:pt>
                <c:pt idx="518">
                  <c:v>40697</c:v>
                </c:pt>
                <c:pt idx="519">
                  <c:v>40698</c:v>
                </c:pt>
                <c:pt idx="520">
                  <c:v>40699</c:v>
                </c:pt>
                <c:pt idx="521">
                  <c:v>40700</c:v>
                </c:pt>
                <c:pt idx="522">
                  <c:v>40701</c:v>
                </c:pt>
                <c:pt idx="523">
                  <c:v>40702</c:v>
                </c:pt>
                <c:pt idx="524">
                  <c:v>40703</c:v>
                </c:pt>
                <c:pt idx="525">
                  <c:v>40704</c:v>
                </c:pt>
                <c:pt idx="526">
                  <c:v>40705</c:v>
                </c:pt>
                <c:pt idx="527">
                  <c:v>40706</c:v>
                </c:pt>
                <c:pt idx="528">
                  <c:v>40707</c:v>
                </c:pt>
                <c:pt idx="529">
                  <c:v>40708</c:v>
                </c:pt>
                <c:pt idx="530">
                  <c:v>40709</c:v>
                </c:pt>
                <c:pt idx="531">
                  <c:v>40710</c:v>
                </c:pt>
                <c:pt idx="532">
                  <c:v>40711</c:v>
                </c:pt>
                <c:pt idx="533">
                  <c:v>40712</c:v>
                </c:pt>
                <c:pt idx="534">
                  <c:v>40713</c:v>
                </c:pt>
                <c:pt idx="535">
                  <c:v>40714</c:v>
                </c:pt>
                <c:pt idx="536">
                  <c:v>40715</c:v>
                </c:pt>
                <c:pt idx="537">
                  <c:v>40716</c:v>
                </c:pt>
                <c:pt idx="538">
                  <c:v>40717</c:v>
                </c:pt>
                <c:pt idx="539">
                  <c:v>40718</c:v>
                </c:pt>
                <c:pt idx="540">
                  <c:v>40719</c:v>
                </c:pt>
                <c:pt idx="541">
                  <c:v>40720</c:v>
                </c:pt>
                <c:pt idx="542">
                  <c:v>40721</c:v>
                </c:pt>
                <c:pt idx="543">
                  <c:v>40722</c:v>
                </c:pt>
                <c:pt idx="544">
                  <c:v>40723</c:v>
                </c:pt>
                <c:pt idx="545">
                  <c:v>40724</c:v>
                </c:pt>
                <c:pt idx="546">
                  <c:v>40725</c:v>
                </c:pt>
                <c:pt idx="547">
                  <c:v>40726</c:v>
                </c:pt>
                <c:pt idx="548">
                  <c:v>40727</c:v>
                </c:pt>
                <c:pt idx="549">
                  <c:v>40728</c:v>
                </c:pt>
                <c:pt idx="550">
                  <c:v>40729</c:v>
                </c:pt>
                <c:pt idx="551">
                  <c:v>40730</c:v>
                </c:pt>
                <c:pt idx="552">
                  <c:v>40731</c:v>
                </c:pt>
                <c:pt idx="553">
                  <c:v>40732</c:v>
                </c:pt>
                <c:pt idx="554">
                  <c:v>40733</c:v>
                </c:pt>
                <c:pt idx="555">
                  <c:v>40734</c:v>
                </c:pt>
                <c:pt idx="556">
                  <c:v>40735</c:v>
                </c:pt>
                <c:pt idx="557">
                  <c:v>40736</c:v>
                </c:pt>
                <c:pt idx="558">
                  <c:v>40737</c:v>
                </c:pt>
                <c:pt idx="559">
                  <c:v>40738</c:v>
                </c:pt>
                <c:pt idx="560">
                  <c:v>40739</c:v>
                </c:pt>
                <c:pt idx="561">
                  <c:v>40740</c:v>
                </c:pt>
                <c:pt idx="562">
                  <c:v>40741</c:v>
                </c:pt>
                <c:pt idx="563">
                  <c:v>40742</c:v>
                </c:pt>
                <c:pt idx="564">
                  <c:v>40743</c:v>
                </c:pt>
                <c:pt idx="565">
                  <c:v>40744</c:v>
                </c:pt>
                <c:pt idx="566">
                  <c:v>40745</c:v>
                </c:pt>
                <c:pt idx="567">
                  <c:v>40746</c:v>
                </c:pt>
                <c:pt idx="568">
                  <c:v>40747</c:v>
                </c:pt>
                <c:pt idx="569">
                  <c:v>40748</c:v>
                </c:pt>
                <c:pt idx="570">
                  <c:v>40749</c:v>
                </c:pt>
                <c:pt idx="571">
                  <c:v>40750</c:v>
                </c:pt>
                <c:pt idx="572">
                  <c:v>40751</c:v>
                </c:pt>
                <c:pt idx="573">
                  <c:v>40752</c:v>
                </c:pt>
                <c:pt idx="574">
                  <c:v>40753</c:v>
                </c:pt>
                <c:pt idx="575">
                  <c:v>40754</c:v>
                </c:pt>
                <c:pt idx="576">
                  <c:v>40755</c:v>
                </c:pt>
                <c:pt idx="577">
                  <c:v>40756</c:v>
                </c:pt>
                <c:pt idx="578">
                  <c:v>40757</c:v>
                </c:pt>
                <c:pt idx="579">
                  <c:v>40758</c:v>
                </c:pt>
                <c:pt idx="580">
                  <c:v>40759</c:v>
                </c:pt>
                <c:pt idx="581">
                  <c:v>40760</c:v>
                </c:pt>
                <c:pt idx="582">
                  <c:v>40761</c:v>
                </c:pt>
                <c:pt idx="583">
                  <c:v>40762</c:v>
                </c:pt>
                <c:pt idx="584">
                  <c:v>40763</c:v>
                </c:pt>
                <c:pt idx="585">
                  <c:v>40764</c:v>
                </c:pt>
                <c:pt idx="586">
                  <c:v>40765</c:v>
                </c:pt>
                <c:pt idx="587">
                  <c:v>40766</c:v>
                </c:pt>
                <c:pt idx="588">
                  <c:v>40767</c:v>
                </c:pt>
                <c:pt idx="589">
                  <c:v>40768</c:v>
                </c:pt>
                <c:pt idx="590">
                  <c:v>40769</c:v>
                </c:pt>
                <c:pt idx="591">
                  <c:v>40770</c:v>
                </c:pt>
                <c:pt idx="592">
                  <c:v>40771</c:v>
                </c:pt>
                <c:pt idx="593">
                  <c:v>40772</c:v>
                </c:pt>
                <c:pt idx="594">
                  <c:v>40773</c:v>
                </c:pt>
                <c:pt idx="595">
                  <c:v>40774</c:v>
                </c:pt>
                <c:pt idx="596">
                  <c:v>40775</c:v>
                </c:pt>
                <c:pt idx="597">
                  <c:v>40776</c:v>
                </c:pt>
                <c:pt idx="598">
                  <c:v>40777</c:v>
                </c:pt>
                <c:pt idx="599">
                  <c:v>40778</c:v>
                </c:pt>
                <c:pt idx="600">
                  <c:v>40779</c:v>
                </c:pt>
                <c:pt idx="601">
                  <c:v>40780</c:v>
                </c:pt>
                <c:pt idx="602">
                  <c:v>40781</c:v>
                </c:pt>
                <c:pt idx="603">
                  <c:v>40782</c:v>
                </c:pt>
                <c:pt idx="604">
                  <c:v>40783</c:v>
                </c:pt>
                <c:pt idx="605">
                  <c:v>40784</c:v>
                </c:pt>
                <c:pt idx="606">
                  <c:v>40785</c:v>
                </c:pt>
                <c:pt idx="607">
                  <c:v>40786</c:v>
                </c:pt>
                <c:pt idx="608">
                  <c:v>40787</c:v>
                </c:pt>
                <c:pt idx="609">
                  <c:v>40788</c:v>
                </c:pt>
                <c:pt idx="610">
                  <c:v>40789</c:v>
                </c:pt>
                <c:pt idx="611">
                  <c:v>40790</c:v>
                </c:pt>
                <c:pt idx="612">
                  <c:v>40791</c:v>
                </c:pt>
                <c:pt idx="613">
                  <c:v>40792</c:v>
                </c:pt>
                <c:pt idx="614">
                  <c:v>40793</c:v>
                </c:pt>
                <c:pt idx="615">
                  <c:v>40794</c:v>
                </c:pt>
                <c:pt idx="616">
                  <c:v>40795</c:v>
                </c:pt>
                <c:pt idx="617">
                  <c:v>40796</c:v>
                </c:pt>
                <c:pt idx="618">
                  <c:v>40797</c:v>
                </c:pt>
                <c:pt idx="619">
                  <c:v>40798</c:v>
                </c:pt>
                <c:pt idx="620">
                  <c:v>40799</c:v>
                </c:pt>
                <c:pt idx="621">
                  <c:v>40800</c:v>
                </c:pt>
                <c:pt idx="622">
                  <c:v>40801</c:v>
                </c:pt>
                <c:pt idx="623">
                  <c:v>40802</c:v>
                </c:pt>
                <c:pt idx="624">
                  <c:v>40803</c:v>
                </c:pt>
                <c:pt idx="625">
                  <c:v>40804</c:v>
                </c:pt>
                <c:pt idx="626">
                  <c:v>40805</c:v>
                </c:pt>
                <c:pt idx="627">
                  <c:v>40806</c:v>
                </c:pt>
                <c:pt idx="628">
                  <c:v>40807</c:v>
                </c:pt>
                <c:pt idx="629">
                  <c:v>40808</c:v>
                </c:pt>
                <c:pt idx="630">
                  <c:v>40809</c:v>
                </c:pt>
                <c:pt idx="631">
                  <c:v>40810</c:v>
                </c:pt>
                <c:pt idx="632">
                  <c:v>40811</c:v>
                </c:pt>
                <c:pt idx="633">
                  <c:v>40812</c:v>
                </c:pt>
                <c:pt idx="634">
                  <c:v>40813</c:v>
                </c:pt>
                <c:pt idx="635">
                  <c:v>40814</c:v>
                </c:pt>
                <c:pt idx="636">
                  <c:v>40815</c:v>
                </c:pt>
                <c:pt idx="637">
                  <c:v>40816</c:v>
                </c:pt>
                <c:pt idx="638">
                  <c:v>40817</c:v>
                </c:pt>
                <c:pt idx="639">
                  <c:v>40818</c:v>
                </c:pt>
                <c:pt idx="640">
                  <c:v>40819</c:v>
                </c:pt>
                <c:pt idx="641">
                  <c:v>40820</c:v>
                </c:pt>
                <c:pt idx="642">
                  <c:v>40821</c:v>
                </c:pt>
                <c:pt idx="643">
                  <c:v>40822</c:v>
                </c:pt>
                <c:pt idx="644">
                  <c:v>40823</c:v>
                </c:pt>
                <c:pt idx="645">
                  <c:v>40824</c:v>
                </c:pt>
                <c:pt idx="646">
                  <c:v>40825</c:v>
                </c:pt>
                <c:pt idx="647">
                  <c:v>40826</c:v>
                </c:pt>
                <c:pt idx="648">
                  <c:v>40827</c:v>
                </c:pt>
                <c:pt idx="649">
                  <c:v>40828</c:v>
                </c:pt>
                <c:pt idx="650">
                  <c:v>40829</c:v>
                </c:pt>
                <c:pt idx="651">
                  <c:v>40830</c:v>
                </c:pt>
                <c:pt idx="652">
                  <c:v>40831</c:v>
                </c:pt>
                <c:pt idx="653">
                  <c:v>40832</c:v>
                </c:pt>
                <c:pt idx="654">
                  <c:v>40833</c:v>
                </c:pt>
                <c:pt idx="655">
                  <c:v>40834</c:v>
                </c:pt>
                <c:pt idx="656">
                  <c:v>40835</c:v>
                </c:pt>
                <c:pt idx="657">
                  <c:v>40836</c:v>
                </c:pt>
                <c:pt idx="658">
                  <c:v>40837</c:v>
                </c:pt>
                <c:pt idx="659">
                  <c:v>40838</c:v>
                </c:pt>
                <c:pt idx="660">
                  <c:v>40839</c:v>
                </c:pt>
                <c:pt idx="661">
                  <c:v>40840</c:v>
                </c:pt>
                <c:pt idx="662">
                  <c:v>40841</c:v>
                </c:pt>
                <c:pt idx="663">
                  <c:v>40842</c:v>
                </c:pt>
                <c:pt idx="664">
                  <c:v>40843</c:v>
                </c:pt>
                <c:pt idx="665">
                  <c:v>40844</c:v>
                </c:pt>
                <c:pt idx="666">
                  <c:v>40845</c:v>
                </c:pt>
                <c:pt idx="667">
                  <c:v>40846</c:v>
                </c:pt>
                <c:pt idx="668">
                  <c:v>40847</c:v>
                </c:pt>
                <c:pt idx="669">
                  <c:v>40848</c:v>
                </c:pt>
                <c:pt idx="670">
                  <c:v>40849</c:v>
                </c:pt>
                <c:pt idx="671">
                  <c:v>40850</c:v>
                </c:pt>
                <c:pt idx="672">
                  <c:v>40851</c:v>
                </c:pt>
                <c:pt idx="673">
                  <c:v>40852</c:v>
                </c:pt>
                <c:pt idx="674">
                  <c:v>40853</c:v>
                </c:pt>
                <c:pt idx="675">
                  <c:v>40854</c:v>
                </c:pt>
                <c:pt idx="676">
                  <c:v>40855</c:v>
                </c:pt>
                <c:pt idx="677">
                  <c:v>40856</c:v>
                </c:pt>
                <c:pt idx="678">
                  <c:v>40857</c:v>
                </c:pt>
                <c:pt idx="679">
                  <c:v>40858</c:v>
                </c:pt>
                <c:pt idx="680">
                  <c:v>40859</c:v>
                </c:pt>
                <c:pt idx="681">
                  <c:v>40860</c:v>
                </c:pt>
                <c:pt idx="682">
                  <c:v>40861</c:v>
                </c:pt>
                <c:pt idx="683">
                  <c:v>40862</c:v>
                </c:pt>
                <c:pt idx="684">
                  <c:v>40863</c:v>
                </c:pt>
                <c:pt idx="685">
                  <c:v>40864</c:v>
                </c:pt>
                <c:pt idx="686">
                  <c:v>40865</c:v>
                </c:pt>
                <c:pt idx="687">
                  <c:v>40866</c:v>
                </c:pt>
                <c:pt idx="688">
                  <c:v>40867</c:v>
                </c:pt>
                <c:pt idx="689">
                  <c:v>40868</c:v>
                </c:pt>
                <c:pt idx="690">
                  <c:v>40869</c:v>
                </c:pt>
                <c:pt idx="691">
                  <c:v>40870</c:v>
                </c:pt>
                <c:pt idx="692">
                  <c:v>40871</c:v>
                </c:pt>
                <c:pt idx="693">
                  <c:v>40872</c:v>
                </c:pt>
                <c:pt idx="694">
                  <c:v>40873</c:v>
                </c:pt>
                <c:pt idx="695">
                  <c:v>40874</c:v>
                </c:pt>
                <c:pt idx="696">
                  <c:v>40875</c:v>
                </c:pt>
                <c:pt idx="697">
                  <c:v>40876</c:v>
                </c:pt>
                <c:pt idx="698">
                  <c:v>40877</c:v>
                </c:pt>
                <c:pt idx="699">
                  <c:v>40878</c:v>
                </c:pt>
                <c:pt idx="700">
                  <c:v>40879</c:v>
                </c:pt>
                <c:pt idx="701">
                  <c:v>40880</c:v>
                </c:pt>
                <c:pt idx="702">
                  <c:v>40881</c:v>
                </c:pt>
                <c:pt idx="703">
                  <c:v>40882</c:v>
                </c:pt>
                <c:pt idx="704">
                  <c:v>40883</c:v>
                </c:pt>
                <c:pt idx="705">
                  <c:v>40884</c:v>
                </c:pt>
                <c:pt idx="706">
                  <c:v>40885</c:v>
                </c:pt>
                <c:pt idx="707">
                  <c:v>40886</c:v>
                </c:pt>
                <c:pt idx="708">
                  <c:v>40887</c:v>
                </c:pt>
                <c:pt idx="709">
                  <c:v>40888</c:v>
                </c:pt>
                <c:pt idx="710">
                  <c:v>40889</c:v>
                </c:pt>
                <c:pt idx="711">
                  <c:v>40890</c:v>
                </c:pt>
                <c:pt idx="712">
                  <c:v>40891</c:v>
                </c:pt>
                <c:pt idx="713">
                  <c:v>40892</c:v>
                </c:pt>
                <c:pt idx="714">
                  <c:v>40893</c:v>
                </c:pt>
                <c:pt idx="715">
                  <c:v>40894</c:v>
                </c:pt>
                <c:pt idx="716">
                  <c:v>40895</c:v>
                </c:pt>
                <c:pt idx="717">
                  <c:v>40896</c:v>
                </c:pt>
                <c:pt idx="718">
                  <c:v>40897</c:v>
                </c:pt>
                <c:pt idx="719">
                  <c:v>40898</c:v>
                </c:pt>
                <c:pt idx="720">
                  <c:v>40899</c:v>
                </c:pt>
                <c:pt idx="721">
                  <c:v>40900</c:v>
                </c:pt>
                <c:pt idx="722">
                  <c:v>40901</c:v>
                </c:pt>
                <c:pt idx="723">
                  <c:v>40902</c:v>
                </c:pt>
                <c:pt idx="724">
                  <c:v>40903</c:v>
                </c:pt>
                <c:pt idx="725">
                  <c:v>40904</c:v>
                </c:pt>
                <c:pt idx="726">
                  <c:v>40905</c:v>
                </c:pt>
                <c:pt idx="727">
                  <c:v>40906</c:v>
                </c:pt>
                <c:pt idx="728">
                  <c:v>40907</c:v>
                </c:pt>
                <c:pt idx="729">
                  <c:v>40908</c:v>
                </c:pt>
                <c:pt idx="730">
                  <c:v>40909</c:v>
                </c:pt>
                <c:pt idx="731">
                  <c:v>40910</c:v>
                </c:pt>
                <c:pt idx="732">
                  <c:v>40911</c:v>
                </c:pt>
                <c:pt idx="733">
                  <c:v>40912</c:v>
                </c:pt>
                <c:pt idx="734">
                  <c:v>40913</c:v>
                </c:pt>
                <c:pt idx="735">
                  <c:v>40914</c:v>
                </c:pt>
                <c:pt idx="736">
                  <c:v>40915</c:v>
                </c:pt>
                <c:pt idx="737">
                  <c:v>40916</c:v>
                </c:pt>
                <c:pt idx="738">
                  <c:v>40917</c:v>
                </c:pt>
                <c:pt idx="739">
                  <c:v>40918</c:v>
                </c:pt>
                <c:pt idx="740">
                  <c:v>40919</c:v>
                </c:pt>
                <c:pt idx="741">
                  <c:v>40920</c:v>
                </c:pt>
                <c:pt idx="742">
                  <c:v>40921</c:v>
                </c:pt>
                <c:pt idx="743">
                  <c:v>40922</c:v>
                </c:pt>
                <c:pt idx="744">
                  <c:v>40923</c:v>
                </c:pt>
                <c:pt idx="745">
                  <c:v>40924</c:v>
                </c:pt>
                <c:pt idx="746">
                  <c:v>40925</c:v>
                </c:pt>
                <c:pt idx="747">
                  <c:v>40926</c:v>
                </c:pt>
                <c:pt idx="748">
                  <c:v>40927</c:v>
                </c:pt>
                <c:pt idx="749">
                  <c:v>40928</c:v>
                </c:pt>
                <c:pt idx="750">
                  <c:v>40929</c:v>
                </c:pt>
                <c:pt idx="751">
                  <c:v>40930</c:v>
                </c:pt>
                <c:pt idx="752">
                  <c:v>40931</c:v>
                </c:pt>
                <c:pt idx="753">
                  <c:v>40932</c:v>
                </c:pt>
                <c:pt idx="754">
                  <c:v>40933</c:v>
                </c:pt>
                <c:pt idx="755">
                  <c:v>40934</c:v>
                </c:pt>
                <c:pt idx="756">
                  <c:v>40935</c:v>
                </c:pt>
                <c:pt idx="757">
                  <c:v>40936</c:v>
                </c:pt>
                <c:pt idx="758">
                  <c:v>40937</c:v>
                </c:pt>
                <c:pt idx="759">
                  <c:v>40938</c:v>
                </c:pt>
                <c:pt idx="760">
                  <c:v>40939</c:v>
                </c:pt>
                <c:pt idx="761">
                  <c:v>40940</c:v>
                </c:pt>
                <c:pt idx="762">
                  <c:v>40941</c:v>
                </c:pt>
                <c:pt idx="763">
                  <c:v>40942</c:v>
                </c:pt>
                <c:pt idx="764">
                  <c:v>40943</c:v>
                </c:pt>
                <c:pt idx="765">
                  <c:v>40944</c:v>
                </c:pt>
                <c:pt idx="766">
                  <c:v>40945</c:v>
                </c:pt>
                <c:pt idx="767">
                  <c:v>40946</c:v>
                </c:pt>
                <c:pt idx="768">
                  <c:v>40947</c:v>
                </c:pt>
                <c:pt idx="769">
                  <c:v>40948</c:v>
                </c:pt>
                <c:pt idx="770">
                  <c:v>40949</c:v>
                </c:pt>
                <c:pt idx="771">
                  <c:v>40950</c:v>
                </c:pt>
                <c:pt idx="772">
                  <c:v>40951</c:v>
                </c:pt>
                <c:pt idx="773">
                  <c:v>40952</c:v>
                </c:pt>
                <c:pt idx="774">
                  <c:v>40953</c:v>
                </c:pt>
                <c:pt idx="775">
                  <c:v>40954</c:v>
                </c:pt>
                <c:pt idx="776">
                  <c:v>40955</c:v>
                </c:pt>
                <c:pt idx="777">
                  <c:v>40956</c:v>
                </c:pt>
                <c:pt idx="778">
                  <c:v>40957</c:v>
                </c:pt>
                <c:pt idx="779">
                  <c:v>40958</c:v>
                </c:pt>
                <c:pt idx="780">
                  <c:v>40959</c:v>
                </c:pt>
                <c:pt idx="781">
                  <c:v>40960</c:v>
                </c:pt>
                <c:pt idx="782">
                  <c:v>40961</c:v>
                </c:pt>
                <c:pt idx="783">
                  <c:v>40962</c:v>
                </c:pt>
                <c:pt idx="784">
                  <c:v>40963</c:v>
                </c:pt>
                <c:pt idx="785">
                  <c:v>40964</c:v>
                </c:pt>
                <c:pt idx="786">
                  <c:v>40965</c:v>
                </c:pt>
                <c:pt idx="787">
                  <c:v>40966</c:v>
                </c:pt>
                <c:pt idx="788">
                  <c:v>40967</c:v>
                </c:pt>
                <c:pt idx="789">
                  <c:v>40968</c:v>
                </c:pt>
                <c:pt idx="790">
                  <c:v>40969</c:v>
                </c:pt>
                <c:pt idx="791">
                  <c:v>40970</c:v>
                </c:pt>
                <c:pt idx="792">
                  <c:v>40971</c:v>
                </c:pt>
                <c:pt idx="793">
                  <c:v>40972</c:v>
                </c:pt>
                <c:pt idx="794">
                  <c:v>40973</c:v>
                </c:pt>
                <c:pt idx="795">
                  <c:v>40974</c:v>
                </c:pt>
                <c:pt idx="796">
                  <c:v>40975</c:v>
                </c:pt>
                <c:pt idx="797">
                  <c:v>40976</c:v>
                </c:pt>
                <c:pt idx="798">
                  <c:v>40977</c:v>
                </c:pt>
                <c:pt idx="799">
                  <c:v>40978</c:v>
                </c:pt>
                <c:pt idx="800">
                  <c:v>40979</c:v>
                </c:pt>
                <c:pt idx="801">
                  <c:v>40980</c:v>
                </c:pt>
                <c:pt idx="802">
                  <c:v>40981</c:v>
                </c:pt>
                <c:pt idx="803">
                  <c:v>40982</c:v>
                </c:pt>
                <c:pt idx="804">
                  <c:v>40983</c:v>
                </c:pt>
                <c:pt idx="805">
                  <c:v>40984</c:v>
                </c:pt>
                <c:pt idx="806">
                  <c:v>40985</c:v>
                </c:pt>
                <c:pt idx="807">
                  <c:v>40986</c:v>
                </c:pt>
                <c:pt idx="808">
                  <c:v>40987</c:v>
                </c:pt>
                <c:pt idx="809">
                  <c:v>40988</c:v>
                </c:pt>
                <c:pt idx="810">
                  <c:v>40989</c:v>
                </c:pt>
                <c:pt idx="811">
                  <c:v>40990</c:v>
                </c:pt>
                <c:pt idx="812">
                  <c:v>40991</c:v>
                </c:pt>
                <c:pt idx="813">
                  <c:v>40992</c:v>
                </c:pt>
                <c:pt idx="814">
                  <c:v>40993</c:v>
                </c:pt>
                <c:pt idx="815">
                  <c:v>40994</c:v>
                </c:pt>
                <c:pt idx="816">
                  <c:v>40995</c:v>
                </c:pt>
                <c:pt idx="817">
                  <c:v>40996</c:v>
                </c:pt>
                <c:pt idx="818">
                  <c:v>40997</c:v>
                </c:pt>
                <c:pt idx="819">
                  <c:v>40998</c:v>
                </c:pt>
                <c:pt idx="820">
                  <c:v>40999</c:v>
                </c:pt>
                <c:pt idx="821">
                  <c:v>41000</c:v>
                </c:pt>
                <c:pt idx="822">
                  <c:v>41001</c:v>
                </c:pt>
                <c:pt idx="823">
                  <c:v>41002</c:v>
                </c:pt>
                <c:pt idx="824">
                  <c:v>41003</c:v>
                </c:pt>
                <c:pt idx="825">
                  <c:v>41004</c:v>
                </c:pt>
                <c:pt idx="826">
                  <c:v>41005</c:v>
                </c:pt>
                <c:pt idx="827">
                  <c:v>41006</c:v>
                </c:pt>
                <c:pt idx="828">
                  <c:v>41007</c:v>
                </c:pt>
                <c:pt idx="829">
                  <c:v>41008</c:v>
                </c:pt>
                <c:pt idx="830">
                  <c:v>41009</c:v>
                </c:pt>
                <c:pt idx="831">
                  <c:v>41010</c:v>
                </c:pt>
                <c:pt idx="832">
                  <c:v>41011</c:v>
                </c:pt>
                <c:pt idx="833">
                  <c:v>41012</c:v>
                </c:pt>
                <c:pt idx="834">
                  <c:v>41013</c:v>
                </c:pt>
                <c:pt idx="835">
                  <c:v>41014</c:v>
                </c:pt>
                <c:pt idx="836">
                  <c:v>41015</c:v>
                </c:pt>
                <c:pt idx="837">
                  <c:v>41016</c:v>
                </c:pt>
                <c:pt idx="838">
                  <c:v>41017</c:v>
                </c:pt>
                <c:pt idx="839">
                  <c:v>41018</c:v>
                </c:pt>
                <c:pt idx="840">
                  <c:v>41019</c:v>
                </c:pt>
                <c:pt idx="841">
                  <c:v>41020</c:v>
                </c:pt>
                <c:pt idx="842">
                  <c:v>41021</c:v>
                </c:pt>
                <c:pt idx="843">
                  <c:v>41022</c:v>
                </c:pt>
                <c:pt idx="844">
                  <c:v>41023</c:v>
                </c:pt>
                <c:pt idx="845">
                  <c:v>41024</c:v>
                </c:pt>
                <c:pt idx="846">
                  <c:v>41025</c:v>
                </c:pt>
                <c:pt idx="847">
                  <c:v>41026</c:v>
                </c:pt>
                <c:pt idx="848">
                  <c:v>41027</c:v>
                </c:pt>
                <c:pt idx="849">
                  <c:v>41028</c:v>
                </c:pt>
                <c:pt idx="850">
                  <c:v>41029</c:v>
                </c:pt>
                <c:pt idx="851">
                  <c:v>41030</c:v>
                </c:pt>
                <c:pt idx="852">
                  <c:v>41031</c:v>
                </c:pt>
                <c:pt idx="853">
                  <c:v>41032</c:v>
                </c:pt>
                <c:pt idx="854">
                  <c:v>41033</c:v>
                </c:pt>
                <c:pt idx="855">
                  <c:v>41034</c:v>
                </c:pt>
                <c:pt idx="856">
                  <c:v>41035</c:v>
                </c:pt>
                <c:pt idx="857">
                  <c:v>41036</c:v>
                </c:pt>
                <c:pt idx="858">
                  <c:v>41037</c:v>
                </c:pt>
                <c:pt idx="859">
                  <c:v>41038</c:v>
                </c:pt>
                <c:pt idx="860">
                  <c:v>41039</c:v>
                </c:pt>
                <c:pt idx="861">
                  <c:v>41040</c:v>
                </c:pt>
                <c:pt idx="862">
                  <c:v>41041</c:v>
                </c:pt>
                <c:pt idx="863">
                  <c:v>41042</c:v>
                </c:pt>
                <c:pt idx="864">
                  <c:v>41043</c:v>
                </c:pt>
                <c:pt idx="865">
                  <c:v>41044</c:v>
                </c:pt>
                <c:pt idx="866">
                  <c:v>41045</c:v>
                </c:pt>
                <c:pt idx="867">
                  <c:v>41046</c:v>
                </c:pt>
                <c:pt idx="868">
                  <c:v>41047</c:v>
                </c:pt>
                <c:pt idx="869">
                  <c:v>41048</c:v>
                </c:pt>
                <c:pt idx="870">
                  <c:v>41049</c:v>
                </c:pt>
                <c:pt idx="871">
                  <c:v>41050</c:v>
                </c:pt>
                <c:pt idx="872">
                  <c:v>41051</c:v>
                </c:pt>
                <c:pt idx="873">
                  <c:v>41052</c:v>
                </c:pt>
                <c:pt idx="874">
                  <c:v>41053</c:v>
                </c:pt>
                <c:pt idx="875">
                  <c:v>41054</c:v>
                </c:pt>
                <c:pt idx="876">
                  <c:v>41055</c:v>
                </c:pt>
                <c:pt idx="877">
                  <c:v>41056</c:v>
                </c:pt>
                <c:pt idx="878">
                  <c:v>41057</c:v>
                </c:pt>
                <c:pt idx="879">
                  <c:v>41058</c:v>
                </c:pt>
                <c:pt idx="880">
                  <c:v>41059</c:v>
                </c:pt>
                <c:pt idx="881">
                  <c:v>41060</c:v>
                </c:pt>
                <c:pt idx="882">
                  <c:v>41061</c:v>
                </c:pt>
                <c:pt idx="883">
                  <c:v>41062</c:v>
                </c:pt>
                <c:pt idx="884">
                  <c:v>41063</c:v>
                </c:pt>
                <c:pt idx="885">
                  <c:v>41064</c:v>
                </c:pt>
                <c:pt idx="886">
                  <c:v>41065</c:v>
                </c:pt>
                <c:pt idx="887">
                  <c:v>41066</c:v>
                </c:pt>
                <c:pt idx="888">
                  <c:v>41067</c:v>
                </c:pt>
                <c:pt idx="889">
                  <c:v>41068</c:v>
                </c:pt>
                <c:pt idx="890">
                  <c:v>41069</c:v>
                </c:pt>
                <c:pt idx="891">
                  <c:v>41070</c:v>
                </c:pt>
                <c:pt idx="892">
                  <c:v>41071</c:v>
                </c:pt>
                <c:pt idx="893">
                  <c:v>41072</c:v>
                </c:pt>
                <c:pt idx="894">
                  <c:v>41073</c:v>
                </c:pt>
                <c:pt idx="895">
                  <c:v>41074</c:v>
                </c:pt>
                <c:pt idx="896">
                  <c:v>41075</c:v>
                </c:pt>
                <c:pt idx="897">
                  <c:v>41076</c:v>
                </c:pt>
                <c:pt idx="898">
                  <c:v>41077</c:v>
                </c:pt>
                <c:pt idx="899">
                  <c:v>41078</c:v>
                </c:pt>
                <c:pt idx="900">
                  <c:v>41079</c:v>
                </c:pt>
                <c:pt idx="901">
                  <c:v>41080</c:v>
                </c:pt>
                <c:pt idx="902">
                  <c:v>41081</c:v>
                </c:pt>
                <c:pt idx="903">
                  <c:v>41082</c:v>
                </c:pt>
                <c:pt idx="904">
                  <c:v>41083</c:v>
                </c:pt>
                <c:pt idx="905">
                  <c:v>41084</c:v>
                </c:pt>
                <c:pt idx="906">
                  <c:v>41085</c:v>
                </c:pt>
                <c:pt idx="907">
                  <c:v>41086</c:v>
                </c:pt>
                <c:pt idx="908">
                  <c:v>41087</c:v>
                </c:pt>
                <c:pt idx="909">
                  <c:v>41088</c:v>
                </c:pt>
                <c:pt idx="910">
                  <c:v>41089</c:v>
                </c:pt>
                <c:pt idx="911">
                  <c:v>41090</c:v>
                </c:pt>
                <c:pt idx="912">
                  <c:v>41091</c:v>
                </c:pt>
                <c:pt idx="913">
                  <c:v>41092</c:v>
                </c:pt>
                <c:pt idx="914">
                  <c:v>41093</c:v>
                </c:pt>
                <c:pt idx="915">
                  <c:v>41094</c:v>
                </c:pt>
                <c:pt idx="916">
                  <c:v>41095</c:v>
                </c:pt>
                <c:pt idx="917">
                  <c:v>41096</c:v>
                </c:pt>
                <c:pt idx="918">
                  <c:v>41097</c:v>
                </c:pt>
                <c:pt idx="919">
                  <c:v>41098</c:v>
                </c:pt>
                <c:pt idx="920">
                  <c:v>41099</c:v>
                </c:pt>
                <c:pt idx="921">
                  <c:v>41100</c:v>
                </c:pt>
                <c:pt idx="922">
                  <c:v>41101</c:v>
                </c:pt>
                <c:pt idx="923">
                  <c:v>41102</c:v>
                </c:pt>
                <c:pt idx="924">
                  <c:v>41103</c:v>
                </c:pt>
                <c:pt idx="925">
                  <c:v>41104</c:v>
                </c:pt>
                <c:pt idx="926">
                  <c:v>41105</c:v>
                </c:pt>
                <c:pt idx="927">
                  <c:v>41106</c:v>
                </c:pt>
                <c:pt idx="928">
                  <c:v>41107</c:v>
                </c:pt>
                <c:pt idx="929">
                  <c:v>41108</c:v>
                </c:pt>
                <c:pt idx="930">
                  <c:v>41109</c:v>
                </c:pt>
                <c:pt idx="931">
                  <c:v>41110</c:v>
                </c:pt>
                <c:pt idx="932">
                  <c:v>41111</c:v>
                </c:pt>
                <c:pt idx="933">
                  <c:v>41112</c:v>
                </c:pt>
                <c:pt idx="934">
                  <c:v>41113</c:v>
                </c:pt>
                <c:pt idx="935">
                  <c:v>41114</c:v>
                </c:pt>
                <c:pt idx="936">
                  <c:v>41115</c:v>
                </c:pt>
                <c:pt idx="937">
                  <c:v>41116</c:v>
                </c:pt>
                <c:pt idx="938">
                  <c:v>41117</c:v>
                </c:pt>
                <c:pt idx="939">
                  <c:v>41118</c:v>
                </c:pt>
                <c:pt idx="940">
                  <c:v>41119</c:v>
                </c:pt>
                <c:pt idx="941">
                  <c:v>41120</c:v>
                </c:pt>
                <c:pt idx="942">
                  <c:v>41121</c:v>
                </c:pt>
                <c:pt idx="943">
                  <c:v>41122</c:v>
                </c:pt>
                <c:pt idx="944">
                  <c:v>41123</c:v>
                </c:pt>
                <c:pt idx="945">
                  <c:v>41124</c:v>
                </c:pt>
                <c:pt idx="946">
                  <c:v>41125</c:v>
                </c:pt>
                <c:pt idx="947">
                  <c:v>41126</c:v>
                </c:pt>
                <c:pt idx="948">
                  <c:v>41127</c:v>
                </c:pt>
                <c:pt idx="949">
                  <c:v>41128</c:v>
                </c:pt>
                <c:pt idx="950">
                  <c:v>41129</c:v>
                </c:pt>
                <c:pt idx="951">
                  <c:v>41130</c:v>
                </c:pt>
                <c:pt idx="952">
                  <c:v>41131</c:v>
                </c:pt>
                <c:pt idx="953">
                  <c:v>41132</c:v>
                </c:pt>
                <c:pt idx="954">
                  <c:v>41133</c:v>
                </c:pt>
                <c:pt idx="955">
                  <c:v>41134</c:v>
                </c:pt>
                <c:pt idx="956">
                  <c:v>41135</c:v>
                </c:pt>
                <c:pt idx="957">
                  <c:v>41136</c:v>
                </c:pt>
                <c:pt idx="958">
                  <c:v>41137</c:v>
                </c:pt>
                <c:pt idx="959">
                  <c:v>41138</c:v>
                </c:pt>
                <c:pt idx="960">
                  <c:v>41139</c:v>
                </c:pt>
                <c:pt idx="961">
                  <c:v>41140</c:v>
                </c:pt>
                <c:pt idx="962">
                  <c:v>41141</c:v>
                </c:pt>
                <c:pt idx="963">
                  <c:v>41142</c:v>
                </c:pt>
                <c:pt idx="964">
                  <c:v>41143</c:v>
                </c:pt>
                <c:pt idx="965">
                  <c:v>41144</c:v>
                </c:pt>
                <c:pt idx="966">
                  <c:v>41145</c:v>
                </c:pt>
                <c:pt idx="967">
                  <c:v>41146</c:v>
                </c:pt>
                <c:pt idx="968">
                  <c:v>41147</c:v>
                </c:pt>
                <c:pt idx="969">
                  <c:v>41148</c:v>
                </c:pt>
                <c:pt idx="970">
                  <c:v>41149</c:v>
                </c:pt>
                <c:pt idx="971">
                  <c:v>41150</c:v>
                </c:pt>
                <c:pt idx="972">
                  <c:v>41151</c:v>
                </c:pt>
                <c:pt idx="973">
                  <c:v>41152</c:v>
                </c:pt>
                <c:pt idx="974">
                  <c:v>41153</c:v>
                </c:pt>
                <c:pt idx="975">
                  <c:v>41154</c:v>
                </c:pt>
                <c:pt idx="976">
                  <c:v>41155</c:v>
                </c:pt>
                <c:pt idx="977">
                  <c:v>41156</c:v>
                </c:pt>
                <c:pt idx="978">
                  <c:v>41157</c:v>
                </c:pt>
                <c:pt idx="979">
                  <c:v>41158</c:v>
                </c:pt>
                <c:pt idx="980">
                  <c:v>41159</c:v>
                </c:pt>
                <c:pt idx="981">
                  <c:v>41160</c:v>
                </c:pt>
                <c:pt idx="982">
                  <c:v>41161</c:v>
                </c:pt>
                <c:pt idx="983">
                  <c:v>41162</c:v>
                </c:pt>
                <c:pt idx="984">
                  <c:v>41163</c:v>
                </c:pt>
                <c:pt idx="985">
                  <c:v>41164</c:v>
                </c:pt>
                <c:pt idx="986">
                  <c:v>41165</c:v>
                </c:pt>
                <c:pt idx="987">
                  <c:v>41166</c:v>
                </c:pt>
                <c:pt idx="988">
                  <c:v>41167</c:v>
                </c:pt>
                <c:pt idx="989">
                  <c:v>41168</c:v>
                </c:pt>
                <c:pt idx="990">
                  <c:v>41169</c:v>
                </c:pt>
                <c:pt idx="991">
                  <c:v>41170</c:v>
                </c:pt>
                <c:pt idx="992">
                  <c:v>41171</c:v>
                </c:pt>
                <c:pt idx="993">
                  <c:v>41172</c:v>
                </c:pt>
                <c:pt idx="994">
                  <c:v>41173</c:v>
                </c:pt>
                <c:pt idx="995">
                  <c:v>41174</c:v>
                </c:pt>
                <c:pt idx="996">
                  <c:v>41175</c:v>
                </c:pt>
                <c:pt idx="997">
                  <c:v>41176</c:v>
                </c:pt>
                <c:pt idx="998">
                  <c:v>41177</c:v>
                </c:pt>
                <c:pt idx="999">
                  <c:v>41178</c:v>
                </c:pt>
                <c:pt idx="1000">
                  <c:v>41179</c:v>
                </c:pt>
                <c:pt idx="1001">
                  <c:v>41180</c:v>
                </c:pt>
                <c:pt idx="1002">
                  <c:v>41181</c:v>
                </c:pt>
                <c:pt idx="1003">
                  <c:v>41182</c:v>
                </c:pt>
                <c:pt idx="1004">
                  <c:v>41183</c:v>
                </c:pt>
                <c:pt idx="1005">
                  <c:v>41184</c:v>
                </c:pt>
                <c:pt idx="1006">
                  <c:v>41185</c:v>
                </c:pt>
                <c:pt idx="1007">
                  <c:v>41186</c:v>
                </c:pt>
                <c:pt idx="1008">
                  <c:v>41187</c:v>
                </c:pt>
                <c:pt idx="1009">
                  <c:v>41188</c:v>
                </c:pt>
                <c:pt idx="1010">
                  <c:v>41189</c:v>
                </c:pt>
                <c:pt idx="1011">
                  <c:v>41190</c:v>
                </c:pt>
                <c:pt idx="1012">
                  <c:v>41191</c:v>
                </c:pt>
                <c:pt idx="1013">
                  <c:v>41192</c:v>
                </c:pt>
                <c:pt idx="1014">
                  <c:v>41193</c:v>
                </c:pt>
                <c:pt idx="1015">
                  <c:v>41194</c:v>
                </c:pt>
                <c:pt idx="1016">
                  <c:v>41195</c:v>
                </c:pt>
                <c:pt idx="1017">
                  <c:v>41196</c:v>
                </c:pt>
                <c:pt idx="1018">
                  <c:v>41197</c:v>
                </c:pt>
                <c:pt idx="1019">
                  <c:v>41198</c:v>
                </c:pt>
                <c:pt idx="1020">
                  <c:v>41199</c:v>
                </c:pt>
                <c:pt idx="1021">
                  <c:v>41200</c:v>
                </c:pt>
                <c:pt idx="1022">
                  <c:v>41201</c:v>
                </c:pt>
                <c:pt idx="1023">
                  <c:v>41202</c:v>
                </c:pt>
                <c:pt idx="1024">
                  <c:v>41203</c:v>
                </c:pt>
                <c:pt idx="1025">
                  <c:v>41204</c:v>
                </c:pt>
                <c:pt idx="1026">
                  <c:v>41205</c:v>
                </c:pt>
                <c:pt idx="1027">
                  <c:v>41206</c:v>
                </c:pt>
                <c:pt idx="1028">
                  <c:v>41207</c:v>
                </c:pt>
                <c:pt idx="1029">
                  <c:v>41208</c:v>
                </c:pt>
                <c:pt idx="1030">
                  <c:v>41209</c:v>
                </c:pt>
                <c:pt idx="1031">
                  <c:v>41210</c:v>
                </c:pt>
                <c:pt idx="1032">
                  <c:v>41211</c:v>
                </c:pt>
                <c:pt idx="1033">
                  <c:v>41212</c:v>
                </c:pt>
                <c:pt idx="1034">
                  <c:v>41213</c:v>
                </c:pt>
                <c:pt idx="1035">
                  <c:v>41214</c:v>
                </c:pt>
                <c:pt idx="1036">
                  <c:v>41215</c:v>
                </c:pt>
                <c:pt idx="1037">
                  <c:v>41216</c:v>
                </c:pt>
                <c:pt idx="1038">
                  <c:v>41217</c:v>
                </c:pt>
                <c:pt idx="1039">
                  <c:v>41218</c:v>
                </c:pt>
                <c:pt idx="1040">
                  <c:v>41219</c:v>
                </c:pt>
                <c:pt idx="1041">
                  <c:v>41220</c:v>
                </c:pt>
                <c:pt idx="1042">
                  <c:v>41221</c:v>
                </c:pt>
                <c:pt idx="1043">
                  <c:v>41222</c:v>
                </c:pt>
                <c:pt idx="1044">
                  <c:v>41223</c:v>
                </c:pt>
                <c:pt idx="1045">
                  <c:v>41224</c:v>
                </c:pt>
                <c:pt idx="1046">
                  <c:v>41225</c:v>
                </c:pt>
                <c:pt idx="1047">
                  <c:v>41226</c:v>
                </c:pt>
                <c:pt idx="1048">
                  <c:v>41227</c:v>
                </c:pt>
                <c:pt idx="1049">
                  <c:v>41228</c:v>
                </c:pt>
                <c:pt idx="1050">
                  <c:v>41229</c:v>
                </c:pt>
                <c:pt idx="1051">
                  <c:v>41230</c:v>
                </c:pt>
                <c:pt idx="1052">
                  <c:v>41231</c:v>
                </c:pt>
                <c:pt idx="1053">
                  <c:v>41232</c:v>
                </c:pt>
                <c:pt idx="1054">
                  <c:v>41233</c:v>
                </c:pt>
                <c:pt idx="1055">
                  <c:v>41234</c:v>
                </c:pt>
                <c:pt idx="1056">
                  <c:v>41235</c:v>
                </c:pt>
                <c:pt idx="1057">
                  <c:v>41236</c:v>
                </c:pt>
                <c:pt idx="1058">
                  <c:v>41237</c:v>
                </c:pt>
                <c:pt idx="1059">
                  <c:v>41238</c:v>
                </c:pt>
                <c:pt idx="1060">
                  <c:v>41239</c:v>
                </c:pt>
                <c:pt idx="1061">
                  <c:v>41240</c:v>
                </c:pt>
                <c:pt idx="1062">
                  <c:v>41241</c:v>
                </c:pt>
                <c:pt idx="1063">
                  <c:v>41242</c:v>
                </c:pt>
                <c:pt idx="1064">
                  <c:v>41243</c:v>
                </c:pt>
                <c:pt idx="1065">
                  <c:v>41244</c:v>
                </c:pt>
                <c:pt idx="1066">
                  <c:v>41245</c:v>
                </c:pt>
                <c:pt idx="1067">
                  <c:v>41246</c:v>
                </c:pt>
                <c:pt idx="1068">
                  <c:v>41247</c:v>
                </c:pt>
                <c:pt idx="1069">
                  <c:v>41248</c:v>
                </c:pt>
                <c:pt idx="1070">
                  <c:v>41249</c:v>
                </c:pt>
                <c:pt idx="1071">
                  <c:v>41250</c:v>
                </c:pt>
                <c:pt idx="1072">
                  <c:v>41251</c:v>
                </c:pt>
                <c:pt idx="1073">
                  <c:v>41252</c:v>
                </c:pt>
                <c:pt idx="1074">
                  <c:v>41253</c:v>
                </c:pt>
                <c:pt idx="1075">
                  <c:v>41254</c:v>
                </c:pt>
                <c:pt idx="1076">
                  <c:v>41255</c:v>
                </c:pt>
                <c:pt idx="1077">
                  <c:v>41256</c:v>
                </c:pt>
                <c:pt idx="1078">
                  <c:v>41257</c:v>
                </c:pt>
                <c:pt idx="1079">
                  <c:v>41258</c:v>
                </c:pt>
                <c:pt idx="1080">
                  <c:v>41259</c:v>
                </c:pt>
                <c:pt idx="1081">
                  <c:v>41260</c:v>
                </c:pt>
                <c:pt idx="1082">
                  <c:v>41261</c:v>
                </c:pt>
                <c:pt idx="1083">
                  <c:v>41262</c:v>
                </c:pt>
                <c:pt idx="1084">
                  <c:v>41263</c:v>
                </c:pt>
                <c:pt idx="1085">
                  <c:v>41264</c:v>
                </c:pt>
                <c:pt idx="1086">
                  <c:v>41265</c:v>
                </c:pt>
                <c:pt idx="1087">
                  <c:v>41266</c:v>
                </c:pt>
                <c:pt idx="1088">
                  <c:v>41267</c:v>
                </c:pt>
                <c:pt idx="1089">
                  <c:v>41268</c:v>
                </c:pt>
                <c:pt idx="1090">
                  <c:v>41269</c:v>
                </c:pt>
                <c:pt idx="1091">
                  <c:v>41270</c:v>
                </c:pt>
                <c:pt idx="1092">
                  <c:v>41271</c:v>
                </c:pt>
                <c:pt idx="1093">
                  <c:v>41272</c:v>
                </c:pt>
                <c:pt idx="1094">
                  <c:v>41273</c:v>
                </c:pt>
                <c:pt idx="1095">
                  <c:v>41274</c:v>
                </c:pt>
                <c:pt idx="1096">
                  <c:v>41275</c:v>
                </c:pt>
                <c:pt idx="1097">
                  <c:v>41276</c:v>
                </c:pt>
                <c:pt idx="1098">
                  <c:v>41277</c:v>
                </c:pt>
                <c:pt idx="1099">
                  <c:v>41278</c:v>
                </c:pt>
                <c:pt idx="1100">
                  <c:v>41279</c:v>
                </c:pt>
                <c:pt idx="1101">
                  <c:v>41280</c:v>
                </c:pt>
                <c:pt idx="1102">
                  <c:v>41281</c:v>
                </c:pt>
                <c:pt idx="1103">
                  <c:v>41282</c:v>
                </c:pt>
                <c:pt idx="1104">
                  <c:v>41283</c:v>
                </c:pt>
                <c:pt idx="1105">
                  <c:v>41284</c:v>
                </c:pt>
                <c:pt idx="1106">
                  <c:v>41285</c:v>
                </c:pt>
                <c:pt idx="1107">
                  <c:v>41286</c:v>
                </c:pt>
                <c:pt idx="1108">
                  <c:v>41287</c:v>
                </c:pt>
                <c:pt idx="1109">
                  <c:v>41288</c:v>
                </c:pt>
                <c:pt idx="1110">
                  <c:v>41289</c:v>
                </c:pt>
                <c:pt idx="1111">
                  <c:v>41290</c:v>
                </c:pt>
                <c:pt idx="1112">
                  <c:v>41291</c:v>
                </c:pt>
                <c:pt idx="1113">
                  <c:v>41292</c:v>
                </c:pt>
                <c:pt idx="1114">
                  <c:v>41293</c:v>
                </c:pt>
                <c:pt idx="1115">
                  <c:v>41294</c:v>
                </c:pt>
                <c:pt idx="1116">
                  <c:v>41295</c:v>
                </c:pt>
                <c:pt idx="1117">
                  <c:v>41296</c:v>
                </c:pt>
                <c:pt idx="1118">
                  <c:v>41297</c:v>
                </c:pt>
                <c:pt idx="1119">
                  <c:v>41298</c:v>
                </c:pt>
                <c:pt idx="1120">
                  <c:v>41299</c:v>
                </c:pt>
                <c:pt idx="1121">
                  <c:v>41300</c:v>
                </c:pt>
                <c:pt idx="1122">
                  <c:v>41301</c:v>
                </c:pt>
                <c:pt idx="1123">
                  <c:v>41302</c:v>
                </c:pt>
                <c:pt idx="1124">
                  <c:v>41303</c:v>
                </c:pt>
                <c:pt idx="1125">
                  <c:v>41304</c:v>
                </c:pt>
                <c:pt idx="1126">
                  <c:v>41305</c:v>
                </c:pt>
                <c:pt idx="1127">
                  <c:v>41306</c:v>
                </c:pt>
                <c:pt idx="1128">
                  <c:v>41307</c:v>
                </c:pt>
                <c:pt idx="1129">
                  <c:v>41308</c:v>
                </c:pt>
                <c:pt idx="1130">
                  <c:v>41309</c:v>
                </c:pt>
                <c:pt idx="1131">
                  <c:v>41310</c:v>
                </c:pt>
                <c:pt idx="1132">
                  <c:v>41311</c:v>
                </c:pt>
                <c:pt idx="1133">
                  <c:v>41312</c:v>
                </c:pt>
                <c:pt idx="1134">
                  <c:v>41313</c:v>
                </c:pt>
                <c:pt idx="1135">
                  <c:v>41314</c:v>
                </c:pt>
                <c:pt idx="1136">
                  <c:v>41315</c:v>
                </c:pt>
                <c:pt idx="1137">
                  <c:v>41316</c:v>
                </c:pt>
                <c:pt idx="1138">
                  <c:v>41317</c:v>
                </c:pt>
                <c:pt idx="1139">
                  <c:v>41318</c:v>
                </c:pt>
                <c:pt idx="1140">
                  <c:v>41319</c:v>
                </c:pt>
                <c:pt idx="1141">
                  <c:v>41320</c:v>
                </c:pt>
                <c:pt idx="1142">
                  <c:v>41321</c:v>
                </c:pt>
                <c:pt idx="1143">
                  <c:v>41322</c:v>
                </c:pt>
                <c:pt idx="1144">
                  <c:v>41323</c:v>
                </c:pt>
                <c:pt idx="1145">
                  <c:v>41324</c:v>
                </c:pt>
                <c:pt idx="1146">
                  <c:v>41325</c:v>
                </c:pt>
                <c:pt idx="1147">
                  <c:v>41326</c:v>
                </c:pt>
                <c:pt idx="1148">
                  <c:v>41327</c:v>
                </c:pt>
                <c:pt idx="1149">
                  <c:v>41328</c:v>
                </c:pt>
                <c:pt idx="1150">
                  <c:v>41329</c:v>
                </c:pt>
                <c:pt idx="1151">
                  <c:v>41330</c:v>
                </c:pt>
                <c:pt idx="1152">
                  <c:v>41331</c:v>
                </c:pt>
                <c:pt idx="1153">
                  <c:v>41332</c:v>
                </c:pt>
                <c:pt idx="1154">
                  <c:v>41333</c:v>
                </c:pt>
                <c:pt idx="1155">
                  <c:v>41334</c:v>
                </c:pt>
                <c:pt idx="1156">
                  <c:v>41335</c:v>
                </c:pt>
                <c:pt idx="1157">
                  <c:v>41336</c:v>
                </c:pt>
                <c:pt idx="1158">
                  <c:v>41337</c:v>
                </c:pt>
                <c:pt idx="1159">
                  <c:v>41338</c:v>
                </c:pt>
                <c:pt idx="1160">
                  <c:v>41339</c:v>
                </c:pt>
                <c:pt idx="1161">
                  <c:v>41340</c:v>
                </c:pt>
                <c:pt idx="1162">
                  <c:v>41341</c:v>
                </c:pt>
                <c:pt idx="1163">
                  <c:v>41342</c:v>
                </c:pt>
                <c:pt idx="1164">
                  <c:v>41343</c:v>
                </c:pt>
                <c:pt idx="1165">
                  <c:v>41344</c:v>
                </c:pt>
                <c:pt idx="1166">
                  <c:v>41345</c:v>
                </c:pt>
                <c:pt idx="1167">
                  <c:v>41346</c:v>
                </c:pt>
                <c:pt idx="1168">
                  <c:v>41347</c:v>
                </c:pt>
                <c:pt idx="1169">
                  <c:v>41348</c:v>
                </c:pt>
                <c:pt idx="1170">
                  <c:v>41349</c:v>
                </c:pt>
                <c:pt idx="1171">
                  <c:v>41350</c:v>
                </c:pt>
                <c:pt idx="1172">
                  <c:v>41351</c:v>
                </c:pt>
                <c:pt idx="1173">
                  <c:v>41352</c:v>
                </c:pt>
                <c:pt idx="1174">
                  <c:v>41353</c:v>
                </c:pt>
                <c:pt idx="1175">
                  <c:v>41354</c:v>
                </c:pt>
                <c:pt idx="1176">
                  <c:v>41355</c:v>
                </c:pt>
                <c:pt idx="1177">
                  <c:v>41356</c:v>
                </c:pt>
                <c:pt idx="1178">
                  <c:v>41357</c:v>
                </c:pt>
                <c:pt idx="1179">
                  <c:v>41358</c:v>
                </c:pt>
                <c:pt idx="1180">
                  <c:v>41359</c:v>
                </c:pt>
                <c:pt idx="1181">
                  <c:v>41360</c:v>
                </c:pt>
                <c:pt idx="1182">
                  <c:v>41361</c:v>
                </c:pt>
                <c:pt idx="1183">
                  <c:v>41362</c:v>
                </c:pt>
                <c:pt idx="1184">
                  <c:v>41363</c:v>
                </c:pt>
                <c:pt idx="1185">
                  <c:v>41364</c:v>
                </c:pt>
                <c:pt idx="1186">
                  <c:v>41365</c:v>
                </c:pt>
                <c:pt idx="1187">
                  <c:v>41366</c:v>
                </c:pt>
                <c:pt idx="1188">
                  <c:v>41367</c:v>
                </c:pt>
                <c:pt idx="1189">
                  <c:v>41368</c:v>
                </c:pt>
                <c:pt idx="1190">
                  <c:v>41369</c:v>
                </c:pt>
                <c:pt idx="1191">
                  <c:v>41370</c:v>
                </c:pt>
                <c:pt idx="1192">
                  <c:v>41371</c:v>
                </c:pt>
                <c:pt idx="1193">
                  <c:v>41372</c:v>
                </c:pt>
                <c:pt idx="1194">
                  <c:v>41373</c:v>
                </c:pt>
                <c:pt idx="1195">
                  <c:v>41374</c:v>
                </c:pt>
                <c:pt idx="1196">
                  <c:v>41375</c:v>
                </c:pt>
                <c:pt idx="1197">
                  <c:v>41376</c:v>
                </c:pt>
                <c:pt idx="1198">
                  <c:v>41377</c:v>
                </c:pt>
                <c:pt idx="1199">
                  <c:v>41378</c:v>
                </c:pt>
                <c:pt idx="1200">
                  <c:v>41379</c:v>
                </c:pt>
                <c:pt idx="1201">
                  <c:v>41380</c:v>
                </c:pt>
                <c:pt idx="1202">
                  <c:v>41381</c:v>
                </c:pt>
                <c:pt idx="1203">
                  <c:v>41382</c:v>
                </c:pt>
                <c:pt idx="1204">
                  <c:v>41383</c:v>
                </c:pt>
                <c:pt idx="1205">
                  <c:v>41384</c:v>
                </c:pt>
                <c:pt idx="1206">
                  <c:v>41385</c:v>
                </c:pt>
                <c:pt idx="1207">
                  <c:v>41386</c:v>
                </c:pt>
                <c:pt idx="1208">
                  <c:v>41387</c:v>
                </c:pt>
                <c:pt idx="1209">
                  <c:v>41388</c:v>
                </c:pt>
                <c:pt idx="1210">
                  <c:v>41389</c:v>
                </c:pt>
                <c:pt idx="1211">
                  <c:v>41390</c:v>
                </c:pt>
                <c:pt idx="1212">
                  <c:v>41391</c:v>
                </c:pt>
                <c:pt idx="1213">
                  <c:v>41392</c:v>
                </c:pt>
                <c:pt idx="1214">
                  <c:v>41393</c:v>
                </c:pt>
                <c:pt idx="1215">
                  <c:v>41394</c:v>
                </c:pt>
                <c:pt idx="1216">
                  <c:v>41395</c:v>
                </c:pt>
                <c:pt idx="1217">
                  <c:v>41396</c:v>
                </c:pt>
                <c:pt idx="1218">
                  <c:v>41397</c:v>
                </c:pt>
                <c:pt idx="1219">
                  <c:v>41398</c:v>
                </c:pt>
                <c:pt idx="1220">
                  <c:v>41399</c:v>
                </c:pt>
                <c:pt idx="1221">
                  <c:v>41400</c:v>
                </c:pt>
                <c:pt idx="1222">
                  <c:v>41401</c:v>
                </c:pt>
                <c:pt idx="1223">
                  <c:v>41402</c:v>
                </c:pt>
                <c:pt idx="1224">
                  <c:v>41403</c:v>
                </c:pt>
                <c:pt idx="1225">
                  <c:v>41404</c:v>
                </c:pt>
                <c:pt idx="1226">
                  <c:v>41405</c:v>
                </c:pt>
                <c:pt idx="1227">
                  <c:v>41406</c:v>
                </c:pt>
                <c:pt idx="1228">
                  <c:v>41407</c:v>
                </c:pt>
                <c:pt idx="1229">
                  <c:v>41408</c:v>
                </c:pt>
                <c:pt idx="1230">
                  <c:v>41409</c:v>
                </c:pt>
                <c:pt idx="1231">
                  <c:v>41410</c:v>
                </c:pt>
                <c:pt idx="1232">
                  <c:v>41411</c:v>
                </c:pt>
                <c:pt idx="1233">
                  <c:v>41412</c:v>
                </c:pt>
                <c:pt idx="1234">
                  <c:v>41413</c:v>
                </c:pt>
                <c:pt idx="1235">
                  <c:v>41414</c:v>
                </c:pt>
                <c:pt idx="1236">
                  <c:v>41415</c:v>
                </c:pt>
                <c:pt idx="1237">
                  <c:v>41416</c:v>
                </c:pt>
                <c:pt idx="1238">
                  <c:v>41417</c:v>
                </c:pt>
                <c:pt idx="1239">
                  <c:v>41418</c:v>
                </c:pt>
                <c:pt idx="1240">
                  <c:v>41419</c:v>
                </c:pt>
                <c:pt idx="1241">
                  <c:v>41420</c:v>
                </c:pt>
                <c:pt idx="1242">
                  <c:v>41421</c:v>
                </c:pt>
                <c:pt idx="1243">
                  <c:v>41422</c:v>
                </c:pt>
                <c:pt idx="1244">
                  <c:v>41423</c:v>
                </c:pt>
                <c:pt idx="1245">
                  <c:v>41424</c:v>
                </c:pt>
                <c:pt idx="1246">
                  <c:v>41425</c:v>
                </c:pt>
                <c:pt idx="1247">
                  <c:v>41426</c:v>
                </c:pt>
                <c:pt idx="1248">
                  <c:v>41427</c:v>
                </c:pt>
                <c:pt idx="1249">
                  <c:v>41428</c:v>
                </c:pt>
                <c:pt idx="1250">
                  <c:v>41429</c:v>
                </c:pt>
                <c:pt idx="1251">
                  <c:v>41430</c:v>
                </c:pt>
                <c:pt idx="1252">
                  <c:v>41431</c:v>
                </c:pt>
                <c:pt idx="1253">
                  <c:v>41432</c:v>
                </c:pt>
                <c:pt idx="1254">
                  <c:v>41433</c:v>
                </c:pt>
                <c:pt idx="1255">
                  <c:v>41434</c:v>
                </c:pt>
                <c:pt idx="1256">
                  <c:v>41435</c:v>
                </c:pt>
                <c:pt idx="1257">
                  <c:v>41436</c:v>
                </c:pt>
                <c:pt idx="1258">
                  <c:v>41437</c:v>
                </c:pt>
                <c:pt idx="1259">
                  <c:v>41438</c:v>
                </c:pt>
                <c:pt idx="1260">
                  <c:v>41439</c:v>
                </c:pt>
                <c:pt idx="1261">
                  <c:v>41440</c:v>
                </c:pt>
                <c:pt idx="1262">
                  <c:v>41441</c:v>
                </c:pt>
                <c:pt idx="1263">
                  <c:v>41442</c:v>
                </c:pt>
                <c:pt idx="1264">
                  <c:v>41443</c:v>
                </c:pt>
                <c:pt idx="1265">
                  <c:v>41444</c:v>
                </c:pt>
                <c:pt idx="1266">
                  <c:v>41445</c:v>
                </c:pt>
                <c:pt idx="1267">
                  <c:v>41446</c:v>
                </c:pt>
                <c:pt idx="1268">
                  <c:v>41447</c:v>
                </c:pt>
                <c:pt idx="1269">
                  <c:v>41448</c:v>
                </c:pt>
                <c:pt idx="1270">
                  <c:v>41449</c:v>
                </c:pt>
                <c:pt idx="1271">
                  <c:v>41450</c:v>
                </c:pt>
                <c:pt idx="1272">
                  <c:v>41451</c:v>
                </c:pt>
                <c:pt idx="1273">
                  <c:v>41452</c:v>
                </c:pt>
                <c:pt idx="1274">
                  <c:v>41453</c:v>
                </c:pt>
                <c:pt idx="1275">
                  <c:v>41454</c:v>
                </c:pt>
                <c:pt idx="1276">
                  <c:v>41455</c:v>
                </c:pt>
                <c:pt idx="1277">
                  <c:v>41456</c:v>
                </c:pt>
                <c:pt idx="1278">
                  <c:v>41457</c:v>
                </c:pt>
                <c:pt idx="1279">
                  <c:v>41458</c:v>
                </c:pt>
                <c:pt idx="1280">
                  <c:v>41459</c:v>
                </c:pt>
                <c:pt idx="1281">
                  <c:v>41460</c:v>
                </c:pt>
                <c:pt idx="1282">
                  <c:v>41461</c:v>
                </c:pt>
                <c:pt idx="1283">
                  <c:v>41462</c:v>
                </c:pt>
                <c:pt idx="1284">
                  <c:v>41463</c:v>
                </c:pt>
                <c:pt idx="1285">
                  <c:v>41464</c:v>
                </c:pt>
                <c:pt idx="1286">
                  <c:v>41465</c:v>
                </c:pt>
                <c:pt idx="1287">
                  <c:v>41466</c:v>
                </c:pt>
                <c:pt idx="1288">
                  <c:v>41467</c:v>
                </c:pt>
                <c:pt idx="1289">
                  <c:v>41468</c:v>
                </c:pt>
                <c:pt idx="1290">
                  <c:v>41469</c:v>
                </c:pt>
                <c:pt idx="1291">
                  <c:v>41470</c:v>
                </c:pt>
                <c:pt idx="1292">
                  <c:v>41471</c:v>
                </c:pt>
                <c:pt idx="1293">
                  <c:v>41472</c:v>
                </c:pt>
                <c:pt idx="1294">
                  <c:v>41473</c:v>
                </c:pt>
                <c:pt idx="1295">
                  <c:v>41474</c:v>
                </c:pt>
                <c:pt idx="1296">
                  <c:v>41475</c:v>
                </c:pt>
                <c:pt idx="1297">
                  <c:v>41476</c:v>
                </c:pt>
                <c:pt idx="1298">
                  <c:v>41477</c:v>
                </c:pt>
                <c:pt idx="1299">
                  <c:v>41478</c:v>
                </c:pt>
                <c:pt idx="1300">
                  <c:v>41479</c:v>
                </c:pt>
                <c:pt idx="1301">
                  <c:v>41480</c:v>
                </c:pt>
                <c:pt idx="1302">
                  <c:v>41481</c:v>
                </c:pt>
                <c:pt idx="1303">
                  <c:v>41482</c:v>
                </c:pt>
                <c:pt idx="1304">
                  <c:v>41483</c:v>
                </c:pt>
                <c:pt idx="1305">
                  <c:v>41484</c:v>
                </c:pt>
                <c:pt idx="1306">
                  <c:v>41485</c:v>
                </c:pt>
                <c:pt idx="1307">
                  <c:v>41486</c:v>
                </c:pt>
                <c:pt idx="1308">
                  <c:v>41487</c:v>
                </c:pt>
                <c:pt idx="1309">
                  <c:v>41488</c:v>
                </c:pt>
                <c:pt idx="1310">
                  <c:v>41489</c:v>
                </c:pt>
                <c:pt idx="1311">
                  <c:v>41490</c:v>
                </c:pt>
                <c:pt idx="1312">
                  <c:v>41491</c:v>
                </c:pt>
                <c:pt idx="1313">
                  <c:v>41492</c:v>
                </c:pt>
                <c:pt idx="1314">
                  <c:v>41493</c:v>
                </c:pt>
                <c:pt idx="1315">
                  <c:v>41494</c:v>
                </c:pt>
                <c:pt idx="1316">
                  <c:v>41495</c:v>
                </c:pt>
                <c:pt idx="1317">
                  <c:v>41496</c:v>
                </c:pt>
                <c:pt idx="1318">
                  <c:v>41497</c:v>
                </c:pt>
                <c:pt idx="1319">
                  <c:v>41498</c:v>
                </c:pt>
                <c:pt idx="1320">
                  <c:v>41499</c:v>
                </c:pt>
                <c:pt idx="1321">
                  <c:v>41500</c:v>
                </c:pt>
                <c:pt idx="1322">
                  <c:v>41501</c:v>
                </c:pt>
                <c:pt idx="1323">
                  <c:v>41502</c:v>
                </c:pt>
                <c:pt idx="1324">
                  <c:v>41503</c:v>
                </c:pt>
                <c:pt idx="1325">
                  <c:v>41504</c:v>
                </c:pt>
                <c:pt idx="1326">
                  <c:v>41505</c:v>
                </c:pt>
                <c:pt idx="1327">
                  <c:v>41506</c:v>
                </c:pt>
                <c:pt idx="1328">
                  <c:v>41507</c:v>
                </c:pt>
                <c:pt idx="1329">
                  <c:v>41508</c:v>
                </c:pt>
                <c:pt idx="1330">
                  <c:v>41509</c:v>
                </c:pt>
                <c:pt idx="1331">
                  <c:v>41510</c:v>
                </c:pt>
                <c:pt idx="1332">
                  <c:v>41511</c:v>
                </c:pt>
                <c:pt idx="1333">
                  <c:v>41512</c:v>
                </c:pt>
                <c:pt idx="1334">
                  <c:v>41513</c:v>
                </c:pt>
                <c:pt idx="1335">
                  <c:v>41514</c:v>
                </c:pt>
                <c:pt idx="1336">
                  <c:v>41515</c:v>
                </c:pt>
                <c:pt idx="1337">
                  <c:v>41516</c:v>
                </c:pt>
                <c:pt idx="1338">
                  <c:v>41517</c:v>
                </c:pt>
                <c:pt idx="1339">
                  <c:v>41518</c:v>
                </c:pt>
                <c:pt idx="1340">
                  <c:v>41519</c:v>
                </c:pt>
                <c:pt idx="1341">
                  <c:v>41520</c:v>
                </c:pt>
                <c:pt idx="1342">
                  <c:v>41521</c:v>
                </c:pt>
                <c:pt idx="1343">
                  <c:v>41522</c:v>
                </c:pt>
                <c:pt idx="1344">
                  <c:v>41523</c:v>
                </c:pt>
                <c:pt idx="1345">
                  <c:v>41524</c:v>
                </c:pt>
                <c:pt idx="1346">
                  <c:v>41525</c:v>
                </c:pt>
                <c:pt idx="1347">
                  <c:v>41526</c:v>
                </c:pt>
                <c:pt idx="1348">
                  <c:v>41527</c:v>
                </c:pt>
                <c:pt idx="1349">
                  <c:v>41528</c:v>
                </c:pt>
                <c:pt idx="1350">
                  <c:v>41529</c:v>
                </c:pt>
                <c:pt idx="1351">
                  <c:v>41530</c:v>
                </c:pt>
                <c:pt idx="1352">
                  <c:v>41531</c:v>
                </c:pt>
                <c:pt idx="1353">
                  <c:v>41532</c:v>
                </c:pt>
                <c:pt idx="1354">
                  <c:v>41533</c:v>
                </c:pt>
                <c:pt idx="1355">
                  <c:v>41534</c:v>
                </c:pt>
                <c:pt idx="1356">
                  <c:v>41535</c:v>
                </c:pt>
                <c:pt idx="1357">
                  <c:v>41536</c:v>
                </c:pt>
                <c:pt idx="1358">
                  <c:v>41537</c:v>
                </c:pt>
                <c:pt idx="1359">
                  <c:v>41538</c:v>
                </c:pt>
                <c:pt idx="1360">
                  <c:v>41539</c:v>
                </c:pt>
                <c:pt idx="1361">
                  <c:v>41540</c:v>
                </c:pt>
                <c:pt idx="1362">
                  <c:v>41541</c:v>
                </c:pt>
                <c:pt idx="1363">
                  <c:v>41542</c:v>
                </c:pt>
                <c:pt idx="1364">
                  <c:v>41543</c:v>
                </c:pt>
                <c:pt idx="1365">
                  <c:v>41544</c:v>
                </c:pt>
                <c:pt idx="1366">
                  <c:v>41545</c:v>
                </c:pt>
                <c:pt idx="1367">
                  <c:v>41546</c:v>
                </c:pt>
                <c:pt idx="1368">
                  <c:v>41547</c:v>
                </c:pt>
                <c:pt idx="1369">
                  <c:v>41548</c:v>
                </c:pt>
                <c:pt idx="1370">
                  <c:v>41549</c:v>
                </c:pt>
                <c:pt idx="1371">
                  <c:v>41550</c:v>
                </c:pt>
                <c:pt idx="1372">
                  <c:v>41551</c:v>
                </c:pt>
                <c:pt idx="1373">
                  <c:v>41552</c:v>
                </c:pt>
                <c:pt idx="1374">
                  <c:v>41553</c:v>
                </c:pt>
                <c:pt idx="1375">
                  <c:v>41554</c:v>
                </c:pt>
                <c:pt idx="1376">
                  <c:v>41555</c:v>
                </c:pt>
                <c:pt idx="1377">
                  <c:v>41556</c:v>
                </c:pt>
                <c:pt idx="1378">
                  <c:v>41557</c:v>
                </c:pt>
                <c:pt idx="1379">
                  <c:v>41558</c:v>
                </c:pt>
                <c:pt idx="1380">
                  <c:v>41559</c:v>
                </c:pt>
                <c:pt idx="1381">
                  <c:v>41560</c:v>
                </c:pt>
                <c:pt idx="1382">
                  <c:v>41561</c:v>
                </c:pt>
                <c:pt idx="1383">
                  <c:v>41562</c:v>
                </c:pt>
                <c:pt idx="1384">
                  <c:v>41563</c:v>
                </c:pt>
                <c:pt idx="1385">
                  <c:v>41564</c:v>
                </c:pt>
                <c:pt idx="1386">
                  <c:v>41565</c:v>
                </c:pt>
                <c:pt idx="1387">
                  <c:v>41566</c:v>
                </c:pt>
                <c:pt idx="1388">
                  <c:v>41567</c:v>
                </c:pt>
                <c:pt idx="1389">
                  <c:v>41568</c:v>
                </c:pt>
                <c:pt idx="1390">
                  <c:v>41569</c:v>
                </c:pt>
                <c:pt idx="1391">
                  <c:v>41570</c:v>
                </c:pt>
                <c:pt idx="1392">
                  <c:v>41571</c:v>
                </c:pt>
                <c:pt idx="1393">
                  <c:v>41572</c:v>
                </c:pt>
                <c:pt idx="1394">
                  <c:v>41573</c:v>
                </c:pt>
                <c:pt idx="1395">
                  <c:v>41574</c:v>
                </c:pt>
                <c:pt idx="1396">
                  <c:v>41575</c:v>
                </c:pt>
                <c:pt idx="1397">
                  <c:v>41576</c:v>
                </c:pt>
                <c:pt idx="1398">
                  <c:v>41577</c:v>
                </c:pt>
                <c:pt idx="1399">
                  <c:v>41578</c:v>
                </c:pt>
                <c:pt idx="1400">
                  <c:v>41579</c:v>
                </c:pt>
                <c:pt idx="1401">
                  <c:v>41580</c:v>
                </c:pt>
                <c:pt idx="1402">
                  <c:v>41581</c:v>
                </c:pt>
                <c:pt idx="1403">
                  <c:v>41582</c:v>
                </c:pt>
                <c:pt idx="1404">
                  <c:v>41583</c:v>
                </c:pt>
                <c:pt idx="1405">
                  <c:v>41584</c:v>
                </c:pt>
                <c:pt idx="1406">
                  <c:v>41585</c:v>
                </c:pt>
                <c:pt idx="1407">
                  <c:v>41586</c:v>
                </c:pt>
                <c:pt idx="1408">
                  <c:v>41587</c:v>
                </c:pt>
                <c:pt idx="1409">
                  <c:v>41588</c:v>
                </c:pt>
                <c:pt idx="1410">
                  <c:v>41589</c:v>
                </c:pt>
                <c:pt idx="1411">
                  <c:v>41590</c:v>
                </c:pt>
                <c:pt idx="1412">
                  <c:v>41591</c:v>
                </c:pt>
                <c:pt idx="1413">
                  <c:v>41592</c:v>
                </c:pt>
                <c:pt idx="1414">
                  <c:v>41593</c:v>
                </c:pt>
                <c:pt idx="1415">
                  <c:v>41594</c:v>
                </c:pt>
                <c:pt idx="1416">
                  <c:v>41595</c:v>
                </c:pt>
                <c:pt idx="1417">
                  <c:v>41596</c:v>
                </c:pt>
                <c:pt idx="1418">
                  <c:v>41597</c:v>
                </c:pt>
                <c:pt idx="1419">
                  <c:v>41598</c:v>
                </c:pt>
                <c:pt idx="1420">
                  <c:v>41599</c:v>
                </c:pt>
                <c:pt idx="1421">
                  <c:v>41600</c:v>
                </c:pt>
                <c:pt idx="1422">
                  <c:v>41601</c:v>
                </c:pt>
                <c:pt idx="1423">
                  <c:v>41602</c:v>
                </c:pt>
                <c:pt idx="1424">
                  <c:v>41603</c:v>
                </c:pt>
                <c:pt idx="1425">
                  <c:v>41604</c:v>
                </c:pt>
                <c:pt idx="1426">
                  <c:v>41605</c:v>
                </c:pt>
                <c:pt idx="1427">
                  <c:v>41606</c:v>
                </c:pt>
                <c:pt idx="1428">
                  <c:v>41607</c:v>
                </c:pt>
                <c:pt idx="1429">
                  <c:v>41608</c:v>
                </c:pt>
                <c:pt idx="1430">
                  <c:v>41609</c:v>
                </c:pt>
                <c:pt idx="1431">
                  <c:v>41610</c:v>
                </c:pt>
                <c:pt idx="1432">
                  <c:v>41611</c:v>
                </c:pt>
                <c:pt idx="1433">
                  <c:v>41612</c:v>
                </c:pt>
                <c:pt idx="1434">
                  <c:v>41613</c:v>
                </c:pt>
                <c:pt idx="1435">
                  <c:v>41614</c:v>
                </c:pt>
                <c:pt idx="1436">
                  <c:v>41615</c:v>
                </c:pt>
                <c:pt idx="1437">
                  <c:v>41616</c:v>
                </c:pt>
                <c:pt idx="1438">
                  <c:v>41617</c:v>
                </c:pt>
                <c:pt idx="1439">
                  <c:v>41618</c:v>
                </c:pt>
                <c:pt idx="1440">
                  <c:v>41619</c:v>
                </c:pt>
                <c:pt idx="1441">
                  <c:v>41620</c:v>
                </c:pt>
                <c:pt idx="1442">
                  <c:v>41621</c:v>
                </c:pt>
                <c:pt idx="1443">
                  <c:v>41622</c:v>
                </c:pt>
                <c:pt idx="1444">
                  <c:v>41623</c:v>
                </c:pt>
                <c:pt idx="1445">
                  <c:v>41624</c:v>
                </c:pt>
                <c:pt idx="1446">
                  <c:v>41625</c:v>
                </c:pt>
                <c:pt idx="1447">
                  <c:v>41626</c:v>
                </c:pt>
                <c:pt idx="1448">
                  <c:v>41627</c:v>
                </c:pt>
                <c:pt idx="1449">
                  <c:v>41628</c:v>
                </c:pt>
                <c:pt idx="1450">
                  <c:v>41629</c:v>
                </c:pt>
                <c:pt idx="1451">
                  <c:v>41630</c:v>
                </c:pt>
                <c:pt idx="1452">
                  <c:v>41631</c:v>
                </c:pt>
                <c:pt idx="1453">
                  <c:v>41632</c:v>
                </c:pt>
                <c:pt idx="1454">
                  <c:v>41633</c:v>
                </c:pt>
                <c:pt idx="1455">
                  <c:v>41634</c:v>
                </c:pt>
                <c:pt idx="1456">
                  <c:v>41635</c:v>
                </c:pt>
                <c:pt idx="1457">
                  <c:v>41636</c:v>
                </c:pt>
                <c:pt idx="1458">
                  <c:v>41637</c:v>
                </c:pt>
                <c:pt idx="1459">
                  <c:v>41638</c:v>
                </c:pt>
                <c:pt idx="1460">
                  <c:v>41639</c:v>
                </c:pt>
                <c:pt idx="1461">
                  <c:v>41640</c:v>
                </c:pt>
                <c:pt idx="1462">
                  <c:v>41641</c:v>
                </c:pt>
                <c:pt idx="1463">
                  <c:v>41642</c:v>
                </c:pt>
                <c:pt idx="1464">
                  <c:v>41643</c:v>
                </c:pt>
                <c:pt idx="1465">
                  <c:v>41644</c:v>
                </c:pt>
                <c:pt idx="1466">
                  <c:v>41645</c:v>
                </c:pt>
                <c:pt idx="1467">
                  <c:v>41646</c:v>
                </c:pt>
                <c:pt idx="1468">
                  <c:v>41647</c:v>
                </c:pt>
                <c:pt idx="1469">
                  <c:v>41648</c:v>
                </c:pt>
                <c:pt idx="1470">
                  <c:v>41649</c:v>
                </c:pt>
                <c:pt idx="1471">
                  <c:v>41650</c:v>
                </c:pt>
                <c:pt idx="1472">
                  <c:v>41651</c:v>
                </c:pt>
                <c:pt idx="1473">
                  <c:v>41652</c:v>
                </c:pt>
                <c:pt idx="1474">
                  <c:v>41653</c:v>
                </c:pt>
                <c:pt idx="1475">
                  <c:v>41654</c:v>
                </c:pt>
                <c:pt idx="1476">
                  <c:v>41655</c:v>
                </c:pt>
                <c:pt idx="1477">
                  <c:v>41656</c:v>
                </c:pt>
                <c:pt idx="1478">
                  <c:v>41657</c:v>
                </c:pt>
                <c:pt idx="1479">
                  <c:v>41658</c:v>
                </c:pt>
                <c:pt idx="1480">
                  <c:v>41659</c:v>
                </c:pt>
                <c:pt idx="1481">
                  <c:v>41660</c:v>
                </c:pt>
                <c:pt idx="1482">
                  <c:v>41661</c:v>
                </c:pt>
                <c:pt idx="1483">
                  <c:v>41662</c:v>
                </c:pt>
                <c:pt idx="1484">
                  <c:v>41663</c:v>
                </c:pt>
                <c:pt idx="1485">
                  <c:v>41664</c:v>
                </c:pt>
                <c:pt idx="1486">
                  <c:v>41665</c:v>
                </c:pt>
                <c:pt idx="1487">
                  <c:v>41666</c:v>
                </c:pt>
                <c:pt idx="1488">
                  <c:v>41667</c:v>
                </c:pt>
                <c:pt idx="1489">
                  <c:v>41668</c:v>
                </c:pt>
                <c:pt idx="1490">
                  <c:v>41669</c:v>
                </c:pt>
                <c:pt idx="1491">
                  <c:v>41670</c:v>
                </c:pt>
                <c:pt idx="1492">
                  <c:v>41671</c:v>
                </c:pt>
                <c:pt idx="1493">
                  <c:v>41672</c:v>
                </c:pt>
                <c:pt idx="1494">
                  <c:v>41673</c:v>
                </c:pt>
                <c:pt idx="1495">
                  <c:v>41674</c:v>
                </c:pt>
                <c:pt idx="1496">
                  <c:v>41675</c:v>
                </c:pt>
                <c:pt idx="1497">
                  <c:v>41676</c:v>
                </c:pt>
                <c:pt idx="1498">
                  <c:v>41677</c:v>
                </c:pt>
                <c:pt idx="1499">
                  <c:v>41678</c:v>
                </c:pt>
                <c:pt idx="1500">
                  <c:v>41679</c:v>
                </c:pt>
                <c:pt idx="1501">
                  <c:v>41680</c:v>
                </c:pt>
                <c:pt idx="1502">
                  <c:v>41681</c:v>
                </c:pt>
                <c:pt idx="1503">
                  <c:v>41682</c:v>
                </c:pt>
                <c:pt idx="1504">
                  <c:v>41683</c:v>
                </c:pt>
                <c:pt idx="1505">
                  <c:v>41684</c:v>
                </c:pt>
                <c:pt idx="1506">
                  <c:v>41685</c:v>
                </c:pt>
                <c:pt idx="1507">
                  <c:v>41686</c:v>
                </c:pt>
                <c:pt idx="1508">
                  <c:v>41687</c:v>
                </c:pt>
                <c:pt idx="1509">
                  <c:v>41688</c:v>
                </c:pt>
                <c:pt idx="1510">
                  <c:v>41689</c:v>
                </c:pt>
                <c:pt idx="1511">
                  <c:v>41690</c:v>
                </c:pt>
                <c:pt idx="1512">
                  <c:v>41691</c:v>
                </c:pt>
                <c:pt idx="1513">
                  <c:v>41692</c:v>
                </c:pt>
                <c:pt idx="1514">
                  <c:v>41693</c:v>
                </c:pt>
                <c:pt idx="1515">
                  <c:v>41694</c:v>
                </c:pt>
                <c:pt idx="1516">
                  <c:v>41695</c:v>
                </c:pt>
                <c:pt idx="1517">
                  <c:v>41696</c:v>
                </c:pt>
                <c:pt idx="1518">
                  <c:v>41697</c:v>
                </c:pt>
                <c:pt idx="1519">
                  <c:v>41698</c:v>
                </c:pt>
                <c:pt idx="1520">
                  <c:v>41699</c:v>
                </c:pt>
                <c:pt idx="1521">
                  <c:v>41700</c:v>
                </c:pt>
                <c:pt idx="1522">
                  <c:v>41701</c:v>
                </c:pt>
                <c:pt idx="1523">
                  <c:v>41702</c:v>
                </c:pt>
                <c:pt idx="1524">
                  <c:v>41703</c:v>
                </c:pt>
                <c:pt idx="1525">
                  <c:v>41704</c:v>
                </c:pt>
                <c:pt idx="1526">
                  <c:v>41705</c:v>
                </c:pt>
                <c:pt idx="1527">
                  <c:v>41706</c:v>
                </c:pt>
                <c:pt idx="1528">
                  <c:v>41707</c:v>
                </c:pt>
                <c:pt idx="1529">
                  <c:v>41708</c:v>
                </c:pt>
                <c:pt idx="1530">
                  <c:v>41709</c:v>
                </c:pt>
                <c:pt idx="1531">
                  <c:v>41710</c:v>
                </c:pt>
                <c:pt idx="1532">
                  <c:v>41711</c:v>
                </c:pt>
                <c:pt idx="1533">
                  <c:v>41712</c:v>
                </c:pt>
                <c:pt idx="1534">
                  <c:v>41713</c:v>
                </c:pt>
                <c:pt idx="1535">
                  <c:v>41714</c:v>
                </c:pt>
                <c:pt idx="1536">
                  <c:v>41715</c:v>
                </c:pt>
                <c:pt idx="1537">
                  <c:v>41716</c:v>
                </c:pt>
                <c:pt idx="1538">
                  <c:v>41717</c:v>
                </c:pt>
                <c:pt idx="1539">
                  <c:v>41718</c:v>
                </c:pt>
                <c:pt idx="1540">
                  <c:v>41719</c:v>
                </c:pt>
                <c:pt idx="1541">
                  <c:v>41720</c:v>
                </c:pt>
                <c:pt idx="1542">
                  <c:v>41721</c:v>
                </c:pt>
                <c:pt idx="1543">
                  <c:v>41722</c:v>
                </c:pt>
                <c:pt idx="1544">
                  <c:v>41723</c:v>
                </c:pt>
                <c:pt idx="1545">
                  <c:v>41724</c:v>
                </c:pt>
                <c:pt idx="1546">
                  <c:v>41725</c:v>
                </c:pt>
                <c:pt idx="1547">
                  <c:v>41726</c:v>
                </c:pt>
                <c:pt idx="1548">
                  <c:v>41727</c:v>
                </c:pt>
                <c:pt idx="1549">
                  <c:v>41728</c:v>
                </c:pt>
                <c:pt idx="1550">
                  <c:v>41729</c:v>
                </c:pt>
                <c:pt idx="1551">
                  <c:v>41730</c:v>
                </c:pt>
                <c:pt idx="1552">
                  <c:v>41731</c:v>
                </c:pt>
                <c:pt idx="1553">
                  <c:v>41732</c:v>
                </c:pt>
                <c:pt idx="1554">
                  <c:v>41733</c:v>
                </c:pt>
                <c:pt idx="1555">
                  <c:v>41734</c:v>
                </c:pt>
                <c:pt idx="1556">
                  <c:v>41735</c:v>
                </c:pt>
                <c:pt idx="1557">
                  <c:v>41736</c:v>
                </c:pt>
                <c:pt idx="1558">
                  <c:v>41737</c:v>
                </c:pt>
                <c:pt idx="1559">
                  <c:v>41738</c:v>
                </c:pt>
                <c:pt idx="1560">
                  <c:v>41739</c:v>
                </c:pt>
                <c:pt idx="1561">
                  <c:v>41740</c:v>
                </c:pt>
                <c:pt idx="1562">
                  <c:v>41741</c:v>
                </c:pt>
                <c:pt idx="1563">
                  <c:v>41742</c:v>
                </c:pt>
                <c:pt idx="1564">
                  <c:v>41743</c:v>
                </c:pt>
                <c:pt idx="1565">
                  <c:v>41744</c:v>
                </c:pt>
                <c:pt idx="1566">
                  <c:v>41745</c:v>
                </c:pt>
                <c:pt idx="1567">
                  <c:v>41746</c:v>
                </c:pt>
                <c:pt idx="1568">
                  <c:v>41747</c:v>
                </c:pt>
                <c:pt idx="1569">
                  <c:v>41748</c:v>
                </c:pt>
                <c:pt idx="1570">
                  <c:v>41749</c:v>
                </c:pt>
                <c:pt idx="1571">
                  <c:v>41750</c:v>
                </c:pt>
                <c:pt idx="1572">
                  <c:v>41751</c:v>
                </c:pt>
                <c:pt idx="1573">
                  <c:v>41752</c:v>
                </c:pt>
                <c:pt idx="1574">
                  <c:v>41753</c:v>
                </c:pt>
                <c:pt idx="1575">
                  <c:v>41754</c:v>
                </c:pt>
                <c:pt idx="1576">
                  <c:v>41755</c:v>
                </c:pt>
                <c:pt idx="1577">
                  <c:v>41756</c:v>
                </c:pt>
                <c:pt idx="1578">
                  <c:v>41757</c:v>
                </c:pt>
                <c:pt idx="1579">
                  <c:v>41758</c:v>
                </c:pt>
                <c:pt idx="1580">
                  <c:v>41759</c:v>
                </c:pt>
                <c:pt idx="1581">
                  <c:v>41760</c:v>
                </c:pt>
                <c:pt idx="1582">
                  <c:v>41761</c:v>
                </c:pt>
                <c:pt idx="1583">
                  <c:v>41762</c:v>
                </c:pt>
                <c:pt idx="1584">
                  <c:v>41763</c:v>
                </c:pt>
                <c:pt idx="1585">
                  <c:v>41764</c:v>
                </c:pt>
                <c:pt idx="1586">
                  <c:v>41765</c:v>
                </c:pt>
                <c:pt idx="1587">
                  <c:v>41766</c:v>
                </c:pt>
                <c:pt idx="1588">
                  <c:v>41767</c:v>
                </c:pt>
                <c:pt idx="1589">
                  <c:v>41768</c:v>
                </c:pt>
                <c:pt idx="1590">
                  <c:v>41769</c:v>
                </c:pt>
                <c:pt idx="1591">
                  <c:v>41770</c:v>
                </c:pt>
                <c:pt idx="1592">
                  <c:v>41771</c:v>
                </c:pt>
                <c:pt idx="1593">
                  <c:v>41772</c:v>
                </c:pt>
                <c:pt idx="1594">
                  <c:v>41773</c:v>
                </c:pt>
                <c:pt idx="1595">
                  <c:v>41774</c:v>
                </c:pt>
                <c:pt idx="1596">
                  <c:v>41775</c:v>
                </c:pt>
                <c:pt idx="1597">
                  <c:v>41776</c:v>
                </c:pt>
                <c:pt idx="1598">
                  <c:v>41777</c:v>
                </c:pt>
                <c:pt idx="1599">
                  <c:v>41778</c:v>
                </c:pt>
                <c:pt idx="1600">
                  <c:v>41779</c:v>
                </c:pt>
                <c:pt idx="1601">
                  <c:v>41780</c:v>
                </c:pt>
                <c:pt idx="1602">
                  <c:v>41781</c:v>
                </c:pt>
                <c:pt idx="1603">
                  <c:v>41782</c:v>
                </c:pt>
                <c:pt idx="1604">
                  <c:v>41783</c:v>
                </c:pt>
                <c:pt idx="1605">
                  <c:v>41784</c:v>
                </c:pt>
                <c:pt idx="1606">
                  <c:v>41785</c:v>
                </c:pt>
                <c:pt idx="1607">
                  <c:v>41786</c:v>
                </c:pt>
                <c:pt idx="1608">
                  <c:v>41787</c:v>
                </c:pt>
                <c:pt idx="1609">
                  <c:v>41788</c:v>
                </c:pt>
                <c:pt idx="1610">
                  <c:v>41789</c:v>
                </c:pt>
                <c:pt idx="1611">
                  <c:v>41790</c:v>
                </c:pt>
                <c:pt idx="1612">
                  <c:v>41791</c:v>
                </c:pt>
                <c:pt idx="1613">
                  <c:v>41792</c:v>
                </c:pt>
                <c:pt idx="1614">
                  <c:v>41793</c:v>
                </c:pt>
                <c:pt idx="1615">
                  <c:v>41794</c:v>
                </c:pt>
                <c:pt idx="1616">
                  <c:v>41795</c:v>
                </c:pt>
                <c:pt idx="1617">
                  <c:v>41796</c:v>
                </c:pt>
                <c:pt idx="1618">
                  <c:v>41797</c:v>
                </c:pt>
                <c:pt idx="1619">
                  <c:v>41798</c:v>
                </c:pt>
                <c:pt idx="1620">
                  <c:v>41799</c:v>
                </c:pt>
                <c:pt idx="1621">
                  <c:v>41800</c:v>
                </c:pt>
                <c:pt idx="1622">
                  <c:v>41801</c:v>
                </c:pt>
                <c:pt idx="1623">
                  <c:v>41802</c:v>
                </c:pt>
                <c:pt idx="1624">
                  <c:v>41803</c:v>
                </c:pt>
                <c:pt idx="1625">
                  <c:v>41804</c:v>
                </c:pt>
                <c:pt idx="1626">
                  <c:v>41805</c:v>
                </c:pt>
                <c:pt idx="1627">
                  <c:v>41806</c:v>
                </c:pt>
                <c:pt idx="1628">
                  <c:v>41807</c:v>
                </c:pt>
                <c:pt idx="1629">
                  <c:v>41808</c:v>
                </c:pt>
                <c:pt idx="1630">
                  <c:v>41809</c:v>
                </c:pt>
                <c:pt idx="1631">
                  <c:v>41810</c:v>
                </c:pt>
                <c:pt idx="1632">
                  <c:v>41811</c:v>
                </c:pt>
                <c:pt idx="1633">
                  <c:v>41812</c:v>
                </c:pt>
                <c:pt idx="1634">
                  <c:v>41813</c:v>
                </c:pt>
                <c:pt idx="1635">
                  <c:v>41814</c:v>
                </c:pt>
                <c:pt idx="1636">
                  <c:v>41815</c:v>
                </c:pt>
                <c:pt idx="1637">
                  <c:v>41816</c:v>
                </c:pt>
                <c:pt idx="1638">
                  <c:v>41817</c:v>
                </c:pt>
                <c:pt idx="1639">
                  <c:v>41818</c:v>
                </c:pt>
                <c:pt idx="1640">
                  <c:v>41819</c:v>
                </c:pt>
                <c:pt idx="1641">
                  <c:v>41820</c:v>
                </c:pt>
                <c:pt idx="1642">
                  <c:v>41821</c:v>
                </c:pt>
                <c:pt idx="1643">
                  <c:v>41822</c:v>
                </c:pt>
                <c:pt idx="1644">
                  <c:v>41823</c:v>
                </c:pt>
                <c:pt idx="1645">
                  <c:v>41824</c:v>
                </c:pt>
                <c:pt idx="1646">
                  <c:v>41825</c:v>
                </c:pt>
                <c:pt idx="1647">
                  <c:v>41826</c:v>
                </c:pt>
                <c:pt idx="1648">
                  <c:v>41827</c:v>
                </c:pt>
                <c:pt idx="1649">
                  <c:v>41828</c:v>
                </c:pt>
                <c:pt idx="1650">
                  <c:v>41829</c:v>
                </c:pt>
                <c:pt idx="1651">
                  <c:v>41830</c:v>
                </c:pt>
                <c:pt idx="1652">
                  <c:v>41831</c:v>
                </c:pt>
                <c:pt idx="1653">
                  <c:v>41832</c:v>
                </c:pt>
                <c:pt idx="1654">
                  <c:v>41833</c:v>
                </c:pt>
                <c:pt idx="1655">
                  <c:v>41834</c:v>
                </c:pt>
                <c:pt idx="1656">
                  <c:v>41835</c:v>
                </c:pt>
                <c:pt idx="1657">
                  <c:v>41836</c:v>
                </c:pt>
                <c:pt idx="1658">
                  <c:v>41837</c:v>
                </c:pt>
                <c:pt idx="1659">
                  <c:v>41838</c:v>
                </c:pt>
                <c:pt idx="1660">
                  <c:v>41839</c:v>
                </c:pt>
                <c:pt idx="1661">
                  <c:v>41840</c:v>
                </c:pt>
                <c:pt idx="1662">
                  <c:v>41841</c:v>
                </c:pt>
                <c:pt idx="1663">
                  <c:v>41842</c:v>
                </c:pt>
                <c:pt idx="1664">
                  <c:v>41843</c:v>
                </c:pt>
                <c:pt idx="1665">
                  <c:v>41844</c:v>
                </c:pt>
                <c:pt idx="1666">
                  <c:v>41845</c:v>
                </c:pt>
                <c:pt idx="1667">
                  <c:v>41846</c:v>
                </c:pt>
                <c:pt idx="1668">
                  <c:v>41847</c:v>
                </c:pt>
                <c:pt idx="1669">
                  <c:v>41848</c:v>
                </c:pt>
                <c:pt idx="1670">
                  <c:v>41849</c:v>
                </c:pt>
                <c:pt idx="1671">
                  <c:v>41850</c:v>
                </c:pt>
                <c:pt idx="1672">
                  <c:v>41851</c:v>
                </c:pt>
                <c:pt idx="1673">
                  <c:v>41852</c:v>
                </c:pt>
                <c:pt idx="1674">
                  <c:v>41853</c:v>
                </c:pt>
                <c:pt idx="1675">
                  <c:v>41854</c:v>
                </c:pt>
                <c:pt idx="1676">
                  <c:v>41855</c:v>
                </c:pt>
                <c:pt idx="1677">
                  <c:v>41856</c:v>
                </c:pt>
                <c:pt idx="1678">
                  <c:v>41857</c:v>
                </c:pt>
                <c:pt idx="1679">
                  <c:v>41858</c:v>
                </c:pt>
                <c:pt idx="1680">
                  <c:v>41859</c:v>
                </c:pt>
                <c:pt idx="1681">
                  <c:v>41860</c:v>
                </c:pt>
                <c:pt idx="1682">
                  <c:v>41861</c:v>
                </c:pt>
                <c:pt idx="1683">
                  <c:v>41862</c:v>
                </c:pt>
                <c:pt idx="1684">
                  <c:v>41863</c:v>
                </c:pt>
                <c:pt idx="1685">
                  <c:v>41864</c:v>
                </c:pt>
                <c:pt idx="1686">
                  <c:v>41865</c:v>
                </c:pt>
                <c:pt idx="1687">
                  <c:v>41866</c:v>
                </c:pt>
                <c:pt idx="1688">
                  <c:v>41867</c:v>
                </c:pt>
                <c:pt idx="1689">
                  <c:v>41868</c:v>
                </c:pt>
                <c:pt idx="1690">
                  <c:v>41869</c:v>
                </c:pt>
                <c:pt idx="1691">
                  <c:v>41870</c:v>
                </c:pt>
                <c:pt idx="1692">
                  <c:v>41871</c:v>
                </c:pt>
                <c:pt idx="1693">
                  <c:v>41872</c:v>
                </c:pt>
                <c:pt idx="1694">
                  <c:v>41873</c:v>
                </c:pt>
                <c:pt idx="1695">
                  <c:v>41874</c:v>
                </c:pt>
                <c:pt idx="1696">
                  <c:v>41875</c:v>
                </c:pt>
                <c:pt idx="1697">
                  <c:v>41876</c:v>
                </c:pt>
                <c:pt idx="1698">
                  <c:v>41877</c:v>
                </c:pt>
                <c:pt idx="1699">
                  <c:v>41878</c:v>
                </c:pt>
                <c:pt idx="1700">
                  <c:v>41879</c:v>
                </c:pt>
                <c:pt idx="1701">
                  <c:v>41880</c:v>
                </c:pt>
                <c:pt idx="1702">
                  <c:v>41881</c:v>
                </c:pt>
                <c:pt idx="1703">
                  <c:v>41882</c:v>
                </c:pt>
                <c:pt idx="1704">
                  <c:v>41883</c:v>
                </c:pt>
                <c:pt idx="1705">
                  <c:v>41884</c:v>
                </c:pt>
                <c:pt idx="1706">
                  <c:v>41885</c:v>
                </c:pt>
                <c:pt idx="1707">
                  <c:v>41886</c:v>
                </c:pt>
                <c:pt idx="1708">
                  <c:v>41887</c:v>
                </c:pt>
                <c:pt idx="1709">
                  <c:v>41888</c:v>
                </c:pt>
                <c:pt idx="1710">
                  <c:v>41889</c:v>
                </c:pt>
                <c:pt idx="1711">
                  <c:v>41890</c:v>
                </c:pt>
                <c:pt idx="1712">
                  <c:v>41891</c:v>
                </c:pt>
                <c:pt idx="1713">
                  <c:v>41892</c:v>
                </c:pt>
                <c:pt idx="1714">
                  <c:v>41893</c:v>
                </c:pt>
                <c:pt idx="1715">
                  <c:v>41894</c:v>
                </c:pt>
                <c:pt idx="1716">
                  <c:v>41895</c:v>
                </c:pt>
                <c:pt idx="1717">
                  <c:v>41896</c:v>
                </c:pt>
                <c:pt idx="1718">
                  <c:v>41897</c:v>
                </c:pt>
                <c:pt idx="1719">
                  <c:v>41898</c:v>
                </c:pt>
                <c:pt idx="1720">
                  <c:v>41899</c:v>
                </c:pt>
                <c:pt idx="1721">
                  <c:v>41900</c:v>
                </c:pt>
                <c:pt idx="1722">
                  <c:v>41901</c:v>
                </c:pt>
                <c:pt idx="1723">
                  <c:v>41902</c:v>
                </c:pt>
                <c:pt idx="1724">
                  <c:v>41903</c:v>
                </c:pt>
                <c:pt idx="1725">
                  <c:v>41904</c:v>
                </c:pt>
                <c:pt idx="1726">
                  <c:v>41905</c:v>
                </c:pt>
                <c:pt idx="1727">
                  <c:v>41906</c:v>
                </c:pt>
                <c:pt idx="1728">
                  <c:v>41907</c:v>
                </c:pt>
                <c:pt idx="1729">
                  <c:v>41908</c:v>
                </c:pt>
                <c:pt idx="1730">
                  <c:v>41909</c:v>
                </c:pt>
                <c:pt idx="1731">
                  <c:v>41910</c:v>
                </c:pt>
                <c:pt idx="1732">
                  <c:v>41911</c:v>
                </c:pt>
                <c:pt idx="1733">
                  <c:v>41912</c:v>
                </c:pt>
                <c:pt idx="1734">
                  <c:v>41913</c:v>
                </c:pt>
                <c:pt idx="1735">
                  <c:v>41914</c:v>
                </c:pt>
                <c:pt idx="1736">
                  <c:v>41915</c:v>
                </c:pt>
                <c:pt idx="1737">
                  <c:v>41916</c:v>
                </c:pt>
                <c:pt idx="1738">
                  <c:v>41917</c:v>
                </c:pt>
                <c:pt idx="1739">
                  <c:v>41918</c:v>
                </c:pt>
                <c:pt idx="1740">
                  <c:v>41919</c:v>
                </c:pt>
                <c:pt idx="1741">
                  <c:v>41920</c:v>
                </c:pt>
                <c:pt idx="1742">
                  <c:v>41921</c:v>
                </c:pt>
                <c:pt idx="1743">
                  <c:v>41922</c:v>
                </c:pt>
                <c:pt idx="1744">
                  <c:v>41923</c:v>
                </c:pt>
                <c:pt idx="1745">
                  <c:v>41924</c:v>
                </c:pt>
                <c:pt idx="1746">
                  <c:v>41925</c:v>
                </c:pt>
                <c:pt idx="1747">
                  <c:v>41926</c:v>
                </c:pt>
                <c:pt idx="1748">
                  <c:v>41927</c:v>
                </c:pt>
                <c:pt idx="1749">
                  <c:v>41928</c:v>
                </c:pt>
                <c:pt idx="1750">
                  <c:v>41929</c:v>
                </c:pt>
                <c:pt idx="1751">
                  <c:v>41930</c:v>
                </c:pt>
                <c:pt idx="1752">
                  <c:v>41931</c:v>
                </c:pt>
                <c:pt idx="1753">
                  <c:v>41932</c:v>
                </c:pt>
                <c:pt idx="1754">
                  <c:v>41933</c:v>
                </c:pt>
                <c:pt idx="1755">
                  <c:v>41934</c:v>
                </c:pt>
                <c:pt idx="1756">
                  <c:v>41935</c:v>
                </c:pt>
                <c:pt idx="1757">
                  <c:v>41936</c:v>
                </c:pt>
                <c:pt idx="1758">
                  <c:v>41937</c:v>
                </c:pt>
                <c:pt idx="1759">
                  <c:v>41938</c:v>
                </c:pt>
                <c:pt idx="1760">
                  <c:v>41939</c:v>
                </c:pt>
                <c:pt idx="1761">
                  <c:v>41940</c:v>
                </c:pt>
                <c:pt idx="1762">
                  <c:v>41941</c:v>
                </c:pt>
                <c:pt idx="1763">
                  <c:v>41942</c:v>
                </c:pt>
                <c:pt idx="1764">
                  <c:v>41943</c:v>
                </c:pt>
                <c:pt idx="1765">
                  <c:v>41944</c:v>
                </c:pt>
                <c:pt idx="1766">
                  <c:v>41945</c:v>
                </c:pt>
                <c:pt idx="1767">
                  <c:v>41946</c:v>
                </c:pt>
                <c:pt idx="1768">
                  <c:v>41947</c:v>
                </c:pt>
                <c:pt idx="1769">
                  <c:v>41948</c:v>
                </c:pt>
                <c:pt idx="1770">
                  <c:v>41949</c:v>
                </c:pt>
                <c:pt idx="1771">
                  <c:v>41950</c:v>
                </c:pt>
                <c:pt idx="1772">
                  <c:v>41951</c:v>
                </c:pt>
                <c:pt idx="1773">
                  <c:v>41952</c:v>
                </c:pt>
                <c:pt idx="1774">
                  <c:v>41953</c:v>
                </c:pt>
                <c:pt idx="1775">
                  <c:v>41954</c:v>
                </c:pt>
                <c:pt idx="1776">
                  <c:v>41955</c:v>
                </c:pt>
                <c:pt idx="1777">
                  <c:v>41956</c:v>
                </c:pt>
                <c:pt idx="1778">
                  <c:v>41957</c:v>
                </c:pt>
                <c:pt idx="1779">
                  <c:v>41958</c:v>
                </c:pt>
                <c:pt idx="1780">
                  <c:v>41959</c:v>
                </c:pt>
                <c:pt idx="1781">
                  <c:v>41960</c:v>
                </c:pt>
                <c:pt idx="1782">
                  <c:v>41961</c:v>
                </c:pt>
                <c:pt idx="1783">
                  <c:v>41962</c:v>
                </c:pt>
                <c:pt idx="1784">
                  <c:v>41963</c:v>
                </c:pt>
                <c:pt idx="1785">
                  <c:v>41964</c:v>
                </c:pt>
                <c:pt idx="1786">
                  <c:v>41965</c:v>
                </c:pt>
                <c:pt idx="1787">
                  <c:v>41966</c:v>
                </c:pt>
                <c:pt idx="1788">
                  <c:v>41967</c:v>
                </c:pt>
                <c:pt idx="1789">
                  <c:v>41968</c:v>
                </c:pt>
                <c:pt idx="1790">
                  <c:v>41969</c:v>
                </c:pt>
                <c:pt idx="1791">
                  <c:v>41970</c:v>
                </c:pt>
                <c:pt idx="1792">
                  <c:v>41971</c:v>
                </c:pt>
                <c:pt idx="1793">
                  <c:v>41972</c:v>
                </c:pt>
                <c:pt idx="1794">
                  <c:v>41973</c:v>
                </c:pt>
                <c:pt idx="1795">
                  <c:v>41974</c:v>
                </c:pt>
                <c:pt idx="1796">
                  <c:v>41975</c:v>
                </c:pt>
                <c:pt idx="1797">
                  <c:v>41976</c:v>
                </c:pt>
                <c:pt idx="1798">
                  <c:v>41977</c:v>
                </c:pt>
                <c:pt idx="1799">
                  <c:v>41978</c:v>
                </c:pt>
                <c:pt idx="1800">
                  <c:v>41979</c:v>
                </c:pt>
                <c:pt idx="1801">
                  <c:v>41980</c:v>
                </c:pt>
                <c:pt idx="1802">
                  <c:v>41981</c:v>
                </c:pt>
                <c:pt idx="1803">
                  <c:v>41982</c:v>
                </c:pt>
                <c:pt idx="1804">
                  <c:v>41983</c:v>
                </c:pt>
                <c:pt idx="1805">
                  <c:v>41984</c:v>
                </c:pt>
                <c:pt idx="1806">
                  <c:v>41985</c:v>
                </c:pt>
                <c:pt idx="1807">
                  <c:v>41986</c:v>
                </c:pt>
                <c:pt idx="1808">
                  <c:v>41987</c:v>
                </c:pt>
                <c:pt idx="1809">
                  <c:v>41988</c:v>
                </c:pt>
                <c:pt idx="1810">
                  <c:v>41989</c:v>
                </c:pt>
                <c:pt idx="1811">
                  <c:v>41990</c:v>
                </c:pt>
                <c:pt idx="1812">
                  <c:v>41991</c:v>
                </c:pt>
                <c:pt idx="1813">
                  <c:v>41992</c:v>
                </c:pt>
                <c:pt idx="1814">
                  <c:v>41993</c:v>
                </c:pt>
                <c:pt idx="1815">
                  <c:v>41994</c:v>
                </c:pt>
                <c:pt idx="1816">
                  <c:v>41995</c:v>
                </c:pt>
                <c:pt idx="1817">
                  <c:v>41996</c:v>
                </c:pt>
                <c:pt idx="1818">
                  <c:v>41997</c:v>
                </c:pt>
                <c:pt idx="1819">
                  <c:v>41998</c:v>
                </c:pt>
                <c:pt idx="1820">
                  <c:v>41999</c:v>
                </c:pt>
                <c:pt idx="1821">
                  <c:v>42000</c:v>
                </c:pt>
                <c:pt idx="1822">
                  <c:v>42001</c:v>
                </c:pt>
                <c:pt idx="1823">
                  <c:v>42002</c:v>
                </c:pt>
                <c:pt idx="1824">
                  <c:v>42003</c:v>
                </c:pt>
                <c:pt idx="1825">
                  <c:v>42004</c:v>
                </c:pt>
                <c:pt idx="1826">
                  <c:v>42005</c:v>
                </c:pt>
                <c:pt idx="1827">
                  <c:v>42006</c:v>
                </c:pt>
                <c:pt idx="1828">
                  <c:v>42007</c:v>
                </c:pt>
                <c:pt idx="1829">
                  <c:v>42008</c:v>
                </c:pt>
                <c:pt idx="1830">
                  <c:v>42009</c:v>
                </c:pt>
                <c:pt idx="1831">
                  <c:v>42010</c:v>
                </c:pt>
                <c:pt idx="1832">
                  <c:v>42011</c:v>
                </c:pt>
                <c:pt idx="1833">
                  <c:v>42012</c:v>
                </c:pt>
                <c:pt idx="1834">
                  <c:v>42013</c:v>
                </c:pt>
                <c:pt idx="1835">
                  <c:v>42014</c:v>
                </c:pt>
                <c:pt idx="1836">
                  <c:v>42015</c:v>
                </c:pt>
                <c:pt idx="1837">
                  <c:v>42016</c:v>
                </c:pt>
                <c:pt idx="1838">
                  <c:v>42017</c:v>
                </c:pt>
                <c:pt idx="1839">
                  <c:v>42018</c:v>
                </c:pt>
                <c:pt idx="1840">
                  <c:v>42019</c:v>
                </c:pt>
                <c:pt idx="1841">
                  <c:v>42020</c:v>
                </c:pt>
                <c:pt idx="1842">
                  <c:v>42021</c:v>
                </c:pt>
                <c:pt idx="1843">
                  <c:v>42022</c:v>
                </c:pt>
                <c:pt idx="1844">
                  <c:v>42023</c:v>
                </c:pt>
                <c:pt idx="1845">
                  <c:v>42024</c:v>
                </c:pt>
                <c:pt idx="1846">
                  <c:v>42025</c:v>
                </c:pt>
                <c:pt idx="1847">
                  <c:v>42026</c:v>
                </c:pt>
                <c:pt idx="1848">
                  <c:v>42027</c:v>
                </c:pt>
                <c:pt idx="1849">
                  <c:v>42028</c:v>
                </c:pt>
                <c:pt idx="1850">
                  <c:v>42029</c:v>
                </c:pt>
                <c:pt idx="1851">
                  <c:v>42030</c:v>
                </c:pt>
                <c:pt idx="1852">
                  <c:v>42031</c:v>
                </c:pt>
                <c:pt idx="1853">
                  <c:v>42032</c:v>
                </c:pt>
                <c:pt idx="1854">
                  <c:v>42033</c:v>
                </c:pt>
                <c:pt idx="1855">
                  <c:v>42034</c:v>
                </c:pt>
                <c:pt idx="1856">
                  <c:v>42035</c:v>
                </c:pt>
                <c:pt idx="1857">
                  <c:v>42036</c:v>
                </c:pt>
                <c:pt idx="1858">
                  <c:v>42037</c:v>
                </c:pt>
                <c:pt idx="1859">
                  <c:v>42038</c:v>
                </c:pt>
                <c:pt idx="1860">
                  <c:v>42039</c:v>
                </c:pt>
                <c:pt idx="1861">
                  <c:v>42040</c:v>
                </c:pt>
                <c:pt idx="1862">
                  <c:v>42041</c:v>
                </c:pt>
                <c:pt idx="1863">
                  <c:v>42042</c:v>
                </c:pt>
                <c:pt idx="1864">
                  <c:v>42043</c:v>
                </c:pt>
                <c:pt idx="1865">
                  <c:v>42044</c:v>
                </c:pt>
                <c:pt idx="1866">
                  <c:v>42045</c:v>
                </c:pt>
                <c:pt idx="1867">
                  <c:v>42046</c:v>
                </c:pt>
                <c:pt idx="1868">
                  <c:v>42047</c:v>
                </c:pt>
                <c:pt idx="1869">
                  <c:v>42048</c:v>
                </c:pt>
                <c:pt idx="1870">
                  <c:v>42049</c:v>
                </c:pt>
                <c:pt idx="1871">
                  <c:v>42050</c:v>
                </c:pt>
                <c:pt idx="1872">
                  <c:v>42051</c:v>
                </c:pt>
                <c:pt idx="1873">
                  <c:v>42052</c:v>
                </c:pt>
                <c:pt idx="1874">
                  <c:v>42053</c:v>
                </c:pt>
                <c:pt idx="1875">
                  <c:v>42054</c:v>
                </c:pt>
                <c:pt idx="1876">
                  <c:v>42055</c:v>
                </c:pt>
                <c:pt idx="1877">
                  <c:v>42056</c:v>
                </c:pt>
                <c:pt idx="1878">
                  <c:v>42057</c:v>
                </c:pt>
                <c:pt idx="1879">
                  <c:v>42058</c:v>
                </c:pt>
                <c:pt idx="1880">
                  <c:v>42059</c:v>
                </c:pt>
                <c:pt idx="1881">
                  <c:v>42060</c:v>
                </c:pt>
                <c:pt idx="1882">
                  <c:v>42061</c:v>
                </c:pt>
                <c:pt idx="1883">
                  <c:v>42062</c:v>
                </c:pt>
                <c:pt idx="1884">
                  <c:v>42063</c:v>
                </c:pt>
                <c:pt idx="1885">
                  <c:v>42064</c:v>
                </c:pt>
                <c:pt idx="1886">
                  <c:v>42065</c:v>
                </c:pt>
                <c:pt idx="1887">
                  <c:v>42066</c:v>
                </c:pt>
                <c:pt idx="1888">
                  <c:v>42067</c:v>
                </c:pt>
                <c:pt idx="1889">
                  <c:v>42068</c:v>
                </c:pt>
                <c:pt idx="1890">
                  <c:v>42069</c:v>
                </c:pt>
                <c:pt idx="1891">
                  <c:v>42070</c:v>
                </c:pt>
                <c:pt idx="1892">
                  <c:v>42071</c:v>
                </c:pt>
                <c:pt idx="1893">
                  <c:v>42072</c:v>
                </c:pt>
                <c:pt idx="1894">
                  <c:v>42073</c:v>
                </c:pt>
                <c:pt idx="1895">
                  <c:v>42074</c:v>
                </c:pt>
                <c:pt idx="1896">
                  <c:v>42075</c:v>
                </c:pt>
                <c:pt idx="1897">
                  <c:v>42076</c:v>
                </c:pt>
                <c:pt idx="1898">
                  <c:v>42077</c:v>
                </c:pt>
                <c:pt idx="1899">
                  <c:v>42078</c:v>
                </c:pt>
                <c:pt idx="1900">
                  <c:v>42079</c:v>
                </c:pt>
                <c:pt idx="1901">
                  <c:v>42080</c:v>
                </c:pt>
                <c:pt idx="1902">
                  <c:v>42081</c:v>
                </c:pt>
                <c:pt idx="1903">
                  <c:v>42082</c:v>
                </c:pt>
                <c:pt idx="1904">
                  <c:v>42083</c:v>
                </c:pt>
                <c:pt idx="1905">
                  <c:v>42084</c:v>
                </c:pt>
                <c:pt idx="1906">
                  <c:v>42085</c:v>
                </c:pt>
                <c:pt idx="1907">
                  <c:v>42086</c:v>
                </c:pt>
                <c:pt idx="1908">
                  <c:v>42087</c:v>
                </c:pt>
                <c:pt idx="1909">
                  <c:v>42088</c:v>
                </c:pt>
                <c:pt idx="1910">
                  <c:v>42089</c:v>
                </c:pt>
                <c:pt idx="1911">
                  <c:v>42090</c:v>
                </c:pt>
                <c:pt idx="1912">
                  <c:v>42091</c:v>
                </c:pt>
                <c:pt idx="1913">
                  <c:v>42092</c:v>
                </c:pt>
                <c:pt idx="1914">
                  <c:v>42093</c:v>
                </c:pt>
                <c:pt idx="1915">
                  <c:v>42094</c:v>
                </c:pt>
                <c:pt idx="1916">
                  <c:v>42095</c:v>
                </c:pt>
                <c:pt idx="1917">
                  <c:v>42096</c:v>
                </c:pt>
                <c:pt idx="1918">
                  <c:v>42097</c:v>
                </c:pt>
                <c:pt idx="1919">
                  <c:v>42098</c:v>
                </c:pt>
                <c:pt idx="1920">
                  <c:v>42099</c:v>
                </c:pt>
                <c:pt idx="1921">
                  <c:v>42100</c:v>
                </c:pt>
                <c:pt idx="1922">
                  <c:v>42101</c:v>
                </c:pt>
                <c:pt idx="1923">
                  <c:v>42102</c:v>
                </c:pt>
                <c:pt idx="1924">
                  <c:v>42103</c:v>
                </c:pt>
                <c:pt idx="1925">
                  <c:v>42104</c:v>
                </c:pt>
                <c:pt idx="1926">
                  <c:v>42105</c:v>
                </c:pt>
                <c:pt idx="1927">
                  <c:v>42106</c:v>
                </c:pt>
                <c:pt idx="1928">
                  <c:v>42107</c:v>
                </c:pt>
                <c:pt idx="1929">
                  <c:v>42108</c:v>
                </c:pt>
                <c:pt idx="1930">
                  <c:v>42109</c:v>
                </c:pt>
                <c:pt idx="1931">
                  <c:v>42110</c:v>
                </c:pt>
                <c:pt idx="1932">
                  <c:v>42111</c:v>
                </c:pt>
                <c:pt idx="1933">
                  <c:v>42112</c:v>
                </c:pt>
                <c:pt idx="1934">
                  <c:v>42113</c:v>
                </c:pt>
                <c:pt idx="1935">
                  <c:v>42114</c:v>
                </c:pt>
                <c:pt idx="1936">
                  <c:v>42115</c:v>
                </c:pt>
                <c:pt idx="1937">
                  <c:v>42116</c:v>
                </c:pt>
                <c:pt idx="1938">
                  <c:v>42117</c:v>
                </c:pt>
                <c:pt idx="1939">
                  <c:v>42118</c:v>
                </c:pt>
                <c:pt idx="1940">
                  <c:v>42119</c:v>
                </c:pt>
                <c:pt idx="1941">
                  <c:v>42120</c:v>
                </c:pt>
                <c:pt idx="1942">
                  <c:v>42121</c:v>
                </c:pt>
                <c:pt idx="1943">
                  <c:v>42122</c:v>
                </c:pt>
                <c:pt idx="1944">
                  <c:v>42123</c:v>
                </c:pt>
                <c:pt idx="1945">
                  <c:v>42124</c:v>
                </c:pt>
                <c:pt idx="1946">
                  <c:v>42125</c:v>
                </c:pt>
                <c:pt idx="1947">
                  <c:v>42126</c:v>
                </c:pt>
                <c:pt idx="1948">
                  <c:v>42127</c:v>
                </c:pt>
                <c:pt idx="1949">
                  <c:v>42128</c:v>
                </c:pt>
                <c:pt idx="1950">
                  <c:v>42129</c:v>
                </c:pt>
                <c:pt idx="1951">
                  <c:v>42130</c:v>
                </c:pt>
                <c:pt idx="1952">
                  <c:v>42131</c:v>
                </c:pt>
                <c:pt idx="1953">
                  <c:v>42132</c:v>
                </c:pt>
                <c:pt idx="1954">
                  <c:v>42133</c:v>
                </c:pt>
                <c:pt idx="1955">
                  <c:v>42134</c:v>
                </c:pt>
                <c:pt idx="1956">
                  <c:v>42135</c:v>
                </c:pt>
                <c:pt idx="1957">
                  <c:v>42136</c:v>
                </c:pt>
                <c:pt idx="1958">
                  <c:v>42137</c:v>
                </c:pt>
                <c:pt idx="1959">
                  <c:v>42138</c:v>
                </c:pt>
                <c:pt idx="1960">
                  <c:v>42139</c:v>
                </c:pt>
                <c:pt idx="1961">
                  <c:v>42140</c:v>
                </c:pt>
                <c:pt idx="1962">
                  <c:v>42141</c:v>
                </c:pt>
                <c:pt idx="1963">
                  <c:v>42142</c:v>
                </c:pt>
                <c:pt idx="1964">
                  <c:v>42143</c:v>
                </c:pt>
                <c:pt idx="1965">
                  <c:v>42144</c:v>
                </c:pt>
                <c:pt idx="1966">
                  <c:v>42145</c:v>
                </c:pt>
                <c:pt idx="1967">
                  <c:v>42146</c:v>
                </c:pt>
                <c:pt idx="1968">
                  <c:v>42147</c:v>
                </c:pt>
                <c:pt idx="1969">
                  <c:v>42148</c:v>
                </c:pt>
                <c:pt idx="1970">
                  <c:v>42149</c:v>
                </c:pt>
                <c:pt idx="1971">
                  <c:v>42150</c:v>
                </c:pt>
                <c:pt idx="1972">
                  <c:v>42151</c:v>
                </c:pt>
                <c:pt idx="1973">
                  <c:v>42152</c:v>
                </c:pt>
                <c:pt idx="1974">
                  <c:v>42153</c:v>
                </c:pt>
                <c:pt idx="1975">
                  <c:v>42154</c:v>
                </c:pt>
                <c:pt idx="1976">
                  <c:v>42155</c:v>
                </c:pt>
                <c:pt idx="1977">
                  <c:v>42156</c:v>
                </c:pt>
                <c:pt idx="1978">
                  <c:v>42157</c:v>
                </c:pt>
                <c:pt idx="1979">
                  <c:v>42158</c:v>
                </c:pt>
                <c:pt idx="1980">
                  <c:v>42159</c:v>
                </c:pt>
                <c:pt idx="1981">
                  <c:v>42160</c:v>
                </c:pt>
                <c:pt idx="1982">
                  <c:v>42161</c:v>
                </c:pt>
                <c:pt idx="1983">
                  <c:v>42162</c:v>
                </c:pt>
                <c:pt idx="1984">
                  <c:v>42163</c:v>
                </c:pt>
                <c:pt idx="1985">
                  <c:v>42164</c:v>
                </c:pt>
                <c:pt idx="1986">
                  <c:v>42165</c:v>
                </c:pt>
                <c:pt idx="1987">
                  <c:v>42166</c:v>
                </c:pt>
                <c:pt idx="1988">
                  <c:v>42167</c:v>
                </c:pt>
                <c:pt idx="1989">
                  <c:v>42168</c:v>
                </c:pt>
                <c:pt idx="1990">
                  <c:v>42169</c:v>
                </c:pt>
                <c:pt idx="1991">
                  <c:v>42170</c:v>
                </c:pt>
                <c:pt idx="1992">
                  <c:v>42171</c:v>
                </c:pt>
                <c:pt idx="1993">
                  <c:v>42172</c:v>
                </c:pt>
                <c:pt idx="1994">
                  <c:v>42173</c:v>
                </c:pt>
                <c:pt idx="1995">
                  <c:v>42174</c:v>
                </c:pt>
                <c:pt idx="1996">
                  <c:v>42175</c:v>
                </c:pt>
                <c:pt idx="1997">
                  <c:v>42176</c:v>
                </c:pt>
                <c:pt idx="1998">
                  <c:v>42177</c:v>
                </c:pt>
                <c:pt idx="1999">
                  <c:v>42178</c:v>
                </c:pt>
                <c:pt idx="2000">
                  <c:v>42179</c:v>
                </c:pt>
                <c:pt idx="2001">
                  <c:v>42180</c:v>
                </c:pt>
                <c:pt idx="2002">
                  <c:v>42181</c:v>
                </c:pt>
                <c:pt idx="2003">
                  <c:v>42182</c:v>
                </c:pt>
                <c:pt idx="2004">
                  <c:v>42183</c:v>
                </c:pt>
                <c:pt idx="2005">
                  <c:v>42184</c:v>
                </c:pt>
                <c:pt idx="2006">
                  <c:v>42185</c:v>
                </c:pt>
                <c:pt idx="2007">
                  <c:v>42186</c:v>
                </c:pt>
                <c:pt idx="2008">
                  <c:v>42187</c:v>
                </c:pt>
                <c:pt idx="2009">
                  <c:v>42188</c:v>
                </c:pt>
                <c:pt idx="2010">
                  <c:v>42189</c:v>
                </c:pt>
                <c:pt idx="2011">
                  <c:v>42190</c:v>
                </c:pt>
                <c:pt idx="2012">
                  <c:v>42191</c:v>
                </c:pt>
                <c:pt idx="2013">
                  <c:v>42192</c:v>
                </c:pt>
                <c:pt idx="2014">
                  <c:v>42193</c:v>
                </c:pt>
                <c:pt idx="2015">
                  <c:v>42194</c:v>
                </c:pt>
                <c:pt idx="2016">
                  <c:v>42195</c:v>
                </c:pt>
                <c:pt idx="2017">
                  <c:v>42196</c:v>
                </c:pt>
                <c:pt idx="2018">
                  <c:v>42197</c:v>
                </c:pt>
                <c:pt idx="2019">
                  <c:v>42198</c:v>
                </c:pt>
                <c:pt idx="2020">
                  <c:v>42199</c:v>
                </c:pt>
                <c:pt idx="2021">
                  <c:v>42200</c:v>
                </c:pt>
                <c:pt idx="2022">
                  <c:v>42201</c:v>
                </c:pt>
                <c:pt idx="2023">
                  <c:v>42202</c:v>
                </c:pt>
                <c:pt idx="2024">
                  <c:v>42203</c:v>
                </c:pt>
                <c:pt idx="2025">
                  <c:v>42204</c:v>
                </c:pt>
                <c:pt idx="2026">
                  <c:v>42205</c:v>
                </c:pt>
                <c:pt idx="2027">
                  <c:v>42206</c:v>
                </c:pt>
                <c:pt idx="2028">
                  <c:v>42207</c:v>
                </c:pt>
                <c:pt idx="2029">
                  <c:v>42208</c:v>
                </c:pt>
                <c:pt idx="2030">
                  <c:v>42209</c:v>
                </c:pt>
                <c:pt idx="2031">
                  <c:v>42210</c:v>
                </c:pt>
                <c:pt idx="2032">
                  <c:v>42211</c:v>
                </c:pt>
                <c:pt idx="2033">
                  <c:v>42212</c:v>
                </c:pt>
                <c:pt idx="2034">
                  <c:v>42213</c:v>
                </c:pt>
                <c:pt idx="2035">
                  <c:v>42214</c:v>
                </c:pt>
                <c:pt idx="2036">
                  <c:v>42215</c:v>
                </c:pt>
                <c:pt idx="2037">
                  <c:v>42216</c:v>
                </c:pt>
                <c:pt idx="2038">
                  <c:v>42217</c:v>
                </c:pt>
                <c:pt idx="2039">
                  <c:v>42218</c:v>
                </c:pt>
                <c:pt idx="2040">
                  <c:v>42219</c:v>
                </c:pt>
                <c:pt idx="2041">
                  <c:v>42220</c:v>
                </c:pt>
                <c:pt idx="2042">
                  <c:v>42221</c:v>
                </c:pt>
                <c:pt idx="2043">
                  <c:v>42222</c:v>
                </c:pt>
                <c:pt idx="2044">
                  <c:v>42223</c:v>
                </c:pt>
                <c:pt idx="2045">
                  <c:v>42224</c:v>
                </c:pt>
                <c:pt idx="2046">
                  <c:v>42225</c:v>
                </c:pt>
                <c:pt idx="2047">
                  <c:v>42226</c:v>
                </c:pt>
                <c:pt idx="2048">
                  <c:v>42227</c:v>
                </c:pt>
                <c:pt idx="2049">
                  <c:v>42228</c:v>
                </c:pt>
                <c:pt idx="2050">
                  <c:v>42229</c:v>
                </c:pt>
                <c:pt idx="2051">
                  <c:v>42230</c:v>
                </c:pt>
                <c:pt idx="2052">
                  <c:v>42231</c:v>
                </c:pt>
                <c:pt idx="2053">
                  <c:v>42232</c:v>
                </c:pt>
                <c:pt idx="2054">
                  <c:v>42233</c:v>
                </c:pt>
                <c:pt idx="2055">
                  <c:v>42234</c:v>
                </c:pt>
                <c:pt idx="2056">
                  <c:v>42235</c:v>
                </c:pt>
                <c:pt idx="2057">
                  <c:v>42236</c:v>
                </c:pt>
                <c:pt idx="2058">
                  <c:v>42237</c:v>
                </c:pt>
                <c:pt idx="2059">
                  <c:v>42238</c:v>
                </c:pt>
                <c:pt idx="2060">
                  <c:v>42239</c:v>
                </c:pt>
                <c:pt idx="2061">
                  <c:v>42240</c:v>
                </c:pt>
                <c:pt idx="2062">
                  <c:v>42241</c:v>
                </c:pt>
                <c:pt idx="2063">
                  <c:v>42242</c:v>
                </c:pt>
                <c:pt idx="2064">
                  <c:v>42243</c:v>
                </c:pt>
                <c:pt idx="2065">
                  <c:v>42244</c:v>
                </c:pt>
                <c:pt idx="2066">
                  <c:v>42245</c:v>
                </c:pt>
                <c:pt idx="2067">
                  <c:v>42246</c:v>
                </c:pt>
                <c:pt idx="2068">
                  <c:v>42247</c:v>
                </c:pt>
                <c:pt idx="2069">
                  <c:v>42248</c:v>
                </c:pt>
                <c:pt idx="2070">
                  <c:v>42249</c:v>
                </c:pt>
                <c:pt idx="2071">
                  <c:v>42250</c:v>
                </c:pt>
                <c:pt idx="2072">
                  <c:v>42251</c:v>
                </c:pt>
                <c:pt idx="2073">
                  <c:v>42252</c:v>
                </c:pt>
                <c:pt idx="2074">
                  <c:v>42253</c:v>
                </c:pt>
                <c:pt idx="2075">
                  <c:v>42254</c:v>
                </c:pt>
                <c:pt idx="2076">
                  <c:v>42255</c:v>
                </c:pt>
                <c:pt idx="2077">
                  <c:v>42256</c:v>
                </c:pt>
                <c:pt idx="2078">
                  <c:v>42257</c:v>
                </c:pt>
                <c:pt idx="2079">
                  <c:v>42258</c:v>
                </c:pt>
                <c:pt idx="2080">
                  <c:v>42259</c:v>
                </c:pt>
                <c:pt idx="2081">
                  <c:v>42260</c:v>
                </c:pt>
                <c:pt idx="2082">
                  <c:v>42261</c:v>
                </c:pt>
                <c:pt idx="2083">
                  <c:v>42262</c:v>
                </c:pt>
                <c:pt idx="2084">
                  <c:v>42263</c:v>
                </c:pt>
                <c:pt idx="2085">
                  <c:v>42264</c:v>
                </c:pt>
                <c:pt idx="2086">
                  <c:v>42265</c:v>
                </c:pt>
                <c:pt idx="2087">
                  <c:v>42266</c:v>
                </c:pt>
                <c:pt idx="2088">
                  <c:v>42267</c:v>
                </c:pt>
                <c:pt idx="2089">
                  <c:v>42268</c:v>
                </c:pt>
                <c:pt idx="2090">
                  <c:v>42269</c:v>
                </c:pt>
                <c:pt idx="2091">
                  <c:v>42270</c:v>
                </c:pt>
                <c:pt idx="2092">
                  <c:v>42271</c:v>
                </c:pt>
                <c:pt idx="2093">
                  <c:v>42272</c:v>
                </c:pt>
                <c:pt idx="2094">
                  <c:v>42273</c:v>
                </c:pt>
                <c:pt idx="2095">
                  <c:v>42274</c:v>
                </c:pt>
                <c:pt idx="2096">
                  <c:v>42275</c:v>
                </c:pt>
                <c:pt idx="2097">
                  <c:v>42276</c:v>
                </c:pt>
                <c:pt idx="2098">
                  <c:v>42277</c:v>
                </c:pt>
                <c:pt idx="2099">
                  <c:v>42278</c:v>
                </c:pt>
                <c:pt idx="2100">
                  <c:v>42279</c:v>
                </c:pt>
                <c:pt idx="2101">
                  <c:v>42280</c:v>
                </c:pt>
                <c:pt idx="2102">
                  <c:v>42281</c:v>
                </c:pt>
                <c:pt idx="2103">
                  <c:v>42282</c:v>
                </c:pt>
                <c:pt idx="2104">
                  <c:v>42283</c:v>
                </c:pt>
                <c:pt idx="2105">
                  <c:v>42284</c:v>
                </c:pt>
                <c:pt idx="2106">
                  <c:v>42285</c:v>
                </c:pt>
                <c:pt idx="2107">
                  <c:v>42286</c:v>
                </c:pt>
                <c:pt idx="2108">
                  <c:v>42287</c:v>
                </c:pt>
                <c:pt idx="2109">
                  <c:v>42288</c:v>
                </c:pt>
                <c:pt idx="2110">
                  <c:v>42289</c:v>
                </c:pt>
                <c:pt idx="2111">
                  <c:v>42290</c:v>
                </c:pt>
                <c:pt idx="2112">
                  <c:v>42291</c:v>
                </c:pt>
                <c:pt idx="2113">
                  <c:v>42292</c:v>
                </c:pt>
                <c:pt idx="2114">
                  <c:v>42293</c:v>
                </c:pt>
                <c:pt idx="2115">
                  <c:v>42294</c:v>
                </c:pt>
                <c:pt idx="2116">
                  <c:v>42295</c:v>
                </c:pt>
                <c:pt idx="2117">
                  <c:v>42296</c:v>
                </c:pt>
                <c:pt idx="2118">
                  <c:v>42297</c:v>
                </c:pt>
                <c:pt idx="2119">
                  <c:v>42298</c:v>
                </c:pt>
                <c:pt idx="2120">
                  <c:v>42299</c:v>
                </c:pt>
                <c:pt idx="2121">
                  <c:v>42300</c:v>
                </c:pt>
                <c:pt idx="2122">
                  <c:v>42301</c:v>
                </c:pt>
                <c:pt idx="2123">
                  <c:v>42302</c:v>
                </c:pt>
                <c:pt idx="2124">
                  <c:v>42303</c:v>
                </c:pt>
                <c:pt idx="2125">
                  <c:v>42304</c:v>
                </c:pt>
                <c:pt idx="2126">
                  <c:v>42305</c:v>
                </c:pt>
                <c:pt idx="2127">
                  <c:v>42306</c:v>
                </c:pt>
                <c:pt idx="2128">
                  <c:v>42307</c:v>
                </c:pt>
                <c:pt idx="2129">
                  <c:v>42308</c:v>
                </c:pt>
                <c:pt idx="2130">
                  <c:v>42309</c:v>
                </c:pt>
                <c:pt idx="2131">
                  <c:v>42310</c:v>
                </c:pt>
                <c:pt idx="2132">
                  <c:v>42311</c:v>
                </c:pt>
                <c:pt idx="2133">
                  <c:v>42312</c:v>
                </c:pt>
                <c:pt idx="2134">
                  <c:v>42313</c:v>
                </c:pt>
                <c:pt idx="2135">
                  <c:v>42314</c:v>
                </c:pt>
                <c:pt idx="2136">
                  <c:v>42315</c:v>
                </c:pt>
                <c:pt idx="2137">
                  <c:v>42316</c:v>
                </c:pt>
                <c:pt idx="2138">
                  <c:v>42317</c:v>
                </c:pt>
                <c:pt idx="2139">
                  <c:v>42318</c:v>
                </c:pt>
                <c:pt idx="2140">
                  <c:v>42319</c:v>
                </c:pt>
                <c:pt idx="2141">
                  <c:v>42320</c:v>
                </c:pt>
                <c:pt idx="2142">
                  <c:v>42321</c:v>
                </c:pt>
                <c:pt idx="2143">
                  <c:v>42322</c:v>
                </c:pt>
                <c:pt idx="2144">
                  <c:v>42323</c:v>
                </c:pt>
                <c:pt idx="2145">
                  <c:v>42324</c:v>
                </c:pt>
                <c:pt idx="2146">
                  <c:v>42325</c:v>
                </c:pt>
                <c:pt idx="2147">
                  <c:v>42326</c:v>
                </c:pt>
                <c:pt idx="2148">
                  <c:v>42327</c:v>
                </c:pt>
                <c:pt idx="2149">
                  <c:v>42328</c:v>
                </c:pt>
                <c:pt idx="2150">
                  <c:v>42329</c:v>
                </c:pt>
                <c:pt idx="2151">
                  <c:v>42330</c:v>
                </c:pt>
                <c:pt idx="2152">
                  <c:v>42331</c:v>
                </c:pt>
                <c:pt idx="2153">
                  <c:v>42332</c:v>
                </c:pt>
                <c:pt idx="2154">
                  <c:v>42333</c:v>
                </c:pt>
                <c:pt idx="2155">
                  <c:v>42334</c:v>
                </c:pt>
                <c:pt idx="2156">
                  <c:v>42335</c:v>
                </c:pt>
                <c:pt idx="2157">
                  <c:v>42336</c:v>
                </c:pt>
                <c:pt idx="2158">
                  <c:v>42337</c:v>
                </c:pt>
                <c:pt idx="2159">
                  <c:v>42338</c:v>
                </c:pt>
                <c:pt idx="2160">
                  <c:v>42339</c:v>
                </c:pt>
                <c:pt idx="2161">
                  <c:v>42340</c:v>
                </c:pt>
                <c:pt idx="2162">
                  <c:v>42341</c:v>
                </c:pt>
                <c:pt idx="2163">
                  <c:v>42342</c:v>
                </c:pt>
                <c:pt idx="2164">
                  <c:v>42343</c:v>
                </c:pt>
                <c:pt idx="2165">
                  <c:v>42344</c:v>
                </c:pt>
                <c:pt idx="2166">
                  <c:v>42345</c:v>
                </c:pt>
                <c:pt idx="2167">
                  <c:v>42346</c:v>
                </c:pt>
                <c:pt idx="2168">
                  <c:v>42347</c:v>
                </c:pt>
                <c:pt idx="2169">
                  <c:v>42348</c:v>
                </c:pt>
                <c:pt idx="2170">
                  <c:v>42349</c:v>
                </c:pt>
                <c:pt idx="2171">
                  <c:v>42350</c:v>
                </c:pt>
                <c:pt idx="2172">
                  <c:v>42351</c:v>
                </c:pt>
                <c:pt idx="2173">
                  <c:v>42352</c:v>
                </c:pt>
                <c:pt idx="2174">
                  <c:v>42353</c:v>
                </c:pt>
                <c:pt idx="2175">
                  <c:v>42354</c:v>
                </c:pt>
                <c:pt idx="2176">
                  <c:v>42355</c:v>
                </c:pt>
                <c:pt idx="2177">
                  <c:v>42356</c:v>
                </c:pt>
                <c:pt idx="2178">
                  <c:v>42357</c:v>
                </c:pt>
                <c:pt idx="2179">
                  <c:v>42358</c:v>
                </c:pt>
                <c:pt idx="2180">
                  <c:v>42359</c:v>
                </c:pt>
                <c:pt idx="2181">
                  <c:v>42360</c:v>
                </c:pt>
                <c:pt idx="2182">
                  <c:v>42361</c:v>
                </c:pt>
                <c:pt idx="2183">
                  <c:v>42362</c:v>
                </c:pt>
                <c:pt idx="2184">
                  <c:v>42363</c:v>
                </c:pt>
                <c:pt idx="2185">
                  <c:v>42364</c:v>
                </c:pt>
                <c:pt idx="2186">
                  <c:v>42365</c:v>
                </c:pt>
                <c:pt idx="2187">
                  <c:v>42366</c:v>
                </c:pt>
                <c:pt idx="2188">
                  <c:v>42367</c:v>
                </c:pt>
                <c:pt idx="2189">
                  <c:v>42368</c:v>
                </c:pt>
                <c:pt idx="2190">
                  <c:v>42369</c:v>
                </c:pt>
                <c:pt idx="2191">
                  <c:v>42370</c:v>
                </c:pt>
                <c:pt idx="2192">
                  <c:v>42371</c:v>
                </c:pt>
                <c:pt idx="2193">
                  <c:v>42372</c:v>
                </c:pt>
                <c:pt idx="2194">
                  <c:v>42373</c:v>
                </c:pt>
                <c:pt idx="2195">
                  <c:v>42374</c:v>
                </c:pt>
                <c:pt idx="2196">
                  <c:v>42375</c:v>
                </c:pt>
                <c:pt idx="2197">
                  <c:v>42376</c:v>
                </c:pt>
                <c:pt idx="2198">
                  <c:v>42377</c:v>
                </c:pt>
              </c:numCache>
            </c:numRef>
          </c:xVal>
          <c:yVal>
            <c:numRef>
              <c:f>Sheet1!$B$2:$B$2200</c:f>
              <c:numCache>
                <c:formatCode>General</c:formatCode>
                <c:ptCount val="2199"/>
                <c:pt idx="0">
                  <c:v>1315</c:v>
                </c:pt>
                <c:pt idx="1">
                  <c:v>1315</c:v>
                </c:pt>
                <c:pt idx="2">
                  <c:v>1315</c:v>
                </c:pt>
                <c:pt idx="3">
                  <c:v>1315</c:v>
                </c:pt>
                <c:pt idx="4">
                  <c:v>1315</c:v>
                </c:pt>
                <c:pt idx="5">
                  <c:v>1315</c:v>
                </c:pt>
                <c:pt idx="6">
                  <c:v>1315</c:v>
                </c:pt>
                <c:pt idx="7">
                  <c:v>1315</c:v>
                </c:pt>
                <c:pt idx="8">
                  <c:v>1315</c:v>
                </c:pt>
                <c:pt idx="9">
                  <c:v>1315</c:v>
                </c:pt>
                <c:pt idx="10">
                  <c:v>1315</c:v>
                </c:pt>
                <c:pt idx="11">
                  <c:v>1315</c:v>
                </c:pt>
                <c:pt idx="12">
                  <c:v>1315</c:v>
                </c:pt>
                <c:pt idx="13">
                  <c:v>1315</c:v>
                </c:pt>
                <c:pt idx="14">
                  <c:v>1315</c:v>
                </c:pt>
                <c:pt idx="15">
                  <c:v>1315</c:v>
                </c:pt>
                <c:pt idx="16">
                  <c:v>1315</c:v>
                </c:pt>
                <c:pt idx="17">
                  <c:v>1315</c:v>
                </c:pt>
                <c:pt idx="18">
                  <c:v>1315</c:v>
                </c:pt>
                <c:pt idx="19">
                  <c:v>1315</c:v>
                </c:pt>
                <c:pt idx="20">
                  <c:v>1390</c:v>
                </c:pt>
                <c:pt idx="21">
                  <c:v>1390</c:v>
                </c:pt>
                <c:pt idx="22">
                  <c:v>1390</c:v>
                </c:pt>
                <c:pt idx="23">
                  <c:v>1390</c:v>
                </c:pt>
                <c:pt idx="24">
                  <c:v>1390</c:v>
                </c:pt>
                <c:pt idx="25">
                  <c:v>1400</c:v>
                </c:pt>
                <c:pt idx="26">
                  <c:v>1400</c:v>
                </c:pt>
                <c:pt idx="27">
                  <c:v>1400</c:v>
                </c:pt>
                <c:pt idx="28">
                  <c:v>1400</c:v>
                </c:pt>
                <c:pt idx="29">
                  <c:v>1400</c:v>
                </c:pt>
                <c:pt idx="30">
                  <c:v>1400</c:v>
                </c:pt>
                <c:pt idx="31">
                  <c:v>1400</c:v>
                </c:pt>
                <c:pt idx="32">
                  <c:v>1400</c:v>
                </c:pt>
                <c:pt idx="33">
                  <c:v>1400</c:v>
                </c:pt>
                <c:pt idx="34">
                  <c:v>1500</c:v>
                </c:pt>
                <c:pt idx="35">
                  <c:v>1500</c:v>
                </c:pt>
                <c:pt idx="36">
                  <c:v>1500</c:v>
                </c:pt>
                <c:pt idx="37">
                  <c:v>1500</c:v>
                </c:pt>
                <c:pt idx="38">
                  <c:v>1500</c:v>
                </c:pt>
                <c:pt idx="39">
                  <c:v>1500</c:v>
                </c:pt>
                <c:pt idx="40">
                  <c:v>1500</c:v>
                </c:pt>
                <c:pt idx="41">
                  <c:v>1500</c:v>
                </c:pt>
                <c:pt idx="42">
                  <c:v>1500</c:v>
                </c:pt>
                <c:pt idx="43">
                  <c:v>1500</c:v>
                </c:pt>
                <c:pt idx="44">
                  <c:v>1500</c:v>
                </c:pt>
                <c:pt idx="45">
                  <c:v>1500</c:v>
                </c:pt>
                <c:pt idx="46">
                  <c:v>1500</c:v>
                </c:pt>
                <c:pt idx="47">
                  <c:v>1500</c:v>
                </c:pt>
                <c:pt idx="48">
                  <c:v>1500</c:v>
                </c:pt>
                <c:pt idx="49">
                  <c:v>1500</c:v>
                </c:pt>
                <c:pt idx="50">
                  <c:v>1500</c:v>
                </c:pt>
                <c:pt idx="51">
                  <c:v>1500</c:v>
                </c:pt>
                <c:pt idx="52">
                  <c:v>1500</c:v>
                </c:pt>
                <c:pt idx="53">
                  <c:v>1500</c:v>
                </c:pt>
                <c:pt idx="54">
                  <c:v>1500</c:v>
                </c:pt>
                <c:pt idx="55">
                  <c:v>1500</c:v>
                </c:pt>
                <c:pt idx="56">
                  <c:v>1500</c:v>
                </c:pt>
                <c:pt idx="57">
                  <c:v>1500</c:v>
                </c:pt>
                <c:pt idx="58">
                  <c:v>1500</c:v>
                </c:pt>
                <c:pt idx="59">
                  <c:v>1500</c:v>
                </c:pt>
                <c:pt idx="60">
                  <c:v>1550</c:v>
                </c:pt>
                <c:pt idx="61">
                  <c:v>1550</c:v>
                </c:pt>
                <c:pt idx="62">
                  <c:v>1550</c:v>
                </c:pt>
                <c:pt idx="63">
                  <c:v>1550</c:v>
                </c:pt>
                <c:pt idx="64">
                  <c:v>1550</c:v>
                </c:pt>
                <c:pt idx="65">
                  <c:v>1550</c:v>
                </c:pt>
                <c:pt idx="66">
                  <c:v>1550</c:v>
                </c:pt>
                <c:pt idx="67">
                  <c:v>1525</c:v>
                </c:pt>
                <c:pt idx="68">
                  <c:v>1525</c:v>
                </c:pt>
                <c:pt idx="69">
                  <c:v>1500</c:v>
                </c:pt>
                <c:pt idx="70">
                  <c:v>1500</c:v>
                </c:pt>
                <c:pt idx="71">
                  <c:v>1500</c:v>
                </c:pt>
                <c:pt idx="72">
                  <c:v>1500</c:v>
                </c:pt>
                <c:pt idx="73">
                  <c:v>1500</c:v>
                </c:pt>
                <c:pt idx="74">
                  <c:v>1450</c:v>
                </c:pt>
                <c:pt idx="75">
                  <c:v>1450</c:v>
                </c:pt>
                <c:pt idx="76">
                  <c:v>1450</c:v>
                </c:pt>
                <c:pt idx="77">
                  <c:v>1450</c:v>
                </c:pt>
                <c:pt idx="78">
                  <c:v>1450</c:v>
                </c:pt>
                <c:pt idx="79">
                  <c:v>1450</c:v>
                </c:pt>
                <c:pt idx="80">
                  <c:v>1450</c:v>
                </c:pt>
                <c:pt idx="81">
                  <c:v>1450</c:v>
                </c:pt>
                <c:pt idx="82">
                  <c:v>1450</c:v>
                </c:pt>
                <c:pt idx="83">
                  <c:v>1450</c:v>
                </c:pt>
                <c:pt idx="84">
                  <c:v>1450</c:v>
                </c:pt>
                <c:pt idx="85">
                  <c:v>1450</c:v>
                </c:pt>
                <c:pt idx="86">
                  <c:v>1450</c:v>
                </c:pt>
                <c:pt idx="87">
                  <c:v>1425</c:v>
                </c:pt>
                <c:pt idx="88">
                  <c:v>1425</c:v>
                </c:pt>
                <c:pt idx="89">
                  <c:v>1425</c:v>
                </c:pt>
                <c:pt idx="90">
                  <c:v>1425</c:v>
                </c:pt>
                <c:pt idx="91">
                  <c:v>1425</c:v>
                </c:pt>
                <c:pt idx="92">
                  <c:v>1425</c:v>
                </c:pt>
                <c:pt idx="93">
                  <c:v>1425</c:v>
                </c:pt>
                <c:pt idx="94">
                  <c:v>1425</c:v>
                </c:pt>
                <c:pt idx="95">
                  <c:v>1400</c:v>
                </c:pt>
                <c:pt idx="96">
                  <c:v>1400</c:v>
                </c:pt>
                <c:pt idx="97">
                  <c:v>1400</c:v>
                </c:pt>
                <c:pt idx="98">
                  <c:v>1400</c:v>
                </c:pt>
                <c:pt idx="99">
                  <c:v>1400</c:v>
                </c:pt>
                <c:pt idx="100">
                  <c:v>1400</c:v>
                </c:pt>
                <c:pt idx="101">
                  <c:v>1400</c:v>
                </c:pt>
                <c:pt idx="102">
                  <c:v>1400</c:v>
                </c:pt>
                <c:pt idx="103">
                  <c:v>1400</c:v>
                </c:pt>
                <c:pt idx="104">
                  <c:v>1375</c:v>
                </c:pt>
                <c:pt idx="105">
                  <c:v>1375</c:v>
                </c:pt>
                <c:pt idx="106">
                  <c:v>1375</c:v>
                </c:pt>
                <c:pt idx="107">
                  <c:v>1375</c:v>
                </c:pt>
                <c:pt idx="108">
                  <c:v>1375</c:v>
                </c:pt>
                <c:pt idx="109">
                  <c:v>1375</c:v>
                </c:pt>
                <c:pt idx="110">
                  <c:v>1375</c:v>
                </c:pt>
                <c:pt idx="111">
                  <c:v>1375</c:v>
                </c:pt>
                <c:pt idx="112">
                  <c:v>1375</c:v>
                </c:pt>
                <c:pt idx="113">
                  <c:v>1375</c:v>
                </c:pt>
                <c:pt idx="114">
                  <c:v>1375</c:v>
                </c:pt>
                <c:pt idx="115">
                  <c:v>1375</c:v>
                </c:pt>
                <c:pt idx="116">
                  <c:v>1375</c:v>
                </c:pt>
                <c:pt idx="117">
                  <c:v>1375</c:v>
                </c:pt>
                <c:pt idx="118">
                  <c:v>1375</c:v>
                </c:pt>
                <c:pt idx="119">
                  <c:v>1375</c:v>
                </c:pt>
                <c:pt idx="120">
                  <c:v>1375</c:v>
                </c:pt>
                <c:pt idx="121">
                  <c:v>1375</c:v>
                </c:pt>
                <c:pt idx="122">
                  <c:v>1375</c:v>
                </c:pt>
                <c:pt idx="123">
                  <c:v>1375</c:v>
                </c:pt>
                <c:pt idx="124">
                  <c:v>1275</c:v>
                </c:pt>
                <c:pt idx="125">
                  <c:v>1275</c:v>
                </c:pt>
                <c:pt idx="126">
                  <c:v>1275</c:v>
                </c:pt>
                <c:pt idx="127">
                  <c:v>1275</c:v>
                </c:pt>
                <c:pt idx="128">
                  <c:v>1275</c:v>
                </c:pt>
                <c:pt idx="129">
                  <c:v>1275</c:v>
                </c:pt>
                <c:pt idx="130">
                  <c:v>1275</c:v>
                </c:pt>
                <c:pt idx="131">
                  <c:v>1275</c:v>
                </c:pt>
                <c:pt idx="132">
                  <c:v>1275</c:v>
                </c:pt>
                <c:pt idx="133">
                  <c:v>1275</c:v>
                </c:pt>
                <c:pt idx="134">
                  <c:v>1275</c:v>
                </c:pt>
                <c:pt idx="135">
                  <c:v>1275</c:v>
                </c:pt>
                <c:pt idx="136">
                  <c:v>1275</c:v>
                </c:pt>
                <c:pt idx="137">
                  <c:v>1275</c:v>
                </c:pt>
                <c:pt idx="138">
                  <c:v>1275</c:v>
                </c:pt>
                <c:pt idx="139">
                  <c:v>1275</c:v>
                </c:pt>
                <c:pt idx="140">
                  <c:v>1275</c:v>
                </c:pt>
                <c:pt idx="141">
                  <c:v>1275</c:v>
                </c:pt>
                <c:pt idx="142">
                  <c:v>1275</c:v>
                </c:pt>
                <c:pt idx="143">
                  <c:v>1275</c:v>
                </c:pt>
                <c:pt idx="144">
                  <c:v>1275</c:v>
                </c:pt>
                <c:pt idx="145">
                  <c:v>1275</c:v>
                </c:pt>
                <c:pt idx="146">
                  <c:v>1275</c:v>
                </c:pt>
                <c:pt idx="147">
                  <c:v>1275</c:v>
                </c:pt>
                <c:pt idx="148">
                  <c:v>1275</c:v>
                </c:pt>
                <c:pt idx="149">
                  <c:v>1275</c:v>
                </c:pt>
                <c:pt idx="150">
                  <c:v>1275</c:v>
                </c:pt>
                <c:pt idx="151">
                  <c:v>1275</c:v>
                </c:pt>
                <c:pt idx="152">
                  <c:v>1365</c:v>
                </c:pt>
                <c:pt idx="153">
                  <c:v>1365</c:v>
                </c:pt>
                <c:pt idx="154">
                  <c:v>1365</c:v>
                </c:pt>
                <c:pt idx="155">
                  <c:v>1365</c:v>
                </c:pt>
                <c:pt idx="156">
                  <c:v>1365</c:v>
                </c:pt>
                <c:pt idx="157">
                  <c:v>1365</c:v>
                </c:pt>
                <c:pt idx="158">
                  <c:v>1365</c:v>
                </c:pt>
                <c:pt idx="159">
                  <c:v>1365</c:v>
                </c:pt>
                <c:pt idx="160">
                  <c:v>1250</c:v>
                </c:pt>
                <c:pt idx="161">
                  <c:v>1250</c:v>
                </c:pt>
                <c:pt idx="162">
                  <c:v>1250</c:v>
                </c:pt>
                <c:pt idx="163">
                  <c:v>1250</c:v>
                </c:pt>
                <c:pt idx="164">
                  <c:v>1250</c:v>
                </c:pt>
                <c:pt idx="165">
                  <c:v>1250</c:v>
                </c:pt>
                <c:pt idx="166">
                  <c:v>1250</c:v>
                </c:pt>
                <c:pt idx="167">
                  <c:v>1250</c:v>
                </c:pt>
                <c:pt idx="168">
                  <c:v>1250</c:v>
                </c:pt>
                <c:pt idx="169">
                  <c:v>1250</c:v>
                </c:pt>
                <c:pt idx="170">
                  <c:v>1250</c:v>
                </c:pt>
                <c:pt idx="171">
                  <c:v>1250</c:v>
                </c:pt>
                <c:pt idx="172">
                  <c:v>1250</c:v>
                </c:pt>
                <c:pt idx="173">
                  <c:v>1250</c:v>
                </c:pt>
                <c:pt idx="174">
                  <c:v>1275</c:v>
                </c:pt>
                <c:pt idx="175">
                  <c:v>1275</c:v>
                </c:pt>
                <c:pt idx="176">
                  <c:v>1275</c:v>
                </c:pt>
                <c:pt idx="177">
                  <c:v>1275</c:v>
                </c:pt>
                <c:pt idx="178">
                  <c:v>1275</c:v>
                </c:pt>
                <c:pt idx="179">
                  <c:v>1275</c:v>
                </c:pt>
                <c:pt idx="180">
                  <c:v>1300</c:v>
                </c:pt>
                <c:pt idx="181">
                  <c:v>1300</c:v>
                </c:pt>
                <c:pt idx="182">
                  <c:v>1300</c:v>
                </c:pt>
                <c:pt idx="183">
                  <c:v>1300</c:v>
                </c:pt>
                <c:pt idx="184">
                  <c:v>1300</c:v>
                </c:pt>
                <c:pt idx="185">
                  <c:v>1300</c:v>
                </c:pt>
                <c:pt idx="186">
                  <c:v>1300</c:v>
                </c:pt>
                <c:pt idx="187">
                  <c:v>1300</c:v>
                </c:pt>
                <c:pt idx="188">
                  <c:v>1300</c:v>
                </c:pt>
                <c:pt idx="189">
                  <c:v>1300</c:v>
                </c:pt>
                <c:pt idx="190">
                  <c:v>1300</c:v>
                </c:pt>
                <c:pt idx="191">
                  <c:v>1300</c:v>
                </c:pt>
                <c:pt idx="192">
                  <c:v>1300</c:v>
                </c:pt>
                <c:pt idx="193">
                  <c:v>1300</c:v>
                </c:pt>
                <c:pt idx="194">
                  <c:v>1300</c:v>
                </c:pt>
                <c:pt idx="195">
                  <c:v>1300</c:v>
                </c:pt>
                <c:pt idx="196">
                  <c:v>1315</c:v>
                </c:pt>
                <c:pt idx="197">
                  <c:v>1315</c:v>
                </c:pt>
                <c:pt idx="198">
                  <c:v>1315</c:v>
                </c:pt>
                <c:pt idx="199">
                  <c:v>1315</c:v>
                </c:pt>
                <c:pt idx="200">
                  <c:v>1315</c:v>
                </c:pt>
                <c:pt idx="201">
                  <c:v>1315</c:v>
                </c:pt>
                <c:pt idx="202">
                  <c:v>1315</c:v>
                </c:pt>
                <c:pt idx="203">
                  <c:v>1315</c:v>
                </c:pt>
                <c:pt idx="204">
                  <c:v>1315</c:v>
                </c:pt>
                <c:pt idx="205">
                  <c:v>1315</c:v>
                </c:pt>
                <c:pt idx="206">
                  <c:v>1315</c:v>
                </c:pt>
                <c:pt idx="207">
                  <c:v>1315</c:v>
                </c:pt>
                <c:pt idx="208">
                  <c:v>1315</c:v>
                </c:pt>
                <c:pt idx="209">
                  <c:v>1315</c:v>
                </c:pt>
                <c:pt idx="210">
                  <c:v>1315</c:v>
                </c:pt>
                <c:pt idx="211">
                  <c:v>1315</c:v>
                </c:pt>
                <c:pt idx="212">
                  <c:v>1315</c:v>
                </c:pt>
                <c:pt idx="213">
                  <c:v>1315</c:v>
                </c:pt>
                <c:pt idx="214">
                  <c:v>1345</c:v>
                </c:pt>
                <c:pt idx="215">
                  <c:v>1345</c:v>
                </c:pt>
                <c:pt idx="216">
                  <c:v>1345</c:v>
                </c:pt>
                <c:pt idx="217">
                  <c:v>1345</c:v>
                </c:pt>
                <c:pt idx="218">
                  <c:v>1345</c:v>
                </c:pt>
                <c:pt idx="219">
                  <c:v>1345</c:v>
                </c:pt>
                <c:pt idx="220">
                  <c:v>1345</c:v>
                </c:pt>
                <c:pt idx="221">
                  <c:v>1290</c:v>
                </c:pt>
                <c:pt idx="222">
                  <c:v>1280</c:v>
                </c:pt>
                <c:pt idx="223">
                  <c:v>1280</c:v>
                </c:pt>
                <c:pt idx="224">
                  <c:v>1280</c:v>
                </c:pt>
                <c:pt idx="225">
                  <c:v>1280</c:v>
                </c:pt>
                <c:pt idx="226">
                  <c:v>1280</c:v>
                </c:pt>
                <c:pt idx="227">
                  <c:v>1280</c:v>
                </c:pt>
                <c:pt idx="228">
                  <c:v>1280</c:v>
                </c:pt>
                <c:pt idx="229">
                  <c:v>1270</c:v>
                </c:pt>
                <c:pt idx="230">
                  <c:v>1240</c:v>
                </c:pt>
                <c:pt idx="231">
                  <c:v>1240</c:v>
                </c:pt>
                <c:pt idx="232">
                  <c:v>1240</c:v>
                </c:pt>
                <c:pt idx="233">
                  <c:v>1240</c:v>
                </c:pt>
                <c:pt idx="234">
                  <c:v>1240</c:v>
                </c:pt>
                <c:pt idx="235">
                  <c:v>1240</c:v>
                </c:pt>
                <c:pt idx="236">
                  <c:v>1240</c:v>
                </c:pt>
                <c:pt idx="237">
                  <c:v>1260</c:v>
                </c:pt>
                <c:pt idx="238">
                  <c:v>1260</c:v>
                </c:pt>
                <c:pt idx="239">
                  <c:v>1260</c:v>
                </c:pt>
                <c:pt idx="240">
                  <c:v>1260</c:v>
                </c:pt>
                <c:pt idx="241">
                  <c:v>1350</c:v>
                </c:pt>
                <c:pt idx="242">
                  <c:v>1350</c:v>
                </c:pt>
                <c:pt idx="243">
                  <c:v>1350</c:v>
                </c:pt>
                <c:pt idx="244">
                  <c:v>1350</c:v>
                </c:pt>
                <c:pt idx="245">
                  <c:v>1350</c:v>
                </c:pt>
                <c:pt idx="246">
                  <c:v>1350</c:v>
                </c:pt>
                <c:pt idx="247">
                  <c:v>1350</c:v>
                </c:pt>
                <c:pt idx="248">
                  <c:v>1350</c:v>
                </c:pt>
                <c:pt idx="249">
                  <c:v>1350</c:v>
                </c:pt>
                <c:pt idx="250">
                  <c:v>1350</c:v>
                </c:pt>
                <c:pt idx="251">
                  <c:v>1385</c:v>
                </c:pt>
                <c:pt idx="252">
                  <c:v>1385</c:v>
                </c:pt>
                <c:pt idx="253">
                  <c:v>1385</c:v>
                </c:pt>
                <c:pt idx="254">
                  <c:v>1385</c:v>
                </c:pt>
                <c:pt idx="255">
                  <c:v>1385</c:v>
                </c:pt>
                <c:pt idx="256">
                  <c:v>1385</c:v>
                </c:pt>
                <c:pt idx="257">
                  <c:v>1385</c:v>
                </c:pt>
                <c:pt idx="258">
                  <c:v>1385</c:v>
                </c:pt>
                <c:pt idx="259">
                  <c:v>1385</c:v>
                </c:pt>
                <c:pt idx="260">
                  <c:v>1385</c:v>
                </c:pt>
                <c:pt idx="261">
                  <c:v>1385</c:v>
                </c:pt>
                <c:pt idx="262">
                  <c:v>1385</c:v>
                </c:pt>
                <c:pt idx="263">
                  <c:v>1385</c:v>
                </c:pt>
                <c:pt idx="264">
                  <c:v>1385</c:v>
                </c:pt>
                <c:pt idx="265">
                  <c:v>1385</c:v>
                </c:pt>
                <c:pt idx="266">
                  <c:v>1385</c:v>
                </c:pt>
                <c:pt idx="267">
                  <c:v>1385</c:v>
                </c:pt>
                <c:pt idx="268">
                  <c:v>1385</c:v>
                </c:pt>
                <c:pt idx="269">
                  <c:v>1385</c:v>
                </c:pt>
                <c:pt idx="270">
                  <c:v>1450</c:v>
                </c:pt>
                <c:pt idx="271">
                  <c:v>1450</c:v>
                </c:pt>
                <c:pt idx="272">
                  <c:v>1450</c:v>
                </c:pt>
                <c:pt idx="273">
                  <c:v>1450</c:v>
                </c:pt>
                <c:pt idx="274">
                  <c:v>1450</c:v>
                </c:pt>
                <c:pt idx="275">
                  <c:v>1450</c:v>
                </c:pt>
                <c:pt idx="276">
                  <c:v>1450</c:v>
                </c:pt>
                <c:pt idx="277">
                  <c:v>1450</c:v>
                </c:pt>
                <c:pt idx="278">
                  <c:v>1450</c:v>
                </c:pt>
                <c:pt idx="279">
                  <c:v>1450</c:v>
                </c:pt>
                <c:pt idx="280">
                  <c:v>1450</c:v>
                </c:pt>
                <c:pt idx="281">
                  <c:v>1450</c:v>
                </c:pt>
                <c:pt idx="282">
                  <c:v>1450</c:v>
                </c:pt>
                <c:pt idx="283">
                  <c:v>1450</c:v>
                </c:pt>
                <c:pt idx="284">
                  <c:v>1450</c:v>
                </c:pt>
                <c:pt idx="285">
                  <c:v>1450</c:v>
                </c:pt>
                <c:pt idx="286">
                  <c:v>1550</c:v>
                </c:pt>
                <c:pt idx="287">
                  <c:v>1550</c:v>
                </c:pt>
                <c:pt idx="288">
                  <c:v>1550</c:v>
                </c:pt>
                <c:pt idx="289">
                  <c:v>1550</c:v>
                </c:pt>
                <c:pt idx="290">
                  <c:v>1690</c:v>
                </c:pt>
                <c:pt idx="291">
                  <c:v>1690</c:v>
                </c:pt>
                <c:pt idx="292">
                  <c:v>1900</c:v>
                </c:pt>
                <c:pt idx="293">
                  <c:v>1925</c:v>
                </c:pt>
                <c:pt idx="294">
                  <c:v>1925</c:v>
                </c:pt>
                <c:pt idx="295">
                  <c:v>1925</c:v>
                </c:pt>
                <c:pt idx="296">
                  <c:v>1925</c:v>
                </c:pt>
                <c:pt idx="297">
                  <c:v>2150</c:v>
                </c:pt>
                <c:pt idx="298">
                  <c:v>2300</c:v>
                </c:pt>
                <c:pt idx="299">
                  <c:v>2400</c:v>
                </c:pt>
                <c:pt idx="300">
                  <c:v>2550</c:v>
                </c:pt>
                <c:pt idx="301">
                  <c:v>2550</c:v>
                </c:pt>
                <c:pt idx="302">
                  <c:v>2550</c:v>
                </c:pt>
                <c:pt idx="303">
                  <c:v>2550</c:v>
                </c:pt>
                <c:pt idx="304">
                  <c:v>2550</c:v>
                </c:pt>
                <c:pt idx="305">
                  <c:v>2550</c:v>
                </c:pt>
                <c:pt idx="306">
                  <c:v>2550</c:v>
                </c:pt>
                <c:pt idx="307">
                  <c:v>2550</c:v>
                </c:pt>
                <c:pt idx="308">
                  <c:v>2550</c:v>
                </c:pt>
                <c:pt idx="309">
                  <c:v>2550</c:v>
                </c:pt>
                <c:pt idx="310">
                  <c:v>2550</c:v>
                </c:pt>
                <c:pt idx="311">
                  <c:v>2550</c:v>
                </c:pt>
                <c:pt idx="312">
                  <c:v>2550</c:v>
                </c:pt>
                <c:pt idx="313">
                  <c:v>2550</c:v>
                </c:pt>
                <c:pt idx="314">
                  <c:v>2500</c:v>
                </c:pt>
                <c:pt idx="315">
                  <c:v>2500</c:v>
                </c:pt>
                <c:pt idx="316">
                  <c:v>2500</c:v>
                </c:pt>
                <c:pt idx="317">
                  <c:v>2500</c:v>
                </c:pt>
                <c:pt idx="318">
                  <c:v>2500</c:v>
                </c:pt>
                <c:pt idx="319">
                  <c:v>2500</c:v>
                </c:pt>
                <c:pt idx="320">
                  <c:v>2500</c:v>
                </c:pt>
                <c:pt idx="321">
                  <c:v>2350</c:v>
                </c:pt>
                <c:pt idx="322">
                  <c:v>2350</c:v>
                </c:pt>
                <c:pt idx="323">
                  <c:v>2350</c:v>
                </c:pt>
                <c:pt idx="324">
                  <c:v>2350</c:v>
                </c:pt>
                <c:pt idx="325">
                  <c:v>2350</c:v>
                </c:pt>
                <c:pt idx="326">
                  <c:v>2350</c:v>
                </c:pt>
                <c:pt idx="327">
                  <c:v>2350</c:v>
                </c:pt>
                <c:pt idx="328">
                  <c:v>2350</c:v>
                </c:pt>
                <c:pt idx="329">
                  <c:v>2350</c:v>
                </c:pt>
                <c:pt idx="330">
                  <c:v>2350</c:v>
                </c:pt>
                <c:pt idx="331">
                  <c:v>2350</c:v>
                </c:pt>
                <c:pt idx="332">
                  <c:v>2350</c:v>
                </c:pt>
                <c:pt idx="333">
                  <c:v>2350</c:v>
                </c:pt>
                <c:pt idx="334">
                  <c:v>2350</c:v>
                </c:pt>
                <c:pt idx="335">
                  <c:v>2100</c:v>
                </c:pt>
                <c:pt idx="336">
                  <c:v>2100</c:v>
                </c:pt>
                <c:pt idx="337">
                  <c:v>2100</c:v>
                </c:pt>
                <c:pt idx="338">
                  <c:v>2100</c:v>
                </c:pt>
                <c:pt idx="339">
                  <c:v>2100</c:v>
                </c:pt>
                <c:pt idx="340">
                  <c:v>2100</c:v>
                </c:pt>
                <c:pt idx="341">
                  <c:v>2100</c:v>
                </c:pt>
                <c:pt idx="342">
                  <c:v>1800</c:v>
                </c:pt>
                <c:pt idx="343">
                  <c:v>1800</c:v>
                </c:pt>
                <c:pt idx="344">
                  <c:v>1800</c:v>
                </c:pt>
                <c:pt idx="345">
                  <c:v>1800</c:v>
                </c:pt>
                <c:pt idx="346">
                  <c:v>1800</c:v>
                </c:pt>
                <c:pt idx="347">
                  <c:v>1800</c:v>
                </c:pt>
                <c:pt idx="348">
                  <c:v>1800</c:v>
                </c:pt>
                <c:pt idx="349">
                  <c:v>1800</c:v>
                </c:pt>
                <c:pt idx="350">
                  <c:v>1800</c:v>
                </c:pt>
                <c:pt idx="351">
                  <c:v>1800</c:v>
                </c:pt>
                <c:pt idx="352">
                  <c:v>1800</c:v>
                </c:pt>
                <c:pt idx="353">
                  <c:v>1800</c:v>
                </c:pt>
                <c:pt idx="354">
                  <c:v>1800</c:v>
                </c:pt>
                <c:pt idx="355">
                  <c:v>1800</c:v>
                </c:pt>
                <c:pt idx="356">
                  <c:v>1750</c:v>
                </c:pt>
                <c:pt idx="357">
                  <c:v>1750</c:v>
                </c:pt>
                <c:pt idx="358">
                  <c:v>1750</c:v>
                </c:pt>
                <c:pt idx="359">
                  <c:v>1750</c:v>
                </c:pt>
                <c:pt idx="360">
                  <c:v>1750</c:v>
                </c:pt>
                <c:pt idx="361">
                  <c:v>1750</c:v>
                </c:pt>
                <c:pt idx="362">
                  <c:v>1750</c:v>
                </c:pt>
                <c:pt idx="363">
                  <c:v>1750</c:v>
                </c:pt>
                <c:pt idx="364">
                  <c:v>1750</c:v>
                </c:pt>
                <c:pt idx="365">
                  <c:v>1750</c:v>
                </c:pt>
                <c:pt idx="366">
                  <c:v>1750</c:v>
                </c:pt>
                <c:pt idx="367">
                  <c:v>1750</c:v>
                </c:pt>
                <c:pt idx="368">
                  <c:v>1750</c:v>
                </c:pt>
                <c:pt idx="369">
                  <c:v>1750</c:v>
                </c:pt>
                <c:pt idx="370">
                  <c:v>1775</c:v>
                </c:pt>
                <c:pt idx="371">
                  <c:v>1775</c:v>
                </c:pt>
                <c:pt idx="372">
                  <c:v>1775</c:v>
                </c:pt>
                <c:pt idx="373">
                  <c:v>1775</c:v>
                </c:pt>
                <c:pt idx="374">
                  <c:v>1775</c:v>
                </c:pt>
                <c:pt idx="375">
                  <c:v>1775</c:v>
                </c:pt>
                <c:pt idx="376">
                  <c:v>1775</c:v>
                </c:pt>
                <c:pt idx="377">
                  <c:v>1775</c:v>
                </c:pt>
                <c:pt idx="378">
                  <c:v>1775</c:v>
                </c:pt>
                <c:pt idx="379">
                  <c:v>1775</c:v>
                </c:pt>
                <c:pt idx="380">
                  <c:v>1775</c:v>
                </c:pt>
                <c:pt idx="381">
                  <c:v>1775</c:v>
                </c:pt>
                <c:pt idx="382">
                  <c:v>1775</c:v>
                </c:pt>
                <c:pt idx="383">
                  <c:v>1775</c:v>
                </c:pt>
                <c:pt idx="384">
                  <c:v>1775</c:v>
                </c:pt>
                <c:pt idx="385">
                  <c:v>1775</c:v>
                </c:pt>
                <c:pt idx="386">
                  <c:v>1775</c:v>
                </c:pt>
                <c:pt idx="387">
                  <c:v>1775</c:v>
                </c:pt>
                <c:pt idx="388">
                  <c:v>1775</c:v>
                </c:pt>
                <c:pt idx="389">
                  <c:v>1775</c:v>
                </c:pt>
                <c:pt idx="390">
                  <c:v>1775</c:v>
                </c:pt>
                <c:pt idx="391">
                  <c:v>1775</c:v>
                </c:pt>
                <c:pt idx="392">
                  <c:v>1775</c:v>
                </c:pt>
                <c:pt idx="393">
                  <c:v>1775</c:v>
                </c:pt>
                <c:pt idx="394">
                  <c:v>1775</c:v>
                </c:pt>
                <c:pt idx="395">
                  <c:v>1775</c:v>
                </c:pt>
                <c:pt idx="396">
                  <c:v>1775</c:v>
                </c:pt>
                <c:pt idx="397">
                  <c:v>1775</c:v>
                </c:pt>
                <c:pt idx="398">
                  <c:v>1775</c:v>
                </c:pt>
                <c:pt idx="399">
                  <c:v>1775</c:v>
                </c:pt>
                <c:pt idx="400">
                  <c:v>1775</c:v>
                </c:pt>
                <c:pt idx="401">
                  <c:v>1775</c:v>
                </c:pt>
                <c:pt idx="402">
                  <c:v>1775</c:v>
                </c:pt>
                <c:pt idx="403">
                  <c:v>1775</c:v>
                </c:pt>
                <c:pt idx="404">
                  <c:v>1775</c:v>
                </c:pt>
                <c:pt idx="405">
                  <c:v>1775</c:v>
                </c:pt>
                <c:pt idx="406">
                  <c:v>1775</c:v>
                </c:pt>
                <c:pt idx="407">
                  <c:v>1775</c:v>
                </c:pt>
                <c:pt idx="408">
                  <c:v>1775</c:v>
                </c:pt>
                <c:pt idx="409">
                  <c:v>1775</c:v>
                </c:pt>
                <c:pt idx="410">
                  <c:v>1775</c:v>
                </c:pt>
                <c:pt idx="411">
                  <c:v>1725</c:v>
                </c:pt>
                <c:pt idx="412">
                  <c:v>1625</c:v>
                </c:pt>
                <c:pt idx="413">
                  <c:v>1625</c:v>
                </c:pt>
                <c:pt idx="414">
                  <c:v>1625</c:v>
                </c:pt>
                <c:pt idx="415">
                  <c:v>1625</c:v>
                </c:pt>
                <c:pt idx="416">
                  <c:v>1625</c:v>
                </c:pt>
                <c:pt idx="417">
                  <c:v>1625</c:v>
                </c:pt>
                <c:pt idx="418">
                  <c:v>1590</c:v>
                </c:pt>
                <c:pt idx="419">
                  <c:v>1590</c:v>
                </c:pt>
                <c:pt idx="420">
                  <c:v>1590</c:v>
                </c:pt>
                <c:pt idx="421">
                  <c:v>1590</c:v>
                </c:pt>
                <c:pt idx="422">
                  <c:v>1590</c:v>
                </c:pt>
                <c:pt idx="423">
                  <c:v>1590</c:v>
                </c:pt>
                <c:pt idx="424">
                  <c:v>1590</c:v>
                </c:pt>
                <c:pt idx="425">
                  <c:v>1590</c:v>
                </c:pt>
                <c:pt idx="426">
                  <c:v>1590</c:v>
                </c:pt>
                <c:pt idx="427">
                  <c:v>1590</c:v>
                </c:pt>
                <c:pt idx="428">
                  <c:v>1590</c:v>
                </c:pt>
                <c:pt idx="429">
                  <c:v>1590</c:v>
                </c:pt>
                <c:pt idx="430">
                  <c:v>1590</c:v>
                </c:pt>
                <c:pt idx="431">
                  <c:v>1590</c:v>
                </c:pt>
                <c:pt idx="432">
                  <c:v>1590</c:v>
                </c:pt>
                <c:pt idx="433">
                  <c:v>1590</c:v>
                </c:pt>
                <c:pt idx="434">
                  <c:v>1590</c:v>
                </c:pt>
                <c:pt idx="435">
                  <c:v>1590</c:v>
                </c:pt>
                <c:pt idx="436">
                  <c:v>1590</c:v>
                </c:pt>
                <c:pt idx="437">
                  <c:v>1590</c:v>
                </c:pt>
                <c:pt idx="438">
                  <c:v>1590</c:v>
                </c:pt>
                <c:pt idx="439">
                  <c:v>1590</c:v>
                </c:pt>
                <c:pt idx="440">
                  <c:v>1590</c:v>
                </c:pt>
                <c:pt idx="441">
                  <c:v>1590</c:v>
                </c:pt>
                <c:pt idx="442">
                  <c:v>1590</c:v>
                </c:pt>
                <c:pt idx="443">
                  <c:v>1590</c:v>
                </c:pt>
                <c:pt idx="444">
                  <c:v>1590</c:v>
                </c:pt>
                <c:pt idx="445">
                  <c:v>1590</c:v>
                </c:pt>
                <c:pt idx="446">
                  <c:v>1590</c:v>
                </c:pt>
                <c:pt idx="447">
                  <c:v>1590</c:v>
                </c:pt>
                <c:pt idx="448">
                  <c:v>1590</c:v>
                </c:pt>
                <c:pt idx="449">
                  <c:v>1590</c:v>
                </c:pt>
                <c:pt idx="450">
                  <c:v>1590</c:v>
                </c:pt>
                <c:pt idx="451">
                  <c:v>1600</c:v>
                </c:pt>
                <c:pt idx="452">
                  <c:v>1600</c:v>
                </c:pt>
                <c:pt idx="453">
                  <c:v>1600</c:v>
                </c:pt>
                <c:pt idx="454">
                  <c:v>1600</c:v>
                </c:pt>
                <c:pt idx="455">
                  <c:v>1600</c:v>
                </c:pt>
                <c:pt idx="456">
                  <c:v>1600</c:v>
                </c:pt>
                <c:pt idx="457">
                  <c:v>1600</c:v>
                </c:pt>
                <c:pt idx="458">
                  <c:v>1600</c:v>
                </c:pt>
                <c:pt idx="459">
                  <c:v>1600</c:v>
                </c:pt>
                <c:pt idx="460">
                  <c:v>1625</c:v>
                </c:pt>
                <c:pt idx="461">
                  <c:v>1650</c:v>
                </c:pt>
                <c:pt idx="462">
                  <c:v>1650</c:v>
                </c:pt>
                <c:pt idx="463">
                  <c:v>1650</c:v>
                </c:pt>
                <c:pt idx="464">
                  <c:v>1650</c:v>
                </c:pt>
                <c:pt idx="465">
                  <c:v>1650</c:v>
                </c:pt>
                <c:pt idx="466">
                  <c:v>1650</c:v>
                </c:pt>
                <c:pt idx="467">
                  <c:v>1650</c:v>
                </c:pt>
                <c:pt idx="468">
                  <c:v>1650</c:v>
                </c:pt>
                <c:pt idx="469">
                  <c:v>1650</c:v>
                </c:pt>
                <c:pt idx="470">
                  <c:v>1650</c:v>
                </c:pt>
                <c:pt idx="471">
                  <c:v>1650</c:v>
                </c:pt>
                <c:pt idx="472">
                  <c:v>1650</c:v>
                </c:pt>
                <c:pt idx="473">
                  <c:v>1650</c:v>
                </c:pt>
                <c:pt idx="474">
                  <c:v>1650</c:v>
                </c:pt>
                <c:pt idx="475">
                  <c:v>1650</c:v>
                </c:pt>
                <c:pt idx="476">
                  <c:v>1650</c:v>
                </c:pt>
                <c:pt idx="477">
                  <c:v>1650</c:v>
                </c:pt>
                <c:pt idx="478">
                  <c:v>1650</c:v>
                </c:pt>
                <c:pt idx="479">
                  <c:v>1725</c:v>
                </c:pt>
                <c:pt idx="480">
                  <c:v>1725</c:v>
                </c:pt>
                <c:pt idx="481">
                  <c:v>1725</c:v>
                </c:pt>
                <c:pt idx="482">
                  <c:v>1755</c:v>
                </c:pt>
                <c:pt idx="483">
                  <c:v>1755</c:v>
                </c:pt>
                <c:pt idx="484">
                  <c:v>1755</c:v>
                </c:pt>
                <c:pt idx="485">
                  <c:v>1755</c:v>
                </c:pt>
                <c:pt idx="486">
                  <c:v>1755</c:v>
                </c:pt>
                <c:pt idx="487">
                  <c:v>1755</c:v>
                </c:pt>
                <c:pt idx="488">
                  <c:v>1755</c:v>
                </c:pt>
                <c:pt idx="489">
                  <c:v>1825</c:v>
                </c:pt>
                <c:pt idx="490">
                  <c:v>1875</c:v>
                </c:pt>
                <c:pt idx="491">
                  <c:v>1875</c:v>
                </c:pt>
                <c:pt idx="492">
                  <c:v>1875</c:v>
                </c:pt>
                <c:pt idx="493">
                  <c:v>1875</c:v>
                </c:pt>
                <c:pt idx="494">
                  <c:v>1875</c:v>
                </c:pt>
                <c:pt idx="495">
                  <c:v>1875</c:v>
                </c:pt>
                <c:pt idx="496">
                  <c:v>1875</c:v>
                </c:pt>
                <c:pt idx="497">
                  <c:v>1875</c:v>
                </c:pt>
                <c:pt idx="498">
                  <c:v>1875</c:v>
                </c:pt>
                <c:pt idx="499">
                  <c:v>1875</c:v>
                </c:pt>
                <c:pt idx="500">
                  <c:v>1900</c:v>
                </c:pt>
                <c:pt idx="501">
                  <c:v>1925</c:v>
                </c:pt>
                <c:pt idx="502">
                  <c:v>1925</c:v>
                </c:pt>
                <c:pt idx="503">
                  <c:v>1950</c:v>
                </c:pt>
                <c:pt idx="504">
                  <c:v>2000</c:v>
                </c:pt>
                <c:pt idx="505">
                  <c:v>2000</c:v>
                </c:pt>
                <c:pt idx="506">
                  <c:v>2000</c:v>
                </c:pt>
                <c:pt idx="507">
                  <c:v>2000</c:v>
                </c:pt>
                <c:pt idx="508">
                  <c:v>2000</c:v>
                </c:pt>
                <c:pt idx="509">
                  <c:v>2000</c:v>
                </c:pt>
                <c:pt idx="510">
                  <c:v>2000</c:v>
                </c:pt>
                <c:pt idx="511">
                  <c:v>2100</c:v>
                </c:pt>
                <c:pt idx="512">
                  <c:v>2100</c:v>
                </c:pt>
                <c:pt idx="513">
                  <c:v>2100</c:v>
                </c:pt>
                <c:pt idx="514">
                  <c:v>2100</c:v>
                </c:pt>
                <c:pt idx="515">
                  <c:v>2100</c:v>
                </c:pt>
                <c:pt idx="516">
                  <c:v>2100</c:v>
                </c:pt>
                <c:pt idx="517">
                  <c:v>2100</c:v>
                </c:pt>
                <c:pt idx="518">
                  <c:v>2100</c:v>
                </c:pt>
                <c:pt idx="519">
                  <c:v>2100</c:v>
                </c:pt>
                <c:pt idx="520">
                  <c:v>2100</c:v>
                </c:pt>
                <c:pt idx="521">
                  <c:v>2100</c:v>
                </c:pt>
                <c:pt idx="522">
                  <c:v>2100</c:v>
                </c:pt>
                <c:pt idx="523">
                  <c:v>2100</c:v>
                </c:pt>
                <c:pt idx="524">
                  <c:v>2100</c:v>
                </c:pt>
                <c:pt idx="525">
                  <c:v>2100</c:v>
                </c:pt>
                <c:pt idx="526">
                  <c:v>2100</c:v>
                </c:pt>
                <c:pt idx="527">
                  <c:v>2100</c:v>
                </c:pt>
                <c:pt idx="528">
                  <c:v>2075</c:v>
                </c:pt>
                <c:pt idx="529">
                  <c:v>2075</c:v>
                </c:pt>
                <c:pt idx="530">
                  <c:v>2075</c:v>
                </c:pt>
                <c:pt idx="531">
                  <c:v>2075</c:v>
                </c:pt>
                <c:pt idx="532">
                  <c:v>2075</c:v>
                </c:pt>
                <c:pt idx="533">
                  <c:v>2075</c:v>
                </c:pt>
                <c:pt idx="534">
                  <c:v>2075</c:v>
                </c:pt>
                <c:pt idx="535">
                  <c:v>2075</c:v>
                </c:pt>
                <c:pt idx="536">
                  <c:v>2075</c:v>
                </c:pt>
                <c:pt idx="537">
                  <c:v>2050</c:v>
                </c:pt>
                <c:pt idx="538">
                  <c:v>2050</c:v>
                </c:pt>
                <c:pt idx="539">
                  <c:v>2025</c:v>
                </c:pt>
                <c:pt idx="540">
                  <c:v>2025</c:v>
                </c:pt>
                <c:pt idx="541">
                  <c:v>2025</c:v>
                </c:pt>
                <c:pt idx="542">
                  <c:v>2025</c:v>
                </c:pt>
                <c:pt idx="543">
                  <c:v>2025</c:v>
                </c:pt>
                <c:pt idx="544">
                  <c:v>1975</c:v>
                </c:pt>
                <c:pt idx="545">
                  <c:v>1975</c:v>
                </c:pt>
                <c:pt idx="546">
                  <c:v>1975</c:v>
                </c:pt>
                <c:pt idx="547">
                  <c:v>1975</c:v>
                </c:pt>
                <c:pt idx="548">
                  <c:v>1975</c:v>
                </c:pt>
                <c:pt idx="549">
                  <c:v>1975</c:v>
                </c:pt>
                <c:pt idx="550">
                  <c:v>1975</c:v>
                </c:pt>
                <c:pt idx="551">
                  <c:v>1950</c:v>
                </c:pt>
                <c:pt idx="552">
                  <c:v>1950</c:v>
                </c:pt>
                <c:pt idx="553">
                  <c:v>1950</c:v>
                </c:pt>
                <c:pt idx="554">
                  <c:v>1950</c:v>
                </c:pt>
                <c:pt idx="555">
                  <c:v>1950</c:v>
                </c:pt>
                <c:pt idx="556">
                  <c:v>1950</c:v>
                </c:pt>
                <c:pt idx="557">
                  <c:v>1950</c:v>
                </c:pt>
                <c:pt idx="558">
                  <c:v>1950</c:v>
                </c:pt>
                <c:pt idx="559">
                  <c:v>1950</c:v>
                </c:pt>
                <c:pt idx="560">
                  <c:v>1950</c:v>
                </c:pt>
                <c:pt idx="561">
                  <c:v>1950</c:v>
                </c:pt>
                <c:pt idx="562">
                  <c:v>1950</c:v>
                </c:pt>
                <c:pt idx="563">
                  <c:v>1950</c:v>
                </c:pt>
                <c:pt idx="564">
                  <c:v>1950</c:v>
                </c:pt>
                <c:pt idx="565">
                  <c:v>1950</c:v>
                </c:pt>
                <c:pt idx="566">
                  <c:v>1950</c:v>
                </c:pt>
                <c:pt idx="567">
                  <c:v>1950</c:v>
                </c:pt>
                <c:pt idx="568">
                  <c:v>1950</c:v>
                </c:pt>
                <c:pt idx="569">
                  <c:v>1950</c:v>
                </c:pt>
                <c:pt idx="570">
                  <c:v>1950</c:v>
                </c:pt>
                <c:pt idx="571">
                  <c:v>1950</c:v>
                </c:pt>
                <c:pt idx="572">
                  <c:v>1950</c:v>
                </c:pt>
                <c:pt idx="573">
                  <c:v>1950</c:v>
                </c:pt>
                <c:pt idx="574">
                  <c:v>1950</c:v>
                </c:pt>
                <c:pt idx="575">
                  <c:v>1950</c:v>
                </c:pt>
                <c:pt idx="576">
                  <c:v>1950</c:v>
                </c:pt>
                <c:pt idx="577">
                  <c:v>1950</c:v>
                </c:pt>
                <c:pt idx="578">
                  <c:v>1950</c:v>
                </c:pt>
                <c:pt idx="579">
                  <c:v>1950</c:v>
                </c:pt>
                <c:pt idx="580">
                  <c:v>1950</c:v>
                </c:pt>
                <c:pt idx="581">
                  <c:v>1950</c:v>
                </c:pt>
                <c:pt idx="582">
                  <c:v>1950</c:v>
                </c:pt>
                <c:pt idx="583">
                  <c:v>1950</c:v>
                </c:pt>
                <c:pt idx="584">
                  <c:v>1950</c:v>
                </c:pt>
                <c:pt idx="585">
                  <c:v>1950</c:v>
                </c:pt>
                <c:pt idx="586">
                  <c:v>1950</c:v>
                </c:pt>
                <c:pt idx="587">
                  <c:v>1950</c:v>
                </c:pt>
                <c:pt idx="588">
                  <c:v>1950</c:v>
                </c:pt>
                <c:pt idx="589">
                  <c:v>1950</c:v>
                </c:pt>
                <c:pt idx="590">
                  <c:v>1950</c:v>
                </c:pt>
                <c:pt idx="591">
                  <c:v>1950</c:v>
                </c:pt>
                <c:pt idx="592">
                  <c:v>1950</c:v>
                </c:pt>
                <c:pt idx="593">
                  <c:v>1950</c:v>
                </c:pt>
                <c:pt idx="594">
                  <c:v>1950</c:v>
                </c:pt>
                <c:pt idx="595">
                  <c:v>1950</c:v>
                </c:pt>
                <c:pt idx="596">
                  <c:v>1950</c:v>
                </c:pt>
                <c:pt idx="597">
                  <c:v>1950</c:v>
                </c:pt>
                <c:pt idx="598">
                  <c:v>1950</c:v>
                </c:pt>
                <c:pt idx="599">
                  <c:v>1950</c:v>
                </c:pt>
                <c:pt idx="600">
                  <c:v>1900</c:v>
                </c:pt>
                <c:pt idx="601">
                  <c:v>1900</c:v>
                </c:pt>
                <c:pt idx="602">
                  <c:v>1900</c:v>
                </c:pt>
                <c:pt idx="603">
                  <c:v>1900</c:v>
                </c:pt>
                <c:pt idx="604">
                  <c:v>1900</c:v>
                </c:pt>
                <c:pt idx="605">
                  <c:v>1900</c:v>
                </c:pt>
                <c:pt idx="606">
                  <c:v>1900</c:v>
                </c:pt>
                <c:pt idx="607">
                  <c:v>1900</c:v>
                </c:pt>
                <c:pt idx="608">
                  <c:v>1900</c:v>
                </c:pt>
                <c:pt idx="609">
                  <c:v>1900</c:v>
                </c:pt>
                <c:pt idx="610">
                  <c:v>1900</c:v>
                </c:pt>
                <c:pt idx="611">
                  <c:v>1900</c:v>
                </c:pt>
                <c:pt idx="612">
                  <c:v>1900</c:v>
                </c:pt>
                <c:pt idx="613">
                  <c:v>1900</c:v>
                </c:pt>
                <c:pt idx="614">
                  <c:v>1900</c:v>
                </c:pt>
                <c:pt idx="615">
                  <c:v>1900</c:v>
                </c:pt>
                <c:pt idx="616">
                  <c:v>1900</c:v>
                </c:pt>
                <c:pt idx="617">
                  <c:v>1900</c:v>
                </c:pt>
                <c:pt idx="618">
                  <c:v>1900</c:v>
                </c:pt>
                <c:pt idx="619">
                  <c:v>1900</c:v>
                </c:pt>
                <c:pt idx="620">
                  <c:v>1900</c:v>
                </c:pt>
                <c:pt idx="621">
                  <c:v>1900</c:v>
                </c:pt>
                <c:pt idx="622">
                  <c:v>1900</c:v>
                </c:pt>
                <c:pt idx="623">
                  <c:v>1900</c:v>
                </c:pt>
                <c:pt idx="624">
                  <c:v>1900</c:v>
                </c:pt>
                <c:pt idx="625">
                  <c:v>1900</c:v>
                </c:pt>
                <c:pt idx="626">
                  <c:v>1900</c:v>
                </c:pt>
                <c:pt idx="627">
                  <c:v>1900</c:v>
                </c:pt>
                <c:pt idx="628">
                  <c:v>1900</c:v>
                </c:pt>
                <c:pt idx="629">
                  <c:v>1900</c:v>
                </c:pt>
                <c:pt idx="630">
                  <c:v>1900</c:v>
                </c:pt>
                <c:pt idx="631">
                  <c:v>1900</c:v>
                </c:pt>
                <c:pt idx="632">
                  <c:v>1900</c:v>
                </c:pt>
                <c:pt idx="633">
                  <c:v>1900</c:v>
                </c:pt>
                <c:pt idx="634">
                  <c:v>1900</c:v>
                </c:pt>
                <c:pt idx="635">
                  <c:v>1900</c:v>
                </c:pt>
                <c:pt idx="636">
                  <c:v>1900</c:v>
                </c:pt>
                <c:pt idx="637">
                  <c:v>1900</c:v>
                </c:pt>
                <c:pt idx="638">
                  <c:v>1900</c:v>
                </c:pt>
                <c:pt idx="639">
                  <c:v>1900</c:v>
                </c:pt>
                <c:pt idx="640">
                  <c:v>1900</c:v>
                </c:pt>
                <c:pt idx="641">
                  <c:v>1900</c:v>
                </c:pt>
                <c:pt idx="642">
                  <c:v>1900</c:v>
                </c:pt>
                <c:pt idx="643">
                  <c:v>1900</c:v>
                </c:pt>
                <c:pt idx="644">
                  <c:v>1900</c:v>
                </c:pt>
                <c:pt idx="645">
                  <c:v>1900</c:v>
                </c:pt>
                <c:pt idx="646">
                  <c:v>1900</c:v>
                </c:pt>
                <c:pt idx="647">
                  <c:v>1900</c:v>
                </c:pt>
                <c:pt idx="648">
                  <c:v>1900</c:v>
                </c:pt>
                <c:pt idx="649">
                  <c:v>1900</c:v>
                </c:pt>
                <c:pt idx="650">
                  <c:v>1875</c:v>
                </c:pt>
                <c:pt idx="651">
                  <c:v>1875</c:v>
                </c:pt>
                <c:pt idx="652">
                  <c:v>1875</c:v>
                </c:pt>
                <c:pt idx="653">
                  <c:v>1875</c:v>
                </c:pt>
                <c:pt idx="654">
                  <c:v>1875</c:v>
                </c:pt>
                <c:pt idx="655">
                  <c:v>1875</c:v>
                </c:pt>
                <c:pt idx="656">
                  <c:v>1875</c:v>
                </c:pt>
                <c:pt idx="657">
                  <c:v>1875</c:v>
                </c:pt>
                <c:pt idx="658">
                  <c:v>1875</c:v>
                </c:pt>
                <c:pt idx="659">
                  <c:v>1875</c:v>
                </c:pt>
                <c:pt idx="660">
                  <c:v>1875</c:v>
                </c:pt>
                <c:pt idx="661">
                  <c:v>1875</c:v>
                </c:pt>
                <c:pt idx="662">
                  <c:v>1875</c:v>
                </c:pt>
                <c:pt idx="663">
                  <c:v>1875</c:v>
                </c:pt>
                <c:pt idx="664">
                  <c:v>1875</c:v>
                </c:pt>
                <c:pt idx="665">
                  <c:v>1875</c:v>
                </c:pt>
                <c:pt idx="666">
                  <c:v>1875</c:v>
                </c:pt>
                <c:pt idx="667">
                  <c:v>1875</c:v>
                </c:pt>
                <c:pt idx="668">
                  <c:v>1825</c:v>
                </c:pt>
                <c:pt idx="669">
                  <c:v>1825</c:v>
                </c:pt>
                <c:pt idx="670">
                  <c:v>1825</c:v>
                </c:pt>
                <c:pt idx="671">
                  <c:v>1825</c:v>
                </c:pt>
                <c:pt idx="672">
                  <c:v>1825</c:v>
                </c:pt>
                <c:pt idx="673">
                  <c:v>1825</c:v>
                </c:pt>
                <c:pt idx="674">
                  <c:v>1825</c:v>
                </c:pt>
                <c:pt idx="675">
                  <c:v>1775</c:v>
                </c:pt>
                <c:pt idx="676">
                  <c:v>1775</c:v>
                </c:pt>
                <c:pt idx="677">
                  <c:v>1775</c:v>
                </c:pt>
                <c:pt idx="678">
                  <c:v>1775</c:v>
                </c:pt>
                <c:pt idx="679">
                  <c:v>1775</c:v>
                </c:pt>
                <c:pt idx="680">
                  <c:v>1775</c:v>
                </c:pt>
                <c:pt idx="681">
                  <c:v>1775</c:v>
                </c:pt>
                <c:pt idx="682">
                  <c:v>1775</c:v>
                </c:pt>
                <c:pt idx="683">
                  <c:v>1775</c:v>
                </c:pt>
                <c:pt idx="684">
                  <c:v>1775</c:v>
                </c:pt>
                <c:pt idx="685">
                  <c:v>1725</c:v>
                </c:pt>
                <c:pt idx="686">
                  <c:v>1725</c:v>
                </c:pt>
                <c:pt idx="687">
                  <c:v>1725</c:v>
                </c:pt>
                <c:pt idx="688">
                  <c:v>1725</c:v>
                </c:pt>
                <c:pt idx="689">
                  <c:v>1725</c:v>
                </c:pt>
                <c:pt idx="690">
                  <c:v>1725</c:v>
                </c:pt>
                <c:pt idx="691">
                  <c:v>1725</c:v>
                </c:pt>
                <c:pt idx="692">
                  <c:v>1725</c:v>
                </c:pt>
                <c:pt idx="693">
                  <c:v>1725</c:v>
                </c:pt>
                <c:pt idx="694">
                  <c:v>1725</c:v>
                </c:pt>
                <c:pt idx="695">
                  <c:v>1725</c:v>
                </c:pt>
                <c:pt idx="696">
                  <c:v>1725</c:v>
                </c:pt>
                <c:pt idx="697">
                  <c:v>1725</c:v>
                </c:pt>
                <c:pt idx="698">
                  <c:v>1725</c:v>
                </c:pt>
                <c:pt idx="699">
                  <c:v>1675</c:v>
                </c:pt>
                <c:pt idx="700">
                  <c:v>1675</c:v>
                </c:pt>
                <c:pt idx="701">
                  <c:v>1675</c:v>
                </c:pt>
                <c:pt idx="702">
                  <c:v>1675</c:v>
                </c:pt>
                <c:pt idx="703">
                  <c:v>1675</c:v>
                </c:pt>
                <c:pt idx="704">
                  <c:v>1675</c:v>
                </c:pt>
                <c:pt idx="705">
                  <c:v>1675</c:v>
                </c:pt>
                <c:pt idx="706">
                  <c:v>1675</c:v>
                </c:pt>
                <c:pt idx="707">
                  <c:v>1675</c:v>
                </c:pt>
                <c:pt idx="708">
                  <c:v>1675</c:v>
                </c:pt>
                <c:pt idx="709">
                  <c:v>1675</c:v>
                </c:pt>
                <c:pt idx="710">
                  <c:v>1675</c:v>
                </c:pt>
                <c:pt idx="711">
                  <c:v>1675</c:v>
                </c:pt>
                <c:pt idx="712">
                  <c:v>1675</c:v>
                </c:pt>
                <c:pt idx="713">
                  <c:v>1675</c:v>
                </c:pt>
                <c:pt idx="714">
                  <c:v>1640</c:v>
                </c:pt>
                <c:pt idx="715">
                  <c:v>1640</c:v>
                </c:pt>
                <c:pt idx="716">
                  <c:v>1640</c:v>
                </c:pt>
                <c:pt idx="717">
                  <c:v>1640</c:v>
                </c:pt>
                <c:pt idx="718">
                  <c:v>1640</c:v>
                </c:pt>
                <c:pt idx="719">
                  <c:v>1640</c:v>
                </c:pt>
                <c:pt idx="720">
                  <c:v>1640</c:v>
                </c:pt>
                <c:pt idx="721">
                  <c:v>1640</c:v>
                </c:pt>
                <c:pt idx="722">
                  <c:v>1640</c:v>
                </c:pt>
                <c:pt idx="723">
                  <c:v>1640</c:v>
                </c:pt>
                <c:pt idx="724">
                  <c:v>1640</c:v>
                </c:pt>
                <c:pt idx="725">
                  <c:v>1640</c:v>
                </c:pt>
                <c:pt idx="726">
                  <c:v>1600</c:v>
                </c:pt>
                <c:pt idx="727">
                  <c:v>1600</c:v>
                </c:pt>
                <c:pt idx="728">
                  <c:v>1600</c:v>
                </c:pt>
                <c:pt idx="729">
                  <c:v>1600</c:v>
                </c:pt>
                <c:pt idx="730">
                  <c:v>1600</c:v>
                </c:pt>
                <c:pt idx="731">
                  <c:v>1600</c:v>
                </c:pt>
                <c:pt idx="732">
                  <c:v>1600</c:v>
                </c:pt>
                <c:pt idx="733">
                  <c:v>1600</c:v>
                </c:pt>
                <c:pt idx="734">
                  <c:v>1575</c:v>
                </c:pt>
                <c:pt idx="735">
                  <c:v>1575</c:v>
                </c:pt>
                <c:pt idx="736">
                  <c:v>1575</c:v>
                </c:pt>
                <c:pt idx="737">
                  <c:v>1575</c:v>
                </c:pt>
                <c:pt idx="738">
                  <c:v>1575</c:v>
                </c:pt>
                <c:pt idx="739">
                  <c:v>1575</c:v>
                </c:pt>
                <c:pt idx="740">
                  <c:v>1575</c:v>
                </c:pt>
                <c:pt idx="741">
                  <c:v>1575</c:v>
                </c:pt>
                <c:pt idx="742">
                  <c:v>1575</c:v>
                </c:pt>
                <c:pt idx="743">
                  <c:v>1575</c:v>
                </c:pt>
                <c:pt idx="744">
                  <c:v>1575</c:v>
                </c:pt>
                <c:pt idx="745">
                  <c:v>1575</c:v>
                </c:pt>
                <c:pt idx="746">
                  <c:v>1575</c:v>
                </c:pt>
                <c:pt idx="747">
                  <c:v>1575</c:v>
                </c:pt>
                <c:pt idx="748">
                  <c:v>1575</c:v>
                </c:pt>
                <c:pt idx="749">
                  <c:v>1575</c:v>
                </c:pt>
                <c:pt idx="750">
                  <c:v>1575</c:v>
                </c:pt>
                <c:pt idx="751">
                  <c:v>1575</c:v>
                </c:pt>
                <c:pt idx="752">
                  <c:v>1575</c:v>
                </c:pt>
                <c:pt idx="753">
                  <c:v>1575</c:v>
                </c:pt>
                <c:pt idx="754">
                  <c:v>1575</c:v>
                </c:pt>
                <c:pt idx="755">
                  <c:v>1575</c:v>
                </c:pt>
                <c:pt idx="756">
                  <c:v>1575</c:v>
                </c:pt>
                <c:pt idx="757">
                  <c:v>1575</c:v>
                </c:pt>
                <c:pt idx="758">
                  <c:v>1575</c:v>
                </c:pt>
                <c:pt idx="759">
                  <c:v>1575</c:v>
                </c:pt>
                <c:pt idx="760">
                  <c:v>1575</c:v>
                </c:pt>
                <c:pt idx="761">
                  <c:v>1575</c:v>
                </c:pt>
                <c:pt idx="762">
                  <c:v>1575</c:v>
                </c:pt>
                <c:pt idx="763">
                  <c:v>1575</c:v>
                </c:pt>
                <c:pt idx="764">
                  <c:v>1575</c:v>
                </c:pt>
                <c:pt idx="765">
                  <c:v>1575</c:v>
                </c:pt>
                <c:pt idx="766">
                  <c:v>1575</c:v>
                </c:pt>
                <c:pt idx="767">
                  <c:v>1525</c:v>
                </c:pt>
                <c:pt idx="768">
                  <c:v>1525</c:v>
                </c:pt>
                <c:pt idx="769">
                  <c:v>1525</c:v>
                </c:pt>
                <c:pt idx="770">
                  <c:v>1525</c:v>
                </c:pt>
                <c:pt idx="771">
                  <c:v>1525</c:v>
                </c:pt>
                <c:pt idx="772">
                  <c:v>1525</c:v>
                </c:pt>
                <c:pt idx="773">
                  <c:v>1525</c:v>
                </c:pt>
                <c:pt idx="774">
                  <c:v>1525</c:v>
                </c:pt>
                <c:pt idx="775">
                  <c:v>1500</c:v>
                </c:pt>
                <c:pt idx="776">
                  <c:v>1500</c:v>
                </c:pt>
                <c:pt idx="777">
                  <c:v>1500</c:v>
                </c:pt>
                <c:pt idx="778">
                  <c:v>1500</c:v>
                </c:pt>
                <c:pt idx="779">
                  <c:v>1500</c:v>
                </c:pt>
                <c:pt idx="780">
                  <c:v>1500</c:v>
                </c:pt>
                <c:pt idx="781">
                  <c:v>1500</c:v>
                </c:pt>
                <c:pt idx="782">
                  <c:v>1500</c:v>
                </c:pt>
                <c:pt idx="783">
                  <c:v>1475</c:v>
                </c:pt>
                <c:pt idx="784">
                  <c:v>1475</c:v>
                </c:pt>
                <c:pt idx="785">
                  <c:v>1475</c:v>
                </c:pt>
                <c:pt idx="786">
                  <c:v>1475</c:v>
                </c:pt>
                <c:pt idx="787">
                  <c:v>1475</c:v>
                </c:pt>
                <c:pt idx="788">
                  <c:v>1475</c:v>
                </c:pt>
                <c:pt idx="789">
                  <c:v>1475</c:v>
                </c:pt>
                <c:pt idx="790">
                  <c:v>1475</c:v>
                </c:pt>
                <c:pt idx="791">
                  <c:v>1475</c:v>
                </c:pt>
                <c:pt idx="792">
                  <c:v>1475</c:v>
                </c:pt>
                <c:pt idx="793">
                  <c:v>1475</c:v>
                </c:pt>
                <c:pt idx="794">
                  <c:v>1425</c:v>
                </c:pt>
                <c:pt idx="795">
                  <c:v>1425</c:v>
                </c:pt>
                <c:pt idx="796">
                  <c:v>1425</c:v>
                </c:pt>
                <c:pt idx="797">
                  <c:v>1425</c:v>
                </c:pt>
                <c:pt idx="798">
                  <c:v>1425</c:v>
                </c:pt>
                <c:pt idx="799">
                  <c:v>1425</c:v>
                </c:pt>
                <c:pt idx="800">
                  <c:v>1425</c:v>
                </c:pt>
                <c:pt idx="801">
                  <c:v>1425</c:v>
                </c:pt>
                <c:pt idx="802">
                  <c:v>1400</c:v>
                </c:pt>
                <c:pt idx="803">
                  <c:v>1400</c:v>
                </c:pt>
                <c:pt idx="804">
                  <c:v>1400</c:v>
                </c:pt>
                <c:pt idx="805">
                  <c:v>1425</c:v>
                </c:pt>
                <c:pt idx="806">
                  <c:v>1425</c:v>
                </c:pt>
                <c:pt idx="807">
                  <c:v>1425</c:v>
                </c:pt>
                <c:pt idx="808">
                  <c:v>1440</c:v>
                </c:pt>
                <c:pt idx="809">
                  <c:v>1440</c:v>
                </c:pt>
                <c:pt idx="810">
                  <c:v>1440</c:v>
                </c:pt>
                <c:pt idx="811">
                  <c:v>1450</c:v>
                </c:pt>
                <c:pt idx="812">
                  <c:v>1450</c:v>
                </c:pt>
                <c:pt idx="813">
                  <c:v>1450</c:v>
                </c:pt>
                <c:pt idx="814">
                  <c:v>1450</c:v>
                </c:pt>
                <c:pt idx="815">
                  <c:v>1450</c:v>
                </c:pt>
                <c:pt idx="816">
                  <c:v>1450</c:v>
                </c:pt>
                <c:pt idx="817">
                  <c:v>1450</c:v>
                </c:pt>
                <c:pt idx="818">
                  <c:v>1450</c:v>
                </c:pt>
                <c:pt idx="819">
                  <c:v>1450</c:v>
                </c:pt>
                <c:pt idx="820">
                  <c:v>1450</c:v>
                </c:pt>
                <c:pt idx="821">
                  <c:v>1450</c:v>
                </c:pt>
                <c:pt idx="822">
                  <c:v>1450</c:v>
                </c:pt>
                <c:pt idx="823">
                  <c:v>1450</c:v>
                </c:pt>
                <c:pt idx="824">
                  <c:v>1450</c:v>
                </c:pt>
                <c:pt idx="825">
                  <c:v>1450</c:v>
                </c:pt>
                <c:pt idx="826">
                  <c:v>1450</c:v>
                </c:pt>
                <c:pt idx="827">
                  <c:v>1450</c:v>
                </c:pt>
                <c:pt idx="828">
                  <c:v>1450</c:v>
                </c:pt>
                <c:pt idx="829">
                  <c:v>1450</c:v>
                </c:pt>
                <c:pt idx="830">
                  <c:v>1450</c:v>
                </c:pt>
                <c:pt idx="831">
                  <c:v>1450</c:v>
                </c:pt>
                <c:pt idx="832">
                  <c:v>1450</c:v>
                </c:pt>
                <c:pt idx="833">
                  <c:v>1450</c:v>
                </c:pt>
                <c:pt idx="834">
                  <c:v>1450</c:v>
                </c:pt>
                <c:pt idx="835">
                  <c:v>1450</c:v>
                </c:pt>
                <c:pt idx="836">
                  <c:v>1450</c:v>
                </c:pt>
                <c:pt idx="837">
                  <c:v>1450</c:v>
                </c:pt>
                <c:pt idx="838">
                  <c:v>1450</c:v>
                </c:pt>
                <c:pt idx="839">
                  <c:v>1450</c:v>
                </c:pt>
                <c:pt idx="840">
                  <c:v>1450</c:v>
                </c:pt>
                <c:pt idx="841">
                  <c:v>1450</c:v>
                </c:pt>
                <c:pt idx="842">
                  <c:v>1450</c:v>
                </c:pt>
                <c:pt idx="843">
                  <c:v>1440</c:v>
                </c:pt>
                <c:pt idx="844">
                  <c:v>1440</c:v>
                </c:pt>
                <c:pt idx="845">
                  <c:v>1440</c:v>
                </c:pt>
                <c:pt idx="846">
                  <c:v>1440</c:v>
                </c:pt>
                <c:pt idx="847">
                  <c:v>1440</c:v>
                </c:pt>
                <c:pt idx="848">
                  <c:v>1440</c:v>
                </c:pt>
                <c:pt idx="849">
                  <c:v>1440</c:v>
                </c:pt>
                <c:pt idx="850">
                  <c:v>1440</c:v>
                </c:pt>
                <c:pt idx="851">
                  <c:v>1440</c:v>
                </c:pt>
                <c:pt idx="852">
                  <c:v>1440</c:v>
                </c:pt>
                <c:pt idx="853">
                  <c:v>1440</c:v>
                </c:pt>
                <c:pt idx="854">
                  <c:v>1415</c:v>
                </c:pt>
                <c:pt idx="855">
                  <c:v>1415</c:v>
                </c:pt>
                <c:pt idx="856">
                  <c:v>1415</c:v>
                </c:pt>
                <c:pt idx="857">
                  <c:v>1415</c:v>
                </c:pt>
                <c:pt idx="858">
                  <c:v>1415</c:v>
                </c:pt>
                <c:pt idx="859">
                  <c:v>1375</c:v>
                </c:pt>
                <c:pt idx="860">
                  <c:v>1375</c:v>
                </c:pt>
                <c:pt idx="861">
                  <c:v>1375</c:v>
                </c:pt>
                <c:pt idx="862">
                  <c:v>1375</c:v>
                </c:pt>
                <c:pt idx="863">
                  <c:v>1375</c:v>
                </c:pt>
                <c:pt idx="864">
                  <c:v>1350</c:v>
                </c:pt>
                <c:pt idx="865">
                  <c:v>1350</c:v>
                </c:pt>
                <c:pt idx="866">
                  <c:v>1350</c:v>
                </c:pt>
                <c:pt idx="867">
                  <c:v>1350</c:v>
                </c:pt>
                <c:pt idx="868">
                  <c:v>1350</c:v>
                </c:pt>
                <c:pt idx="869">
                  <c:v>1350</c:v>
                </c:pt>
                <c:pt idx="870">
                  <c:v>1350</c:v>
                </c:pt>
                <c:pt idx="871">
                  <c:v>1350</c:v>
                </c:pt>
                <c:pt idx="872">
                  <c:v>1350</c:v>
                </c:pt>
                <c:pt idx="873">
                  <c:v>1350</c:v>
                </c:pt>
                <c:pt idx="874">
                  <c:v>1350</c:v>
                </c:pt>
                <c:pt idx="875">
                  <c:v>1350</c:v>
                </c:pt>
                <c:pt idx="876">
                  <c:v>1350</c:v>
                </c:pt>
                <c:pt idx="877">
                  <c:v>1350</c:v>
                </c:pt>
                <c:pt idx="878">
                  <c:v>1350</c:v>
                </c:pt>
                <c:pt idx="879">
                  <c:v>1350</c:v>
                </c:pt>
                <c:pt idx="880">
                  <c:v>1350</c:v>
                </c:pt>
                <c:pt idx="881">
                  <c:v>1350</c:v>
                </c:pt>
                <c:pt idx="882">
                  <c:v>1350</c:v>
                </c:pt>
                <c:pt idx="883">
                  <c:v>1350</c:v>
                </c:pt>
                <c:pt idx="884">
                  <c:v>1350</c:v>
                </c:pt>
                <c:pt idx="885">
                  <c:v>1300</c:v>
                </c:pt>
                <c:pt idx="886">
                  <c:v>1300</c:v>
                </c:pt>
                <c:pt idx="887">
                  <c:v>1300</c:v>
                </c:pt>
                <c:pt idx="888">
                  <c:v>1300</c:v>
                </c:pt>
                <c:pt idx="889">
                  <c:v>1300</c:v>
                </c:pt>
                <c:pt idx="890">
                  <c:v>1300</c:v>
                </c:pt>
                <c:pt idx="891">
                  <c:v>1300</c:v>
                </c:pt>
                <c:pt idx="892">
                  <c:v>1300</c:v>
                </c:pt>
                <c:pt idx="893">
                  <c:v>1300</c:v>
                </c:pt>
                <c:pt idx="894">
                  <c:v>1300</c:v>
                </c:pt>
                <c:pt idx="895">
                  <c:v>1300</c:v>
                </c:pt>
                <c:pt idx="896">
                  <c:v>1300</c:v>
                </c:pt>
                <c:pt idx="897">
                  <c:v>1300</c:v>
                </c:pt>
                <c:pt idx="898">
                  <c:v>1300</c:v>
                </c:pt>
                <c:pt idx="899">
                  <c:v>1300</c:v>
                </c:pt>
                <c:pt idx="900">
                  <c:v>1300</c:v>
                </c:pt>
                <c:pt idx="901">
                  <c:v>1300</c:v>
                </c:pt>
                <c:pt idx="902">
                  <c:v>1300</c:v>
                </c:pt>
                <c:pt idx="903">
                  <c:v>1300</c:v>
                </c:pt>
                <c:pt idx="904">
                  <c:v>1300</c:v>
                </c:pt>
                <c:pt idx="905">
                  <c:v>1300</c:v>
                </c:pt>
                <c:pt idx="906">
                  <c:v>1300</c:v>
                </c:pt>
                <c:pt idx="907">
                  <c:v>1300</c:v>
                </c:pt>
                <c:pt idx="908">
                  <c:v>1300</c:v>
                </c:pt>
                <c:pt idx="909">
                  <c:v>1300</c:v>
                </c:pt>
                <c:pt idx="910">
                  <c:v>1300</c:v>
                </c:pt>
                <c:pt idx="911">
                  <c:v>1300</c:v>
                </c:pt>
                <c:pt idx="912">
                  <c:v>1300</c:v>
                </c:pt>
                <c:pt idx="913">
                  <c:v>1300</c:v>
                </c:pt>
                <c:pt idx="914">
                  <c:v>1300</c:v>
                </c:pt>
                <c:pt idx="915">
                  <c:v>1300</c:v>
                </c:pt>
                <c:pt idx="916">
                  <c:v>1250</c:v>
                </c:pt>
                <c:pt idx="917">
                  <c:v>1250</c:v>
                </c:pt>
                <c:pt idx="918">
                  <c:v>1250</c:v>
                </c:pt>
                <c:pt idx="919">
                  <c:v>1250</c:v>
                </c:pt>
                <c:pt idx="920">
                  <c:v>1250</c:v>
                </c:pt>
                <c:pt idx="921">
                  <c:v>1250</c:v>
                </c:pt>
                <c:pt idx="922">
                  <c:v>1250</c:v>
                </c:pt>
                <c:pt idx="923">
                  <c:v>1250</c:v>
                </c:pt>
                <c:pt idx="924">
                  <c:v>1250</c:v>
                </c:pt>
                <c:pt idx="925">
                  <c:v>1250</c:v>
                </c:pt>
                <c:pt idx="926">
                  <c:v>1250</c:v>
                </c:pt>
                <c:pt idx="927">
                  <c:v>1250</c:v>
                </c:pt>
                <c:pt idx="928">
                  <c:v>1250</c:v>
                </c:pt>
                <c:pt idx="929">
                  <c:v>1250</c:v>
                </c:pt>
                <c:pt idx="930">
                  <c:v>1250</c:v>
                </c:pt>
                <c:pt idx="931">
                  <c:v>1250</c:v>
                </c:pt>
                <c:pt idx="932">
                  <c:v>1250</c:v>
                </c:pt>
                <c:pt idx="933">
                  <c:v>1250</c:v>
                </c:pt>
                <c:pt idx="934">
                  <c:v>1250</c:v>
                </c:pt>
                <c:pt idx="935">
                  <c:v>1250</c:v>
                </c:pt>
                <c:pt idx="936">
                  <c:v>1250</c:v>
                </c:pt>
                <c:pt idx="937">
                  <c:v>1250</c:v>
                </c:pt>
                <c:pt idx="938">
                  <c:v>1250</c:v>
                </c:pt>
                <c:pt idx="939">
                  <c:v>1250</c:v>
                </c:pt>
                <c:pt idx="940">
                  <c:v>1250</c:v>
                </c:pt>
                <c:pt idx="941">
                  <c:v>1250</c:v>
                </c:pt>
                <c:pt idx="942">
                  <c:v>1250</c:v>
                </c:pt>
                <c:pt idx="943">
                  <c:v>1250</c:v>
                </c:pt>
                <c:pt idx="944">
                  <c:v>1250</c:v>
                </c:pt>
                <c:pt idx="945">
                  <c:v>1250</c:v>
                </c:pt>
                <c:pt idx="946">
                  <c:v>1250</c:v>
                </c:pt>
                <c:pt idx="947">
                  <c:v>1250</c:v>
                </c:pt>
                <c:pt idx="948">
                  <c:v>1250</c:v>
                </c:pt>
                <c:pt idx="949">
                  <c:v>1250</c:v>
                </c:pt>
                <c:pt idx="950">
                  <c:v>1250</c:v>
                </c:pt>
                <c:pt idx="951">
                  <c:v>1250</c:v>
                </c:pt>
                <c:pt idx="952">
                  <c:v>1250</c:v>
                </c:pt>
                <c:pt idx="953">
                  <c:v>1250</c:v>
                </c:pt>
                <c:pt idx="954">
                  <c:v>1250</c:v>
                </c:pt>
                <c:pt idx="955">
                  <c:v>1250</c:v>
                </c:pt>
                <c:pt idx="956">
                  <c:v>1250</c:v>
                </c:pt>
                <c:pt idx="957">
                  <c:v>1250</c:v>
                </c:pt>
                <c:pt idx="958">
                  <c:v>1250</c:v>
                </c:pt>
                <c:pt idx="959">
                  <c:v>1250</c:v>
                </c:pt>
                <c:pt idx="960">
                  <c:v>1250</c:v>
                </c:pt>
                <c:pt idx="961">
                  <c:v>1250</c:v>
                </c:pt>
                <c:pt idx="962">
                  <c:v>1250</c:v>
                </c:pt>
                <c:pt idx="963">
                  <c:v>1250</c:v>
                </c:pt>
                <c:pt idx="964">
                  <c:v>1250</c:v>
                </c:pt>
                <c:pt idx="965">
                  <c:v>1250</c:v>
                </c:pt>
                <c:pt idx="966">
                  <c:v>1250</c:v>
                </c:pt>
                <c:pt idx="967">
                  <c:v>1250</c:v>
                </c:pt>
                <c:pt idx="968">
                  <c:v>1250</c:v>
                </c:pt>
                <c:pt idx="969">
                  <c:v>1250</c:v>
                </c:pt>
                <c:pt idx="970">
                  <c:v>1250</c:v>
                </c:pt>
                <c:pt idx="971">
                  <c:v>1235</c:v>
                </c:pt>
                <c:pt idx="972">
                  <c:v>1235</c:v>
                </c:pt>
                <c:pt idx="973">
                  <c:v>1235</c:v>
                </c:pt>
                <c:pt idx="974">
                  <c:v>1235</c:v>
                </c:pt>
                <c:pt idx="975">
                  <c:v>1235</c:v>
                </c:pt>
                <c:pt idx="976">
                  <c:v>1235</c:v>
                </c:pt>
                <c:pt idx="977">
                  <c:v>1235</c:v>
                </c:pt>
                <c:pt idx="978">
                  <c:v>1235</c:v>
                </c:pt>
                <c:pt idx="979">
                  <c:v>1235</c:v>
                </c:pt>
                <c:pt idx="980">
                  <c:v>1235</c:v>
                </c:pt>
                <c:pt idx="981">
                  <c:v>1235</c:v>
                </c:pt>
                <c:pt idx="982">
                  <c:v>1235</c:v>
                </c:pt>
                <c:pt idx="983">
                  <c:v>1235</c:v>
                </c:pt>
                <c:pt idx="984">
                  <c:v>1235</c:v>
                </c:pt>
                <c:pt idx="985">
                  <c:v>1350</c:v>
                </c:pt>
                <c:pt idx="986">
                  <c:v>1350</c:v>
                </c:pt>
                <c:pt idx="987">
                  <c:v>1350</c:v>
                </c:pt>
                <c:pt idx="988">
                  <c:v>1350</c:v>
                </c:pt>
                <c:pt idx="989">
                  <c:v>1350</c:v>
                </c:pt>
                <c:pt idx="990">
                  <c:v>1350</c:v>
                </c:pt>
                <c:pt idx="991">
                  <c:v>1350</c:v>
                </c:pt>
                <c:pt idx="992">
                  <c:v>1350</c:v>
                </c:pt>
                <c:pt idx="993">
                  <c:v>1350</c:v>
                </c:pt>
                <c:pt idx="994">
                  <c:v>1350</c:v>
                </c:pt>
                <c:pt idx="995">
                  <c:v>1350</c:v>
                </c:pt>
                <c:pt idx="996">
                  <c:v>1350</c:v>
                </c:pt>
                <c:pt idx="997">
                  <c:v>1350</c:v>
                </c:pt>
                <c:pt idx="998">
                  <c:v>1350</c:v>
                </c:pt>
                <c:pt idx="999">
                  <c:v>1350</c:v>
                </c:pt>
                <c:pt idx="1000">
                  <c:v>1350</c:v>
                </c:pt>
                <c:pt idx="1001">
                  <c:v>1350</c:v>
                </c:pt>
                <c:pt idx="1002">
                  <c:v>1350</c:v>
                </c:pt>
                <c:pt idx="1003">
                  <c:v>1350</c:v>
                </c:pt>
                <c:pt idx="1004">
                  <c:v>1350</c:v>
                </c:pt>
                <c:pt idx="1005">
                  <c:v>1350</c:v>
                </c:pt>
                <c:pt idx="1006">
                  <c:v>1350</c:v>
                </c:pt>
                <c:pt idx="1007">
                  <c:v>1350</c:v>
                </c:pt>
                <c:pt idx="1008">
                  <c:v>1350</c:v>
                </c:pt>
                <c:pt idx="1009">
                  <c:v>1350</c:v>
                </c:pt>
                <c:pt idx="1010">
                  <c:v>1350</c:v>
                </c:pt>
                <c:pt idx="1011">
                  <c:v>1350</c:v>
                </c:pt>
                <c:pt idx="1012">
                  <c:v>1350</c:v>
                </c:pt>
                <c:pt idx="1013">
                  <c:v>1350</c:v>
                </c:pt>
                <c:pt idx="1014">
                  <c:v>1300</c:v>
                </c:pt>
                <c:pt idx="1015">
                  <c:v>1300</c:v>
                </c:pt>
                <c:pt idx="1016">
                  <c:v>1300</c:v>
                </c:pt>
                <c:pt idx="1017">
                  <c:v>1300</c:v>
                </c:pt>
                <c:pt idx="1018">
                  <c:v>1300</c:v>
                </c:pt>
                <c:pt idx="1019">
                  <c:v>1300</c:v>
                </c:pt>
                <c:pt idx="1020">
                  <c:v>1300</c:v>
                </c:pt>
                <c:pt idx="1021">
                  <c:v>1300</c:v>
                </c:pt>
                <c:pt idx="1022">
                  <c:v>1300</c:v>
                </c:pt>
                <c:pt idx="1023">
                  <c:v>1300</c:v>
                </c:pt>
                <c:pt idx="1024">
                  <c:v>1300</c:v>
                </c:pt>
                <c:pt idx="1025">
                  <c:v>1300</c:v>
                </c:pt>
                <c:pt idx="1026">
                  <c:v>1300</c:v>
                </c:pt>
                <c:pt idx="1027">
                  <c:v>1300</c:v>
                </c:pt>
                <c:pt idx="1028">
                  <c:v>1300</c:v>
                </c:pt>
                <c:pt idx="1029">
                  <c:v>1300</c:v>
                </c:pt>
                <c:pt idx="1030">
                  <c:v>1300</c:v>
                </c:pt>
                <c:pt idx="1031">
                  <c:v>1300</c:v>
                </c:pt>
                <c:pt idx="1032">
                  <c:v>1300</c:v>
                </c:pt>
                <c:pt idx="1033">
                  <c:v>1300</c:v>
                </c:pt>
                <c:pt idx="1034">
                  <c:v>1300</c:v>
                </c:pt>
                <c:pt idx="1035">
                  <c:v>1300</c:v>
                </c:pt>
                <c:pt idx="1036">
                  <c:v>1300</c:v>
                </c:pt>
                <c:pt idx="1037">
                  <c:v>1300</c:v>
                </c:pt>
                <c:pt idx="1038">
                  <c:v>1300</c:v>
                </c:pt>
                <c:pt idx="1039">
                  <c:v>1300</c:v>
                </c:pt>
                <c:pt idx="1040">
                  <c:v>1300</c:v>
                </c:pt>
                <c:pt idx="1041">
                  <c:v>1300</c:v>
                </c:pt>
                <c:pt idx="1042">
                  <c:v>1280</c:v>
                </c:pt>
                <c:pt idx="1043">
                  <c:v>1280</c:v>
                </c:pt>
                <c:pt idx="1044">
                  <c:v>1280</c:v>
                </c:pt>
                <c:pt idx="1045">
                  <c:v>1280</c:v>
                </c:pt>
                <c:pt idx="1046">
                  <c:v>1280</c:v>
                </c:pt>
                <c:pt idx="1047">
                  <c:v>1280</c:v>
                </c:pt>
                <c:pt idx="1048">
                  <c:v>1280</c:v>
                </c:pt>
                <c:pt idx="1049">
                  <c:v>1280</c:v>
                </c:pt>
                <c:pt idx="1050">
                  <c:v>1280</c:v>
                </c:pt>
                <c:pt idx="1051">
                  <c:v>1280</c:v>
                </c:pt>
                <c:pt idx="1052">
                  <c:v>1280</c:v>
                </c:pt>
                <c:pt idx="1053">
                  <c:v>1280</c:v>
                </c:pt>
                <c:pt idx="1054">
                  <c:v>1280</c:v>
                </c:pt>
                <c:pt idx="1055">
                  <c:v>1280</c:v>
                </c:pt>
                <c:pt idx="1056">
                  <c:v>1280</c:v>
                </c:pt>
                <c:pt idx="1057">
                  <c:v>1280</c:v>
                </c:pt>
                <c:pt idx="1058">
                  <c:v>1280</c:v>
                </c:pt>
                <c:pt idx="1059">
                  <c:v>1280</c:v>
                </c:pt>
                <c:pt idx="1060">
                  <c:v>1280</c:v>
                </c:pt>
                <c:pt idx="1061">
                  <c:v>1280</c:v>
                </c:pt>
                <c:pt idx="1062">
                  <c:v>1280</c:v>
                </c:pt>
                <c:pt idx="1063">
                  <c:v>1280</c:v>
                </c:pt>
                <c:pt idx="1064">
                  <c:v>1280</c:v>
                </c:pt>
                <c:pt idx="1065">
                  <c:v>1280</c:v>
                </c:pt>
                <c:pt idx="1066">
                  <c:v>1280</c:v>
                </c:pt>
                <c:pt idx="1067">
                  <c:v>1300</c:v>
                </c:pt>
                <c:pt idx="1068">
                  <c:v>1300</c:v>
                </c:pt>
                <c:pt idx="1069">
                  <c:v>1300</c:v>
                </c:pt>
                <c:pt idx="1070">
                  <c:v>1300</c:v>
                </c:pt>
                <c:pt idx="1071">
                  <c:v>1300</c:v>
                </c:pt>
                <c:pt idx="1072">
                  <c:v>1300</c:v>
                </c:pt>
                <c:pt idx="1073">
                  <c:v>1300</c:v>
                </c:pt>
                <c:pt idx="1074">
                  <c:v>1300</c:v>
                </c:pt>
                <c:pt idx="1075">
                  <c:v>1300</c:v>
                </c:pt>
                <c:pt idx="1076">
                  <c:v>1300</c:v>
                </c:pt>
                <c:pt idx="1077">
                  <c:v>1330</c:v>
                </c:pt>
                <c:pt idx="1078">
                  <c:v>1330</c:v>
                </c:pt>
                <c:pt idx="1079">
                  <c:v>1330</c:v>
                </c:pt>
                <c:pt idx="1080">
                  <c:v>1330</c:v>
                </c:pt>
                <c:pt idx="1081">
                  <c:v>1330</c:v>
                </c:pt>
                <c:pt idx="1082">
                  <c:v>1330</c:v>
                </c:pt>
                <c:pt idx="1083">
                  <c:v>1330</c:v>
                </c:pt>
                <c:pt idx="1084">
                  <c:v>1330</c:v>
                </c:pt>
                <c:pt idx="1085">
                  <c:v>1330</c:v>
                </c:pt>
                <c:pt idx="1086">
                  <c:v>1330</c:v>
                </c:pt>
                <c:pt idx="1087">
                  <c:v>1330</c:v>
                </c:pt>
                <c:pt idx="1088">
                  <c:v>1330</c:v>
                </c:pt>
                <c:pt idx="1089">
                  <c:v>1330</c:v>
                </c:pt>
                <c:pt idx="1090">
                  <c:v>1330</c:v>
                </c:pt>
                <c:pt idx="1091">
                  <c:v>1330</c:v>
                </c:pt>
                <c:pt idx="1092">
                  <c:v>1330</c:v>
                </c:pt>
                <c:pt idx="1093">
                  <c:v>1330</c:v>
                </c:pt>
                <c:pt idx="1094">
                  <c:v>1330</c:v>
                </c:pt>
                <c:pt idx="1095">
                  <c:v>1330</c:v>
                </c:pt>
                <c:pt idx="1096">
                  <c:v>1330</c:v>
                </c:pt>
                <c:pt idx="1097">
                  <c:v>1330</c:v>
                </c:pt>
                <c:pt idx="1098">
                  <c:v>1330</c:v>
                </c:pt>
                <c:pt idx="1099">
                  <c:v>1330</c:v>
                </c:pt>
                <c:pt idx="1100">
                  <c:v>1330</c:v>
                </c:pt>
                <c:pt idx="1101">
                  <c:v>1330</c:v>
                </c:pt>
                <c:pt idx="1102">
                  <c:v>1330</c:v>
                </c:pt>
                <c:pt idx="1103">
                  <c:v>1330</c:v>
                </c:pt>
                <c:pt idx="1104">
                  <c:v>1330</c:v>
                </c:pt>
                <c:pt idx="1105">
                  <c:v>1330</c:v>
                </c:pt>
                <c:pt idx="1106">
                  <c:v>1330</c:v>
                </c:pt>
                <c:pt idx="1107">
                  <c:v>1330</c:v>
                </c:pt>
                <c:pt idx="1108">
                  <c:v>1330</c:v>
                </c:pt>
                <c:pt idx="1109">
                  <c:v>1330</c:v>
                </c:pt>
                <c:pt idx="1110">
                  <c:v>1330</c:v>
                </c:pt>
                <c:pt idx="1111">
                  <c:v>1330</c:v>
                </c:pt>
                <c:pt idx="1112">
                  <c:v>1330</c:v>
                </c:pt>
                <c:pt idx="1113">
                  <c:v>1330</c:v>
                </c:pt>
                <c:pt idx="1114">
                  <c:v>1330</c:v>
                </c:pt>
                <c:pt idx="1115">
                  <c:v>1330</c:v>
                </c:pt>
                <c:pt idx="1116">
                  <c:v>1330</c:v>
                </c:pt>
                <c:pt idx="1117">
                  <c:v>1330</c:v>
                </c:pt>
                <c:pt idx="1118">
                  <c:v>1330</c:v>
                </c:pt>
                <c:pt idx="1119">
                  <c:v>1330</c:v>
                </c:pt>
                <c:pt idx="1120">
                  <c:v>1330</c:v>
                </c:pt>
                <c:pt idx="1121">
                  <c:v>1330</c:v>
                </c:pt>
                <c:pt idx="1122">
                  <c:v>1330</c:v>
                </c:pt>
                <c:pt idx="1123">
                  <c:v>1330</c:v>
                </c:pt>
                <c:pt idx="1124">
                  <c:v>1330</c:v>
                </c:pt>
                <c:pt idx="1125">
                  <c:v>1330</c:v>
                </c:pt>
                <c:pt idx="1126">
                  <c:v>1330</c:v>
                </c:pt>
                <c:pt idx="1127">
                  <c:v>1330</c:v>
                </c:pt>
                <c:pt idx="1128">
                  <c:v>1330</c:v>
                </c:pt>
                <c:pt idx="1129">
                  <c:v>1330</c:v>
                </c:pt>
                <c:pt idx="1130">
                  <c:v>1330</c:v>
                </c:pt>
                <c:pt idx="1131">
                  <c:v>1330</c:v>
                </c:pt>
                <c:pt idx="1132">
                  <c:v>1330</c:v>
                </c:pt>
                <c:pt idx="1133">
                  <c:v>1330</c:v>
                </c:pt>
                <c:pt idx="1134">
                  <c:v>1330</c:v>
                </c:pt>
                <c:pt idx="1135">
                  <c:v>1330</c:v>
                </c:pt>
                <c:pt idx="1136">
                  <c:v>1330</c:v>
                </c:pt>
                <c:pt idx="1137">
                  <c:v>1330</c:v>
                </c:pt>
                <c:pt idx="1138">
                  <c:v>1330</c:v>
                </c:pt>
                <c:pt idx="1139">
                  <c:v>1330</c:v>
                </c:pt>
                <c:pt idx="1140">
                  <c:v>1330</c:v>
                </c:pt>
                <c:pt idx="1141">
                  <c:v>1330</c:v>
                </c:pt>
                <c:pt idx="1142">
                  <c:v>1330</c:v>
                </c:pt>
                <c:pt idx="1143">
                  <c:v>1330</c:v>
                </c:pt>
                <c:pt idx="1144">
                  <c:v>1330</c:v>
                </c:pt>
                <c:pt idx="1145">
                  <c:v>1330</c:v>
                </c:pt>
                <c:pt idx="1146">
                  <c:v>1330</c:v>
                </c:pt>
                <c:pt idx="1147">
                  <c:v>1330</c:v>
                </c:pt>
                <c:pt idx="1148">
                  <c:v>1330</c:v>
                </c:pt>
                <c:pt idx="1149">
                  <c:v>1330</c:v>
                </c:pt>
                <c:pt idx="1150">
                  <c:v>1330</c:v>
                </c:pt>
                <c:pt idx="1151">
                  <c:v>1330</c:v>
                </c:pt>
                <c:pt idx="1152">
                  <c:v>1330</c:v>
                </c:pt>
                <c:pt idx="1153">
                  <c:v>1330</c:v>
                </c:pt>
                <c:pt idx="1154">
                  <c:v>1330</c:v>
                </c:pt>
                <c:pt idx="1155">
                  <c:v>1330</c:v>
                </c:pt>
                <c:pt idx="1156">
                  <c:v>1330</c:v>
                </c:pt>
                <c:pt idx="1157">
                  <c:v>1330</c:v>
                </c:pt>
                <c:pt idx="1158">
                  <c:v>1330</c:v>
                </c:pt>
                <c:pt idx="1159">
                  <c:v>1330</c:v>
                </c:pt>
                <c:pt idx="1160">
                  <c:v>1330</c:v>
                </c:pt>
                <c:pt idx="1161">
                  <c:v>1330</c:v>
                </c:pt>
                <c:pt idx="1162">
                  <c:v>1330</c:v>
                </c:pt>
                <c:pt idx="1163">
                  <c:v>1330</c:v>
                </c:pt>
                <c:pt idx="1164">
                  <c:v>1330</c:v>
                </c:pt>
                <c:pt idx="1165">
                  <c:v>1330</c:v>
                </c:pt>
                <c:pt idx="1166">
                  <c:v>1330</c:v>
                </c:pt>
                <c:pt idx="1167">
                  <c:v>1330</c:v>
                </c:pt>
                <c:pt idx="1168">
                  <c:v>1330</c:v>
                </c:pt>
                <c:pt idx="1169">
                  <c:v>1330</c:v>
                </c:pt>
                <c:pt idx="1170">
                  <c:v>1330</c:v>
                </c:pt>
                <c:pt idx="1171">
                  <c:v>1330</c:v>
                </c:pt>
                <c:pt idx="1172">
                  <c:v>1330</c:v>
                </c:pt>
                <c:pt idx="1173">
                  <c:v>1330</c:v>
                </c:pt>
                <c:pt idx="1174">
                  <c:v>1330</c:v>
                </c:pt>
                <c:pt idx="1175">
                  <c:v>1330</c:v>
                </c:pt>
                <c:pt idx="1176">
                  <c:v>1330</c:v>
                </c:pt>
                <c:pt idx="1177">
                  <c:v>1330</c:v>
                </c:pt>
                <c:pt idx="1178">
                  <c:v>1330</c:v>
                </c:pt>
                <c:pt idx="1179">
                  <c:v>1330</c:v>
                </c:pt>
                <c:pt idx="1180">
                  <c:v>1330</c:v>
                </c:pt>
                <c:pt idx="1181">
                  <c:v>1330</c:v>
                </c:pt>
                <c:pt idx="1182">
                  <c:v>1330</c:v>
                </c:pt>
                <c:pt idx="1183">
                  <c:v>1330</c:v>
                </c:pt>
                <c:pt idx="1184">
                  <c:v>1330</c:v>
                </c:pt>
                <c:pt idx="1185">
                  <c:v>1330</c:v>
                </c:pt>
                <c:pt idx="1186">
                  <c:v>1330</c:v>
                </c:pt>
                <c:pt idx="1187">
                  <c:v>1330</c:v>
                </c:pt>
                <c:pt idx="1188">
                  <c:v>1330</c:v>
                </c:pt>
                <c:pt idx="1189">
                  <c:v>1330</c:v>
                </c:pt>
                <c:pt idx="1190">
                  <c:v>1330</c:v>
                </c:pt>
                <c:pt idx="1191">
                  <c:v>1330</c:v>
                </c:pt>
                <c:pt idx="1192">
                  <c:v>1330</c:v>
                </c:pt>
                <c:pt idx="1193">
                  <c:v>1330</c:v>
                </c:pt>
                <c:pt idx="1194">
                  <c:v>1330</c:v>
                </c:pt>
                <c:pt idx="1195">
                  <c:v>1300</c:v>
                </c:pt>
                <c:pt idx="1196">
                  <c:v>1300</c:v>
                </c:pt>
                <c:pt idx="1197">
                  <c:v>1300</c:v>
                </c:pt>
                <c:pt idx="1198">
                  <c:v>1300</c:v>
                </c:pt>
                <c:pt idx="1199">
                  <c:v>1300</c:v>
                </c:pt>
                <c:pt idx="1200">
                  <c:v>1300</c:v>
                </c:pt>
                <c:pt idx="1201">
                  <c:v>1300</c:v>
                </c:pt>
                <c:pt idx="1202">
                  <c:v>1300</c:v>
                </c:pt>
                <c:pt idx="1203">
                  <c:v>1300</c:v>
                </c:pt>
                <c:pt idx="1204">
                  <c:v>1300</c:v>
                </c:pt>
                <c:pt idx="1205">
                  <c:v>1300</c:v>
                </c:pt>
                <c:pt idx="1206">
                  <c:v>1300</c:v>
                </c:pt>
                <c:pt idx="1207">
                  <c:v>1300</c:v>
                </c:pt>
                <c:pt idx="1208">
                  <c:v>1300</c:v>
                </c:pt>
                <c:pt idx="1209">
                  <c:v>1300</c:v>
                </c:pt>
                <c:pt idx="1210">
                  <c:v>1300</c:v>
                </c:pt>
                <c:pt idx="1211">
                  <c:v>1300</c:v>
                </c:pt>
                <c:pt idx="1212">
                  <c:v>1300</c:v>
                </c:pt>
                <c:pt idx="1213">
                  <c:v>1300</c:v>
                </c:pt>
                <c:pt idx="1214">
                  <c:v>1300</c:v>
                </c:pt>
                <c:pt idx="1215">
                  <c:v>1300</c:v>
                </c:pt>
                <c:pt idx="1216">
                  <c:v>1300</c:v>
                </c:pt>
                <c:pt idx="1217">
                  <c:v>1300</c:v>
                </c:pt>
                <c:pt idx="1218">
                  <c:v>1300</c:v>
                </c:pt>
                <c:pt idx="1219">
                  <c:v>1300</c:v>
                </c:pt>
                <c:pt idx="1220">
                  <c:v>1300</c:v>
                </c:pt>
                <c:pt idx="1221">
                  <c:v>1300</c:v>
                </c:pt>
                <c:pt idx="1222">
                  <c:v>1300</c:v>
                </c:pt>
                <c:pt idx="1223">
                  <c:v>1300</c:v>
                </c:pt>
                <c:pt idx="1224">
                  <c:v>1300</c:v>
                </c:pt>
                <c:pt idx="1225">
                  <c:v>1300</c:v>
                </c:pt>
                <c:pt idx="1226">
                  <c:v>1300</c:v>
                </c:pt>
                <c:pt idx="1227">
                  <c:v>1300</c:v>
                </c:pt>
                <c:pt idx="1228">
                  <c:v>1300</c:v>
                </c:pt>
                <c:pt idx="1229">
                  <c:v>1300</c:v>
                </c:pt>
                <c:pt idx="1230">
                  <c:v>1300</c:v>
                </c:pt>
                <c:pt idx="1231">
                  <c:v>1300</c:v>
                </c:pt>
                <c:pt idx="1232">
                  <c:v>1300</c:v>
                </c:pt>
                <c:pt idx="1233">
                  <c:v>1300</c:v>
                </c:pt>
                <c:pt idx="1234">
                  <c:v>1300</c:v>
                </c:pt>
                <c:pt idx="1235">
                  <c:v>1300</c:v>
                </c:pt>
                <c:pt idx="1236">
                  <c:v>1300</c:v>
                </c:pt>
                <c:pt idx="1237">
                  <c:v>1300</c:v>
                </c:pt>
                <c:pt idx="1238">
                  <c:v>1300</c:v>
                </c:pt>
                <c:pt idx="1239">
                  <c:v>1300</c:v>
                </c:pt>
                <c:pt idx="1240">
                  <c:v>1300</c:v>
                </c:pt>
                <c:pt idx="1241">
                  <c:v>1300</c:v>
                </c:pt>
                <c:pt idx="1242">
                  <c:v>1300</c:v>
                </c:pt>
                <c:pt idx="1243">
                  <c:v>1300</c:v>
                </c:pt>
                <c:pt idx="1244">
                  <c:v>1300</c:v>
                </c:pt>
                <c:pt idx="1245">
                  <c:v>1300</c:v>
                </c:pt>
                <c:pt idx="1246">
                  <c:v>1300</c:v>
                </c:pt>
                <c:pt idx="1247">
                  <c:v>1300</c:v>
                </c:pt>
                <c:pt idx="1248">
                  <c:v>1300</c:v>
                </c:pt>
                <c:pt idx="1249">
                  <c:v>1300</c:v>
                </c:pt>
                <c:pt idx="1250">
                  <c:v>1300</c:v>
                </c:pt>
                <c:pt idx="1251">
                  <c:v>1300</c:v>
                </c:pt>
                <c:pt idx="1252">
                  <c:v>1300</c:v>
                </c:pt>
                <c:pt idx="1253">
                  <c:v>1300</c:v>
                </c:pt>
                <c:pt idx="1254">
                  <c:v>1300</c:v>
                </c:pt>
                <c:pt idx="1255">
                  <c:v>1300</c:v>
                </c:pt>
                <c:pt idx="1256">
                  <c:v>1300</c:v>
                </c:pt>
                <c:pt idx="1257">
                  <c:v>1300</c:v>
                </c:pt>
                <c:pt idx="1258">
                  <c:v>1300</c:v>
                </c:pt>
                <c:pt idx="1259">
                  <c:v>1300</c:v>
                </c:pt>
                <c:pt idx="1260">
                  <c:v>1300</c:v>
                </c:pt>
                <c:pt idx="1261">
                  <c:v>1300</c:v>
                </c:pt>
                <c:pt idx="1262">
                  <c:v>1300</c:v>
                </c:pt>
                <c:pt idx="1263">
                  <c:v>1300</c:v>
                </c:pt>
                <c:pt idx="1264">
                  <c:v>1300</c:v>
                </c:pt>
                <c:pt idx="1265">
                  <c:v>1300</c:v>
                </c:pt>
                <c:pt idx="1266">
                  <c:v>1300</c:v>
                </c:pt>
                <c:pt idx="1267">
                  <c:v>1300</c:v>
                </c:pt>
                <c:pt idx="1268">
                  <c:v>1300</c:v>
                </c:pt>
                <c:pt idx="1269">
                  <c:v>1300</c:v>
                </c:pt>
                <c:pt idx="1270">
                  <c:v>1300</c:v>
                </c:pt>
                <c:pt idx="1271">
                  <c:v>1300</c:v>
                </c:pt>
                <c:pt idx="1272">
                  <c:v>1300</c:v>
                </c:pt>
                <c:pt idx="1273">
                  <c:v>1300</c:v>
                </c:pt>
                <c:pt idx="1274">
                  <c:v>1300</c:v>
                </c:pt>
                <c:pt idx="1275">
                  <c:v>1300</c:v>
                </c:pt>
                <c:pt idx="1276">
                  <c:v>1300</c:v>
                </c:pt>
                <c:pt idx="1277">
                  <c:v>1300</c:v>
                </c:pt>
                <c:pt idx="1278">
                  <c:v>1300</c:v>
                </c:pt>
                <c:pt idx="1279">
                  <c:v>1300</c:v>
                </c:pt>
                <c:pt idx="1280">
                  <c:v>1300</c:v>
                </c:pt>
                <c:pt idx="1281">
                  <c:v>1300</c:v>
                </c:pt>
                <c:pt idx="1282">
                  <c:v>1300</c:v>
                </c:pt>
                <c:pt idx="1283">
                  <c:v>1300</c:v>
                </c:pt>
                <c:pt idx="1284">
                  <c:v>1300</c:v>
                </c:pt>
                <c:pt idx="1285">
                  <c:v>1300</c:v>
                </c:pt>
                <c:pt idx="1286">
                  <c:v>1300</c:v>
                </c:pt>
                <c:pt idx="1287">
                  <c:v>1300</c:v>
                </c:pt>
                <c:pt idx="1288">
                  <c:v>1300</c:v>
                </c:pt>
                <c:pt idx="1289">
                  <c:v>1300</c:v>
                </c:pt>
                <c:pt idx="1290">
                  <c:v>1300</c:v>
                </c:pt>
                <c:pt idx="1291">
                  <c:v>1300</c:v>
                </c:pt>
                <c:pt idx="1292">
                  <c:v>1300</c:v>
                </c:pt>
                <c:pt idx="1293">
                  <c:v>1300</c:v>
                </c:pt>
                <c:pt idx="1294">
                  <c:v>1300</c:v>
                </c:pt>
                <c:pt idx="1295">
                  <c:v>1300</c:v>
                </c:pt>
                <c:pt idx="1296">
                  <c:v>1300</c:v>
                </c:pt>
                <c:pt idx="1297">
                  <c:v>1300</c:v>
                </c:pt>
                <c:pt idx="1298">
                  <c:v>1300</c:v>
                </c:pt>
                <c:pt idx="1299">
                  <c:v>1300</c:v>
                </c:pt>
                <c:pt idx="1300">
                  <c:v>1300</c:v>
                </c:pt>
                <c:pt idx="1301">
                  <c:v>1300</c:v>
                </c:pt>
                <c:pt idx="1302">
                  <c:v>1300</c:v>
                </c:pt>
                <c:pt idx="1303">
                  <c:v>1300</c:v>
                </c:pt>
                <c:pt idx="1304">
                  <c:v>1300</c:v>
                </c:pt>
                <c:pt idx="1305">
                  <c:v>1300</c:v>
                </c:pt>
                <c:pt idx="1306">
                  <c:v>1300</c:v>
                </c:pt>
                <c:pt idx="1307">
                  <c:v>1300</c:v>
                </c:pt>
                <c:pt idx="1308">
                  <c:v>1215</c:v>
                </c:pt>
                <c:pt idx="1309">
                  <c:v>1215</c:v>
                </c:pt>
                <c:pt idx="1310">
                  <c:v>1215</c:v>
                </c:pt>
                <c:pt idx="1311">
                  <c:v>1215</c:v>
                </c:pt>
                <c:pt idx="1312">
                  <c:v>1215</c:v>
                </c:pt>
                <c:pt idx="1313">
                  <c:v>1215</c:v>
                </c:pt>
                <c:pt idx="1314">
                  <c:v>1215</c:v>
                </c:pt>
                <c:pt idx="1315">
                  <c:v>1215</c:v>
                </c:pt>
                <c:pt idx="1316">
                  <c:v>1215</c:v>
                </c:pt>
                <c:pt idx="1317">
                  <c:v>1215</c:v>
                </c:pt>
                <c:pt idx="1318">
                  <c:v>1215</c:v>
                </c:pt>
                <c:pt idx="1319">
                  <c:v>1215</c:v>
                </c:pt>
                <c:pt idx="1320">
                  <c:v>1215</c:v>
                </c:pt>
                <c:pt idx="1321">
                  <c:v>1215</c:v>
                </c:pt>
                <c:pt idx="1322">
                  <c:v>1215</c:v>
                </c:pt>
                <c:pt idx="1323">
                  <c:v>1215</c:v>
                </c:pt>
                <c:pt idx="1324">
                  <c:v>1215</c:v>
                </c:pt>
                <c:pt idx="1325">
                  <c:v>1215</c:v>
                </c:pt>
                <c:pt idx="1326">
                  <c:v>1215</c:v>
                </c:pt>
                <c:pt idx="1327">
                  <c:v>1215</c:v>
                </c:pt>
                <c:pt idx="1328">
                  <c:v>1215</c:v>
                </c:pt>
                <c:pt idx="1329">
                  <c:v>1215</c:v>
                </c:pt>
                <c:pt idx="1330">
                  <c:v>1215</c:v>
                </c:pt>
                <c:pt idx="1331">
                  <c:v>1215</c:v>
                </c:pt>
                <c:pt idx="1332">
                  <c:v>1215</c:v>
                </c:pt>
                <c:pt idx="1333">
                  <c:v>1225</c:v>
                </c:pt>
                <c:pt idx="1334">
                  <c:v>1225</c:v>
                </c:pt>
                <c:pt idx="1335">
                  <c:v>1225</c:v>
                </c:pt>
                <c:pt idx="1336">
                  <c:v>1225</c:v>
                </c:pt>
                <c:pt idx="1337">
                  <c:v>1225</c:v>
                </c:pt>
                <c:pt idx="1338">
                  <c:v>1225</c:v>
                </c:pt>
                <c:pt idx="1339">
                  <c:v>1225</c:v>
                </c:pt>
                <c:pt idx="1340">
                  <c:v>1225</c:v>
                </c:pt>
                <c:pt idx="1341">
                  <c:v>1235</c:v>
                </c:pt>
                <c:pt idx="1342">
                  <c:v>1235</c:v>
                </c:pt>
                <c:pt idx="1343">
                  <c:v>1260</c:v>
                </c:pt>
                <c:pt idx="1344">
                  <c:v>1260</c:v>
                </c:pt>
                <c:pt idx="1345">
                  <c:v>1260</c:v>
                </c:pt>
                <c:pt idx="1346">
                  <c:v>1260</c:v>
                </c:pt>
                <c:pt idx="1347">
                  <c:v>1260</c:v>
                </c:pt>
                <c:pt idx="1348">
                  <c:v>1260</c:v>
                </c:pt>
                <c:pt idx="1349">
                  <c:v>1260</c:v>
                </c:pt>
                <c:pt idx="1350">
                  <c:v>1260</c:v>
                </c:pt>
                <c:pt idx="1351">
                  <c:v>1350</c:v>
                </c:pt>
                <c:pt idx="1352">
                  <c:v>1350</c:v>
                </c:pt>
                <c:pt idx="1353">
                  <c:v>1350</c:v>
                </c:pt>
                <c:pt idx="1354">
                  <c:v>1350</c:v>
                </c:pt>
                <c:pt idx="1355">
                  <c:v>1350</c:v>
                </c:pt>
                <c:pt idx="1356">
                  <c:v>1350</c:v>
                </c:pt>
                <c:pt idx="1357">
                  <c:v>1350</c:v>
                </c:pt>
                <c:pt idx="1358">
                  <c:v>1350</c:v>
                </c:pt>
                <c:pt idx="1359">
                  <c:v>1350</c:v>
                </c:pt>
                <c:pt idx="1360">
                  <c:v>1350</c:v>
                </c:pt>
                <c:pt idx="1361">
                  <c:v>1350</c:v>
                </c:pt>
                <c:pt idx="1362">
                  <c:v>1425</c:v>
                </c:pt>
                <c:pt idx="1363">
                  <c:v>1450</c:v>
                </c:pt>
                <c:pt idx="1364">
                  <c:v>1450</c:v>
                </c:pt>
                <c:pt idx="1365">
                  <c:v>1450</c:v>
                </c:pt>
                <c:pt idx="1366">
                  <c:v>1450</c:v>
                </c:pt>
                <c:pt idx="1367">
                  <c:v>1450</c:v>
                </c:pt>
                <c:pt idx="1368">
                  <c:v>1450</c:v>
                </c:pt>
                <c:pt idx="1369">
                  <c:v>1450</c:v>
                </c:pt>
                <c:pt idx="1370">
                  <c:v>1450</c:v>
                </c:pt>
                <c:pt idx="1371">
                  <c:v>1450</c:v>
                </c:pt>
                <c:pt idx="1372">
                  <c:v>1450</c:v>
                </c:pt>
                <c:pt idx="1373">
                  <c:v>1450</c:v>
                </c:pt>
                <c:pt idx="1374">
                  <c:v>1450</c:v>
                </c:pt>
                <c:pt idx="1375">
                  <c:v>1450</c:v>
                </c:pt>
                <c:pt idx="1376">
                  <c:v>1450</c:v>
                </c:pt>
                <c:pt idx="1377">
                  <c:v>1450</c:v>
                </c:pt>
                <c:pt idx="1378">
                  <c:v>1475</c:v>
                </c:pt>
                <c:pt idx="1379">
                  <c:v>1500</c:v>
                </c:pt>
                <c:pt idx="1380">
                  <c:v>1500</c:v>
                </c:pt>
                <c:pt idx="1381">
                  <c:v>1500</c:v>
                </c:pt>
                <c:pt idx="1382">
                  <c:v>1500</c:v>
                </c:pt>
                <c:pt idx="1383">
                  <c:v>1500</c:v>
                </c:pt>
                <c:pt idx="1384">
                  <c:v>1500</c:v>
                </c:pt>
                <c:pt idx="1385">
                  <c:v>1500</c:v>
                </c:pt>
                <c:pt idx="1386">
                  <c:v>1500</c:v>
                </c:pt>
                <c:pt idx="1387">
                  <c:v>1500</c:v>
                </c:pt>
                <c:pt idx="1388">
                  <c:v>1500</c:v>
                </c:pt>
                <c:pt idx="1389">
                  <c:v>1500</c:v>
                </c:pt>
                <c:pt idx="1390">
                  <c:v>1500</c:v>
                </c:pt>
                <c:pt idx="1391">
                  <c:v>1500</c:v>
                </c:pt>
                <c:pt idx="1392">
                  <c:v>1500</c:v>
                </c:pt>
                <c:pt idx="1393">
                  <c:v>1500</c:v>
                </c:pt>
                <c:pt idx="1394">
                  <c:v>1500</c:v>
                </c:pt>
                <c:pt idx="1395">
                  <c:v>1500</c:v>
                </c:pt>
                <c:pt idx="1396">
                  <c:v>1500</c:v>
                </c:pt>
                <c:pt idx="1397">
                  <c:v>1500</c:v>
                </c:pt>
                <c:pt idx="1398">
                  <c:v>1500</c:v>
                </c:pt>
                <c:pt idx="1399">
                  <c:v>1500</c:v>
                </c:pt>
                <c:pt idx="1400">
                  <c:v>1525</c:v>
                </c:pt>
                <c:pt idx="1401">
                  <c:v>1525</c:v>
                </c:pt>
                <c:pt idx="1402">
                  <c:v>1525</c:v>
                </c:pt>
                <c:pt idx="1403">
                  <c:v>1525</c:v>
                </c:pt>
                <c:pt idx="1404">
                  <c:v>1525</c:v>
                </c:pt>
                <c:pt idx="1405">
                  <c:v>1525</c:v>
                </c:pt>
                <c:pt idx="1406">
                  <c:v>1525</c:v>
                </c:pt>
                <c:pt idx="1407">
                  <c:v>1525</c:v>
                </c:pt>
                <c:pt idx="1408">
                  <c:v>1525</c:v>
                </c:pt>
                <c:pt idx="1409">
                  <c:v>1525</c:v>
                </c:pt>
                <c:pt idx="1410">
                  <c:v>1525</c:v>
                </c:pt>
                <c:pt idx="1411">
                  <c:v>1525</c:v>
                </c:pt>
                <c:pt idx="1412">
                  <c:v>1525</c:v>
                </c:pt>
                <c:pt idx="1413">
                  <c:v>1525</c:v>
                </c:pt>
                <c:pt idx="1414">
                  <c:v>1525</c:v>
                </c:pt>
                <c:pt idx="1415">
                  <c:v>1525</c:v>
                </c:pt>
                <c:pt idx="1416">
                  <c:v>1525</c:v>
                </c:pt>
                <c:pt idx="1417">
                  <c:v>1500</c:v>
                </c:pt>
                <c:pt idx="1418">
                  <c:v>1500</c:v>
                </c:pt>
                <c:pt idx="1419">
                  <c:v>1500</c:v>
                </c:pt>
                <c:pt idx="1420">
                  <c:v>1500</c:v>
                </c:pt>
                <c:pt idx="1421">
                  <c:v>1500</c:v>
                </c:pt>
                <c:pt idx="1422">
                  <c:v>1500</c:v>
                </c:pt>
                <c:pt idx="1423">
                  <c:v>1500</c:v>
                </c:pt>
                <c:pt idx="1424">
                  <c:v>1500</c:v>
                </c:pt>
                <c:pt idx="1425">
                  <c:v>1500</c:v>
                </c:pt>
                <c:pt idx="1426">
                  <c:v>1500</c:v>
                </c:pt>
                <c:pt idx="1427">
                  <c:v>1485</c:v>
                </c:pt>
                <c:pt idx="1428">
                  <c:v>1485</c:v>
                </c:pt>
                <c:pt idx="1429">
                  <c:v>1485</c:v>
                </c:pt>
                <c:pt idx="1430">
                  <c:v>1485</c:v>
                </c:pt>
                <c:pt idx="1431">
                  <c:v>1485</c:v>
                </c:pt>
                <c:pt idx="1432">
                  <c:v>1485</c:v>
                </c:pt>
                <c:pt idx="1433">
                  <c:v>1485</c:v>
                </c:pt>
                <c:pt idx="1434">
                  <c:v>1485</c:v>
                </c:pt>
                <c:pt idx="1435">
                  <c:v>1485</c:v>
                </c:pt>
                <c:pt idx="1436">
                  <c:v>1485</c:v>
                </c:pt>
                <c:pt idx="1437">
                  <c:v>1485</c:v>
                </c:pt>
                <c:pt idx="1438">
                  <c:v>1485</c:v>
                </c:pt>
                <c:pt idx="1439">
                  <c:v>1460</c:v>
                </c:pt>
                <c:pt idx="1440">
                  <c:v>1460</c:v>
                </c:pt>
                <c:pt idx="1441">
                  <c:v>1460</c:v>
                </c:pt>
                <c:pt idx="1442">
                  <c:v>1450</c:v>
                </c:pt>
                <c:pt idx="1443">
                  <c:v>1450</c:v>
                </c:pt>
                <c:pt idx="1444">
                  <c:v>1450</c:v>
                </c:pt>
                <c:pt idx="1445">
                  <c:v>1450</c:v>
                </c:pt>
                <c:pt idx="1446">
                  <c:v>1450</c:v>
                </c:pt>
                <c:pt idx="1447">
                  <c:v>1440</c:v>
                </c:pt>
                <c:pt idx="1448">
                  <c:v>1440</c:v>
                </c:pt>
                <c:pt idx="1449">
                  <c:v>1440</c:v>
                </c:pt>
                <c:pt idx="1450">
                  <c:v>1440</c:v>
                </c:pt>
                <c:pt idx="1451">
                  <c:v>1440</c:v>
                </c:pt>
                <c:pt idx="1452">
                  <c:v>1440</c:v>
                </c:pt>
                <c:pt idx="1453">
                  <c:v>1440</c:v>
                </c:pt>
                <c:pt idx="1454">
                  <c:v>1440</c:v>
                </c:pt>
                <c:pt idx="1455">
                  <c:v>1440</c:v>
                </c:pt>
                <c:pt idx="1456">
                  <c:v>1440</c:v>
                </c:pt>
                <c:pt idx="1457">
                  <c:v>1440</c:v>
                </c:pt>
                <c:pt idx="1458">
                  <c:v>1440</c:v>
                </c:pt>
                <c:pt idx="1459">
                  <c:v>1440</c:v>
                </c:pt>
                <c:pt idx="1460">
                  <c:v>1440</c:v>
                </c:pt>
                <c:pt idx="1461">
                  <c:v>1440</c:v>
                </c:pt>
                <c:pt idx="1462">
                  <c:v>1440</c:v>
                </c:pt>
                <c:pt idx="1463">
                  <c:v>1440</c:v>
                </c:pt>
                <c:pt idx="1464">
                  <c:v>1440</c:v>
                </c:pt>
                <c:pt idx="1465">
                  <c:v>1440</c:v>
                </c:pt>
                <c:pt idx="1466">
                  <c:v>1440</c:v>
                </c:pt>
                <c:pt idx="1467">
                  <c:v>1440</c:v>
                </c:pt>
                <c:pt idx="1468">
                  <c:v>1440</c:v>
                </c:pt>
                <c:pt idx="1469">
                  <c:v>1440</c:v>
                </c:pt>
                <c:pt idx="1470">
                  <c:v>1440</c:v>
                </c:pt>
                <c:pt idx="1471">
                  <c:v>1440</c:v>
                </c:pt>
                <c:pt idx="1472">
                  <c:v>1440</c:v>
                </c:pt>
                <c:pt idx="1473">
                  <c:v>1440</c:v>
                </c:pt>
                <c:pt idx="1474">
                  <c:v>1440</c:v>
                </c:pt>
                <c:pt idx="1475">
                  <c:v>1440</c:v>
                </c:pt>
                <c:pt idx="1476">
                  <c:v>1440</c:v>
                </c:pt>
                <c:pt idx="1477">
                  <c:v>1440</c:v>
                </c:pt>
                <c:pt idx="1478">
                  <c:v>1440</c:v>
                </c:pt>
                <c:pt idx="1479">
                  <c:v>1440</c:v>
                </c:pt>
                <c:pt idx="1480">
                  <c:v>1440</c:v>
                </c:pt>
                <c:pt idx="1481">
                  <c:v>1440</c:v>
                </c:pt>
                <c:pt idx="1482">
                  <c:v>1440</c:v>
                </c:pt>
                <c:pt idx="1483">
                  <c:v>1440</c:v>
                </c:pt>
                <c:pt idx="1484">
                  <c:v>1440</c:v>
                </c:pt>
                <c:pt idx="1485">
                  <c:v>1440</c:v>
                </c:pt>
                <c:pt idx="1486">
                  <c:v>1440</c:v>
                </c:pt>
                <c:pt idx="1487">
                  <c:v>1440</c:v>
                </c:pt>
                <c:pt idx="1488">
                  <c:v>1440</c:v>
                </c:pt>
                <c:pt idx="1489">
                  <c:v>1440</c:v>
                </c:pt>
                <c:pt idx="1490">
                  <c:v>1440</c:v>
                </c:pt>
                <c:pt idx="1491">
                  <c:v>1440</c:v>
                </c:pt>
                <c:pt idx="1492">
                  <c:v>1440</c:v>
                </c:pt>
                <c:pt idx="1493">
                  <c:v>1440</c:v>
                </c:pt>
                <c:pt idx="1494">
                  <c:v>1440</c:v>
                </c:pt>
                <c:pt idx="1495">
                  <c:v>1440</c:v>
                </c:pt>
                <c:pt idx="1496">
                  <c:v>1440</c:v>
                </c:pt>
                <c:pt idx="1497">
                  <c:v>1440</c:v>
                </c:pt>
                <c:pt idx="1498">
                  <c:v>1440</c:v>
                </c:pt>
                <c:pt idx="1499">
                  <c:v>1440</c:v>
                </c:pt>
                <c:pt idx="1500">
                  <c:v>1440</c:v>
                </c:pt>
                <c:pt idx="1501">
                  <c:v>1440</c:v>
                </c:pt>
                <c:pt idx="1502">
                  <c:v>1440</c:v>
                </c:pt>
                <c:pt idx="1503">
                  <c:v>1440</c:v>
                </c:pt>
                <c:pt idx="1504">
                  <c:v>1440</c:v>
                </c:pt>
                <c:pt idx="1505">
                  <c:v>1440</c:v>
                </c:pt>
                <c:pt idx="1506">
                  <c:v>1440</c:v>
                </c:pt>
                <c:pt idx="1507">
                  <c:v>1440</c:v>
                </c:pt>
                <c:pt idx="1508">
                  <c:v>1440</c:v>
                </c:pt>
                <c:pt idx="1509">
                  <c:v>1440</c:v>
                </c:pt>
                <c:pt idx="1510">
                  <c:v>1440</c:v>
                </c:pt>
                <c:pt idx="1511">
                  <c:v>1440</c:v>
                </c:pt>
                <c:pt idx="1512">
                  <c:v>1440</c:v>
                </c:pt>
                <c:pt idx="1513">
                  <c:v>1440</c:v>
                </c:pt>
                <c:pt idx="1514">
                  <c:v>1440</c:v>
                </c:pt>
                <c:pt idx="1515">
                  <c:v>1440</c:v>
                </c:pt>
                <c:pt idx="1516">
                  <c:v>1440</c:v>
                </c:pt>
                <c:pt idx="1517">
                  <c:v>1440</c:v>
                </c:pt>
                <c:pt idx="1518">
                  <c:v>1440</c:v>
                </c:pt>
                <c:pt idx="1519">
                  <c:v>1440</c:v>
                </c:pt>
                <c:pt idx="1520">
                  <c:v>1440</c:v>
                </c:pt>
                <c:pt idx="1521">
                  <c:v>1440</c:v>
                </c:pt>
                <c:pt idx="1522">
                  <c:v>1440</c:v>
                </c:pt>
                <c:pt idx="1523">
                  <c:v>1440</c:v>
                </c:pt>
                <c:pt idx="1524">
                  <c:v>1400</c:v>
                </c:pt>
                <c:pt idx="1525">
                  <c:v>1400</c:v>
                </c:pt>
                <c:pt idx="1526">
                  <c:v>1400</c:v>
                </c:pt>
                <c:pt idx="1527">
                  <c:v>1400</c:v>
                </c:pt>
                <c:pt idx="1528">
                  <c:v>1400</c:v>
                </c:pt>
                <c:pt idx="1529">
                  <c:v>1400</c:v>
                </c:pt>
                <c:pt idx="1530">
                  <c:v>1400</c:v>
                </c:pt>
                <c:pt idx="1531">
                  <c:v>1400</c:v>
                </c:pt>
                <c:pt idx="1532">
                  <c:v>1400</c:v>
                </c:pt>
                <c:pt idx="1533">
                  <c:v>1400</c:v>
                </c:pt>
                <c:pt idx="1534">
                  <c:v>1400</c:v>
                </c:pt>
                <c:pt idx="1535">
                  <c:v>1400</c:v>
                </c:pt>
                <c:pt idx="1536">
                  <c:v>1400</c:v>
                </c:pt>
                <c:pt idx="1537">
                  <c:v>1400</c:v>
                </c:pt>
                <c:pt idx="1538">
                  <c:v>1370</c:v>
                </c:pt>
                <c:pt idx="1539">
                  <c:v>1370</c:v>
                </c:pt>
                <c:pt idx="1540">
                  <c:v>1370</c:v>
                </c:pt>
                <c:pt idx="1541">
                  <c:v>1370</c:v>
                </c:pt>
                <c:pt idx="1542">
                  <c:v>1370</c:v>
                </c:pt>
                <c:pt idx="1543">
                  <c:v>1370</c:v>
                </c:pt>
                <c:pt idx="1544">
                  <c:v>1370</c:v>
                </c:pt>
                <c:pt idx="1545">
                  <c:v>1370</c:v>
                </c:pt>
                <c:pt idx="1546">
                  <c:v>1370</c:v>
                </c:pt>
                <c:pt idx="1547">
                  <c:v>1370</c:v>
                </c:pt>
                <c:pt idx="1548">
                  <c:v>1370</c:v>
                </c:pt>
                <c:pt idx="1549">
                  <c:v>1370</c:v>
                </c:pt>
                <c:pt idx="1550">
                  <c:v>1370</c:v>
                </c:pt>
                <c:pt idx="1551">
                  <c:v>1370</c:v>
                </c:pt>
                <c:pt idx="1552">
                  <c:v>1370</c:v>
                </c:pt>
                <c:pt idx="1553">
                  <c:v>1350</c:v>
                </c:pt>
                <c:pt idx="1554">
                  <c:v>1350</c:v>
                </c:pt>
                <c:pt idx="1555">
                  <c:v>1350</c:v>
                </c:pt>
                <c:pt idx="1556">
                  <c:v>1350</c:v>
                </c:pt>
                <c:pt idx="1557">
                  <c:v>1350</c:v>
                </c:pt>
                <c:pt idx="1558">
                  <c:v>1350</c:v>
                </c:pt>
                <c:pt idx="1559">
                  <c:v>1350</c:v>
                </c:pt>
                <c:pt idx="1560">
                  <c:v>1350</c:v>
                </c:pt>
                <c:pt idx="1561">
                  <c:v>1350</c:v>
                </c:pt>
                <c:pt idx="1562">
                  <c:v>1350</c:v>
                </c:pt>
                <c:pt idx="1563">
                  <c:v>1350</c:v>
                </c:pt>
                <c:pt idx="1564">
                  <c:v>1350</c:v>
                </c:pt>
                <c:pt idx="1565">
                  <c:v>1350</c:v>
                </c:pt>
                <c:pt idx="1566">
                  <c:v>1350</c:v>
                </c:pt>
                <c:pt idx="1567">
                  <c:v>1350</c:v>
                </c:pt>
                <c:pt idx="1568">
                  <c:v>1350</c:v>
                </c:pt>
                <c:pt idx="1569">
                  <c:v>1350</c:v>
                </c:pt>
                <c:pt idx="1570">
                  <c:v>1350</c:v>
                </c:pt>
                <c:pt idx="1571">
                  <c:v>1430</c:v>
                </c:pt>
                <c:pt idx="1572">
                  <c:v>1430</c:v>
                </c:pt>
                <c:pt idx="1573">
                  <c:v>1430</c:v>
                </c:pt>
                <c:pt idx="1574">
                  <c:v>1430</c:v>
                </c:pt>
                <c:pt idx="1575">
                  <c:v>1430</c:v>
                </c:pt>
                <c:pt idx="1576">
                  <c:v>1430</c:v>
                </c:pt>
                <c:pt idx="1577">
                  <c:v>1430</c:v>
                </c:pt>
                <c:pt idx="1578">
                  <c:v>1440</c:v>
                </c:pt>
                <c:pt idx="1579">
                  <c:v>1440</c:v>
                </c:pt>
                <c:pt idx="1580">
                  <c:v>1440</c:v>
                </c:pt>
                <c:pt idx="1581">
                  <c:v>1440</c:v>
                </c:pt>
                <c:pt idx="1582">
                  <c:v>1440</c:v>
                </c:pt>
                <c:pt idx="1583">
                  <c:v>1440</c:v>
                </c:pt>
                <c:pt idx="1584">
                  <c:v>1450</c:v>
                </c:pt>
                <c:pt idx="1585">
                  <c:v>1450</c:v>
                </c:pt>
                <c:pt idx="1586">
                  <c:v>1450</c:v>
                </c:pt>
                <c:pt idx="1587">
                  <c:v>1450</c:v>
                </c:pt>
                <c:pt idx="1588">
                  <c:v>1450</c:v>
                </c:pt>
                <c:pt idx="1589">
                  <c:v>1450</c:v>
                </c:pt>
                <c:pt idx="1590">
                  <c:v>1450</c:v>
                </c:pt>
                <c:pt idx="1591">
                  <c:v>1450</c:v>
                </c:pt>
                <c:pt idx="1592">
                  <c:v>1440</c:v>
                </c:pt>
                <c:pt idx="1593">
                  <c:v>1440</c:v>
                </c:pt>
                <c:pt idx="1594">
                  <c:v>1440</c:v>
                </c:pt>
                <c:pt idx="1595">
                  <c:v>1450</c:v>
                </c:pt>
                <c:pt idx="1596">
                  <c:v>1450</c:v>
                </c:pt>
                <c:pt idx="1597">
                  <c:v>1450</c:v>
                </c:pt>
                <c:pt idx="1598">
                  <c:v>1450</c:v>
                </c:pt>
                <c:pt idx="1599">
                  <c:v>1450</c:v>
                </c:pt>
                <c:pt idx="1600">
                  <c:v>1450</c:v>
                </c:pt>
                <c:pt idx="1601">
                  <c:v>1450</c:v>
                </c:pt>
                <c:pt idx="1602">
                  <c:v>1450</c:v>
                </c:pt>
                <c:pt idx="1603">
                  <c:v>1450</c:v>
                </c:pt>
                <c:pt idx="1604">
                  <c:v>1450</c:v>
                </c:pt>
                <c:pt idx="1605">
                  <c:v>1450</c:v>
                </c:pt>
                <c:pt idx="1606">
                  <c:v>1450</c:v>
                </c:pt>
                <c:pt idx="1607">
                  <c:v>1450</c:v>
                </c:pt>
                <c:pt idx="1608">
                  <c:v>1450</c:v>
                </c:pt>
                <c:pt idx="1609">
                  <c:v>1450</c:v>
                </c:pt>
                <c:pt idx="1610">
                  <c:v>1450</c:v>
                </c:pt>
                <c:pt idx="1611">
                  <c:v>1450</c:v>
                </c:pt>
                <c:pt idx="1612">
                  <c:v>1450</c:v>
                </c:pt>
                <c:pt idx="1613">
                  <c:v>1450</c:v>
                </c:pt>
                <c:pt idx="1614">
                  <c:v>1475</c:v>
                </c:pt>
                <c:pt idx="1615">
                  <c:v>1475</c:v>
                </c:pt>
                <c:pt idx="1616">
                  <c:v>1475</c:v>
                </c:pt>
                <c:pt idx="1617">
                  <c:v>1475</c:v>
                </c:pt>
                <c:pt idx="1618">
                  <c:v>1475</c:v>
                </c:pt>
                <c:pt idx="1619">
                  <c:v>1475</c:v>
                </c:pt>
                <c:pt idx="1620">
                  <c:v>1475</c:v>
                </c:pt>
                <c:pt idx="1621">
                  <c:v>1475</c:v>
                </c:pt>
                <c:pt idx="1622">
                  <c:v>1475</c:v>
                </c:pt>
                <c:pt idx="1623">
                  <c:v>1475</c:v>
                </c:pt>
                <c:pt idx="1624">
                  <c:v>1475</c:v>
                </c:pt>
                <c:pt idx="1625">
                  <c:v>1475</c:v>
                </c:pt>
                <c:pt idx="1626">
                  <c:v>1475</c:v>
                </c:pt>
                <c:pt idx="1627">
                  <c:v>1475</c:v>
                </c:pt>
                <c:pt idx="1628">
                  <c:v>1475</c:v>
                </c:pt>
                <c:pt idx="1629">
                  <c:v>1475</c:v>
                </c:pt>
                <c:pt idx="1630">
                  <c:v>1475</c:v>
                </c:pt>
                <c:pt idx="1631">
                  <c:v>1475</c:v>
                </c:pt>
                <c:pt idx="1632">
                  <c:v>1475</c:v>
                </c:pt>
                <c:pt idx="1633">
                  <c:v>1475</c:v>
                </c:pt>
                <c:pt idx="1634">
                  <c:v>1475</c:v>
                </c:pt>
                <c:pt idx="1635">
                  <c:v>1475</c:v>
                </c:pt>
                <c:pt idx="1636">
                  <c:v>1475</c:v>
                </c:pt>
                <c:pt idx="1637">
                  <c:v>1475</c:v>
                </c:pt>
                <c:pt idx="1638">
                  <c:v>1475</c:v>
                </c:pt>
                <c:pt idx="1639">
                  <c:v>1475</c:v>
                </c:pt>
                <c:pt idx="1640">
                  <c:v>1475</c:v>
                </c:pt>
                <c:pt idx="1641">
                  <c:v>1475</c:v>
                </c:pt>
                <c:pt idx="1642">
                  <c:v>1475</c:v>
                </c:pt>
                <c:pt idx="1643">
                  <c:v>1475</c:v>
                </c:pt>
                <c:pt idx="1644">
                  <c:v>1475</c:v>
                </c:pt>
                <c:pt idx="1645">
                  <c:v>1475</c:v>
                </c:pt>
                <c:pt idx="1646">
                  <c:v>1475</c:v>
                </c:pt>
                <c:pt idx="1647">
                  <c:v>1475</c:v>
                </c:pt>
                <c:pt idx="1648">
                  <c:v>1475</c:v>
                </c:pt>
                <c:pt idx="1649">
                  <c:v>1475</c:v>
                </c:pt>
                <c:pt idx="1650">
                  <c:v>1475</c:v>
                </c:pt>
                <c:pt idx="1651">
                  <c:v>1475</c:v>
                </c:pt>
                <c:pt idx="1652">
                  <c:v>1475</c:v>
                </c:pt>
                <c:pt idx="1653">
                  <c:v>1475</c:v>
                </c:pt>
                <c:pt idx="1654">
                  <c:v>1475</c:v>
                </c:pt>
                <c:pt idx="1655">
                  <c:v>1475</c:v>
                </c:pt>
                <c:pt idx="1656">
                  <c:v>1475</c:v>
                </c:pt>
                <c:pt idx="1657">
                  <c:v>1475</c:v>
                </c:pt>
                <c:pt idx="1658">
                  <c:v>1475</c:v>
                </c:pt>
                <c:pt idx="1659">
                  <c:v>1475</c:v>
                </c:pt>
                <c:pt idx="1660">
                  <c:v>1475</c:v>
                </c:pt>
                <c:pt idx="1661">
                  <c:v>1475</c:v>
                </c:pt>
                <c:pt idx="1662">
                  <c:v>1475</c:v>
                </c:pt>
                <c:pt idx="1663">
                  <c:v>1475</c:v>
                </c:pt>
                <c:pt idx="1664">
                  <c:v>1475</c:v>
                </c:pt>
                <c:pt idx="1665">
                  <c:v>1475</c:v>
                </c:pt>
                <c:pt idx="1666">
                  <c:v>1475</c:v>
                </c:pt>
                <c:pt idx="1667">
                  <c:v>1475</c:v>
                </c:pt>
                <c:pt idx="1668">
                  <c:v>1475</c:v>
                </c:pt>
                <c:pt idx="1669">
                  <c:v>1475</c:v>
                </c:pt>
                <c:pt idx="1670">
                  <c:v>1475</c:v>
                </c:pt>
                <c:pt idx="1671">
                  <c:v>1475</c:v>
                </c:pt>
                <c:pt idx="1672">
                  <c:v>1475</c:v>
                </c:pt>
                <c:pt idx="1673">
                  <c:v>1475</c:v>
                </c:pt>
                <c:pt idx="1674">
                  <c:v>1475</c:v>
                </c:pt>
                <c:pt idx="1675">
                  <c:v>1475</c:v>
                </c:pt>
                <c:pt idx="1676">
                  <c:v>1475</c:v>
                </c:pt>
                <c:pt idx="1677">
                  <c:v>1475</c:v>
                </c:pt>
                <c:pt idx="1678">
                  <c:v>1475</c:v>
                </c:pt>
                <c:pt idx="1679">
                  <c:v>1475</c:v>
                </c:pt>
                <c:pt idx="1680">
                  <c:v>1475</c:v>
                </c:pt>
                <c:pt idx="1681">
                  <c:v>1475</c:v>
                </c:pt>
                <c:pt idx="1682">
                  <c:v>1475</c:v>
                </c:pt>
                <c:pt idx="1683">
                  <c:v>1475</c:v>
                </c:pt>
                <c:pt idx="1684">
                  <c:v>1475</c:v>
                </c:pt>
                <c:pt idx="1685">
                  <c:v>1475</c:v>
                </c:pt>
                <c:pt idx="1686">
                  <c:v>1475</c:v>
                </c:pt>
                <c:pt idx="1687">
                  <c:v>1475</c:v>
                </c:pt>
                <c:pt idx="1688">
                  <c:v>1475</c:v>
                </c:pt>
                <c:pt idx="1689">
                  <c:v>1475</c:v>
                </c:pt>
                <c:pt idx="1690">
                  <c:v>1475</c:v>
                </c:pt>
                <c:pt idx="1691">
                  <c:v>1475</c:v>
                </c:pt>
                <c:pt idx="1692">
                  <c:v>1475</c:v>
                </c:pt>
                <c:pt idx="1693">
                  <c:v>1475</c:v>
                </c:pt>
                <c:pt idx="1694">
                  <c:v>1475</c:v>
                </c:pt>
                <c:pt idx="1695">
                  <c:v>1475</c:v>
                </c:pt>
                <c:pt idx="1696">
                  <c:v>1475</c:v>
                </c:pt>
                <c:pt idx="1697">
                  <c:v>1475</c:v>
                </c:pt>
                <c:pt idx="1698">
                  <c:v>1475</c:v>
                </c:pt>
                <c:pt idx="1699">
                  <c:v>1475</c:v>
                </c:pt>
                <c:pt idx="1700">
                  <c:v>1475</c:v>
                </c:pt>
                <c:pt idx="1701">
                  <c:v>1475</c:v>
                </c:pt>
                <c:pt idx="1702">
                  <c:v>1475</c:v>
                </c:pt>
                <c:pt idx="1703">
                  <c:v>1475</c:v>
                </c:pt>
                <c:pt idx="1704">
                  <c:v>1475</c:v>
                </c:pt>
                <c:pt idx="1705">
                  <c:v>1475</c:v>
                </c:pt>
                <c:pt idx="1706">
                  <c:v>1475</c:v>
                </c:pt>
                <c:pt idx="1707">
                  <c:v>1475</c:v>
                </c:pt>
                <c:pt idx="1708">
                  <c:v>1475</c:v>
                </c:pt>
                <c:pt idx="1709">
                  <c:v>1475</c:v>
                </c:pt>
                <c:pt idx="1710">
                  <c:v>1475</c:v>
                </c:pt>
                <c:pt idx="1711">
                  <c:v>1475</c:v>
                </c:pt>
                <c:pt idx="1712">
                  <c:v>1475</c:v>
                </c:pt>
                <c:pt idx="1713">
                  <c:v>1475</c:v>
                </c:pt>
                <c:pt idx="1714">
                  <c:v>1475</c:v>
                </c:pt>
                <c:pt idx="1715">
                  <c:v>1475</c:v>
                </c:pt>
                <c:pt idx="1716">
                  <c:v>1475</c:v>
                </c:pt>
                <c:pt idx="1717">
                  <c:v>1475</c:v>
                </c:pt>
                <c:pt idx="1718">
                  <c:v>1475</c:v>
                </c:pt>
                <c:pt idx="1719">
                  <c:v>1475</c:v>
                </c:pt>
                <c:pt idx="1720">
                  <c:v>1475</c:v>
                </c:pt>
                <c:pt idx="1721">
                  <c:v>1475</c:v>
                </c:pt>
                <c:pt idx="1722">
                  <c:v>1465</c:v>
                </c:pt>
                <c:pt idx="1723">
                  <c:v>1465</c:v>
                </c:pt>
                <c:pt idx="1724">
                  <c:v>1465</c:v>
                </c:pt>
                <c:pt idx="1725">
                  <c:v>1465</c:v>
                </c:pt>
                <c:pt idx="1726">
                  <c:v>1465</c:v>
                </c:pt>
                <c:pt idx="1727">
                  <c:v>1465</c:v>
                </c:pt>
                <c:pt idx="1728">
                  <c:v>1465</c:v>
                </c:pt>
                <c:pt idx="1729">
                  <c:v>1465</c:v>
                </c:pt>
                <c:pt idx="1730">
                  <c:v>1465</c:v>
                </c:pt>
                <c:pt idx="1731">
                  <c:v>1465</c:v>
                </c:pt>
                <c:pt idx="1732">
                  <c:v>1465</c:v>
                </c:pt>
                <c:pt idx="1733">
                  <c:v>1465</c:v>
                </c:pt>
                <c:pt idx="1734">
                  <c:v>1465</c:v>
                </c:pt>
                <c:pt idx="1735">
                  <c:v>1465</c:v>
                </c:pt>
                <c:pt idx="1736">
                  <c:v>1465</c:v>
                </c:pt>
                <c:pt idx="1737">
                  <c:v>1465</c:v>
                </c:pt>
                <c:pt idx="1738">
                  <c:v>1465</c:v>
                </c:pt>
                <c:pt idx="1739">
                  <c:v>1465</c:v>
                </c:pt>
                <c:pt idx="1740">
                  <c:v>1465</c:v>
                </c:pt>
                <c:pt idx="1741">
                  <c:v>1465</c:v>
                </c:pt>
                <c:pt idx="1742">
                  <c:v>1465</c:v>
                </c:pt>
                <c:pt idx="1743">
                  <c:v>1465</c:v>
                </c:pt>
                <c:pt idx="1744">
                  <c:v>1465</c:v>
                </c:pt>
                <c:pt idx="1745">
                  <c:v>1465</c:v>
                </c:pt>
                <c:pt idx="1746">
                  <c:v>1465</c:v>
                </c:pt>
                <c:pt idx="1747">
                  <c:v>1465</c:v>
                </c:pt>
                <c:pt idx="1748">
                  <c:v>1465</c:v>
                </c:pt>
                <c:pt idx="1749">
                  <c:v>1465</c:v>
                </c:pt>
                <c:pt idx="1750">
                  <c:v>1465</c:v>
                </c:pt>
                <c:pt idx="1751">
                  <c:v>1465</c:v>
                </c:pt>
                <c:pt idx="1752">
                  <c:v>1465</c:v>
                </c:pt>
                <c:pt idx="1753">
                  <c:v>1465</c:v>
                </c:pt>
                <c:pt idx="1754">
                  <c:v>1465</c:v>
                </c:pt>
                <c:pt idx="1755">
                  <c:v>1465</c:v>
                </c:pt>
                <c:pt idx="1756">
                  <c:v>1465</c:v>
                </c:pt>
                <c:pt idx="1757">
                  <c:v>1465</c:v>
                </c:pt>
                <c:pt idx="1758">
                  <c:v>1465</c:v>
                </c:pt>
                <c:pt idx="1759">
                  <c:v>1465</c:v>
                </c:pt>
                <c:pt idx="1760">
                  <c:v>1465</c:v>
                </c:pt>
                <c:pt idx="1761">
                  <c:v>1465</c:v>
                </c:pt>
                <c:pt idx="1762">
                  <c:v>1465</c:v>
                </c:pt>
                <c:pt idx="1763">
                  <c:v>1465</c:v>
                </c:pt>
                <c:pt idx="1764">
                  <c:v>1465</c:v>
                </c:pt>
                <c:pt idx="1765">
                  <c:v>1465</c:v>
                </c:pt>
                <c:pt idx="1766">
                  <c:v>1465</c:v>
                </c:pt>
                <c:pt idx="1767">
                  <c:v>1465</c:v>
                </c:pt>
                <c:pt idx="1768">
                  <c:v>1465</c:v>
                </c:pt>
                <c:pt idx="1769">
                  <c:v>1465</c:v>
                </c:pt>
                <c:pt idx="1770">
                  <c:v>1465</c:v>
                </c:pt>
                <c:pt idx="1771">
                  <c:v>1465</c:v>
                </c:pt>
                <c:pt idx="1772">
                  <c:v>1465</c:v>
                </c:pt>
                <c:pt idx="1773">
                  <c:v>1465</c:v>
                </c:pt>
                <c:pt idx="1774">
                  <c:v>1415</c:v>
                </c:pt>
                <c:pt idx="1775">
                  <c:v>1415</c:v>
                </c:pt>
                <c:pt idx="1776">
                  <c:v>1415</c:v>
                </c:pt>
                <c:pt idx="1777">
                  <c:v>1415</c:v>
                </c:pt>
                <c:pt idx="1778">
                  <c:v>1415</c:v>
                </c:pt>
                <c:pt idx="1779">
                  <c:v>1415</c:v>
                </c:pt>
                <c:pt idx="1780">
                  <c:v>1415</c:v>
                </c:pt>
                <c:pt idx="1781">
                  <c:v>1415</c:v>
                </c:pt>
                <c:pt idx="1782">
                  <c:v>1415</c:v>
                </c:pt>
                <c:pt idx="1783">
                  <c:v>1415</c:v>
                </c:pt>
                <c:pt idx="1784">
                  <c:v>1415</c:v>
                </c:pt>
                <c:pt idx="1785">
                  <c:v>1415</c:v>
                </c:pt>
                <c:pt idx="1786">
                  <c:v>1415</c:v>
                </c:pt>
                <c:pt idx="1787">
                  <c:v>1415</c:v>
                </c:pt>
                <c:pt idx="1788">
                  <c:v>1415</c:v>
                </c:pt>
                <c:pt idx="1789">
                  <c:v>1415</c:v>
                </c:pt>
                <c:pt idx="1790">
                  <c:v>1415</c:v>
                </c:pt>
                <c:pt idx="1791">
                  <c:v>1415</c:v>
                </c:pt>
                <c:pt idx="1792">
                  <c:v>1415</c:v>
                </c:pt>
                <c:pt idx="1793">
                  <c:v>1415</c:v>
                </c:pt>
                <c:pt idx="1794">
                  <c:v>1415</c:v>
                </c:pt>
                <c:pt idx="1795">
                  <c:v>1415</c:v>
                </c:pt>
                <c:pt idx="1796">
                  <c:v>1415</c:v>
                </c:pt>
                <c:pt idx="1797">
                  <c:v>1415</c:v>
                </c:pt>
                <c:pt idx="1798">
                  <c:v>1415</c:v>
                </c:pt>
                <c:pt idx="1799">
                  <c:v>1425</c:v>
                </c:pt>
                <c:pt idx="1800">
                  <c:v>1425</c:v>
                </c:pt>
                <c:pt idx="1801">
                  <c:v>1425</c:v>
                </c:pt>
                <c:pt idx="1802">
                  <c:v>1425</c:v>
                </c:pt>
                <c:pt idx="1803">
                  <c:v>1425</c:v>
                </c:pt>
                <c:pt idx="1804">
                  <c:v>1425</c:v>
                </c:pt>
                <c:pt idx="1805">
                  <c:v>1425</c:v>
                </c:pt>
                <c:pt idx="1806">
                  <c:v>1425</c:v>
                </c:pt>
                <c:pt idx="1807">
                  <c:v>1425</c:v>
                </c:pt>
                <c:pt idx="1808">
                  <c:v>1425</c:v>
                </c:pt>
                <c:pt idx="1809">
                  <c:v>1425</c:v>
                </c:pt>
                <c:pt idx="1810">
                  <c:v>1425</c:v>
                </c:pt>
                <c:pt idx="1811">
                  <c:v>1425</c:v>
                </c:pt>
                <c:pt idx="1812">
                  <c:v>1425</c:v>
                </c:pt>
                <c:pt idx="1813">
                  <c:v>1425</c:v>
                </c:pt>
                <c:pt idx="1814">
                  <c:v>1425</c:v>
                </c:pt>
                <c:pt idx="1815">
                  <c:v>1425</c:v>
                </c:pt>
                <c:pt idx="1816">
                  <c:v>1425</c:v>
                </c:pt>
                <c:pt idx="1817">
                  <c:v>1425</c:v>
                </c:pt>
                <c:pt idx="1818">
                  <c:v>1425</c:v>
                </c:pt>
                <c:pt idx="1819">
                  <c:v>1425</c:v>
                </c:pt>
                <c:pt idx="1820">
                  <c:v>1425</c:v>
                </c:pt>
                <c:pt idx="1821">
                  <c:v>1425</c:v>
                </c:pt>
                <c:pt idx="1822">
                  <c:v>1425</c:v>
                </c:pt>
                <c:pt idx="1823">
                  <c:v>1425</c:v>
                </c:pt>
                <c:pt idx="1824">
                  <c:v>1425</c:v>
                </c:pt>
                <c:pt idx="1825">
                  <c:v>1425</c:v>
                </c:pt>
                <c:pt idx="1826">
                  <c:v>1425</c:v>
                </c:pt>
                <c:pt idx="1827">
                  <c:v>1425</c:v>
                </c:pt>
                <c:pt idx="1828">
                  <c:v>1425</c:v>
                </c:pt>
                <c:pt idx="1829">
                  <c:v>1425</c:v>
                </c:pt>
                <c:pt idx="1830">
                  <c:v>1425</c:v>
                </c:pt>
                <c:pt idx="1831">
                  <c:v>1425</c:v>
                </c:pt>
                <c:pt idx="1832">
                  <c:v>1425</c:v>
                </c:pt>
                <c:pt idx="1833">
                  <c:v>1445</c:v>
                </c:pt>
                <c:pt idx="1834">
                  <c:v>1445</c:v>
                </c:pt>
                <c:pt idx="1835">
                  <c:v>1445</c:v>
                </c:pt>
                <c:pt idx="1836">
                  <c:v>1445</c:v>
                </c:pt>
                <c:pt idx="1837">
                  <c:v>1445</c:v>
                </c:pt>
                <c:pt idx="1838">
                  <c:v>1445</c:v>
                </c:pt>
                <c:pt idx="1839">
                  <c:v>1445</c:v>
                </c:pt>
                <c:pt idx="1840">
                  <c:v>1445</c:v>
                </c:pt>
                <c:pt idx="1841">
                  <c:v>1445</c:v>
                </c:pt>
                <c:pt idx="1842">
                  <c:v>1445</c:v>
                </c:pt>
                <c:pt idx="1843">
                  <c:v>1445</c:v>
                </c:pt>
                <c:pt idx="1844">
                  <c:v>1445</c:v>
                </c:pt>
                <c:pt idx="1845">
                  <c:v>1445</c:v>
                </c:pt>
                <c:pt idx="1846">
                  <c:v>1445</c:v>
                </c:pt>
                <c:pt idx="1847">
                  <c:v>1445</c:v>
                </c:pt>
                <c:pt idx="1848">
                  <c:v>1445</c:v>
                </c:pt>
                <c:pt idx="1849">
                  <c:v>1445</c:v>
                </c:pt>
                <c:pt idx="1850">
                  <c:v>1445</c:v>
                </c:pt>
                <c:pt idx="1851">
                  <c:v>1445</c:v>
                </c:pt>
                <c:pt idx="1852">
                  <c:v>1445</c:v>
                </c:pt>
                <c:pt idx="1853">
                  <c:v>1445</c:v>
                </c:pt>
                <c:pt idx="1854">
                  <c:v>1445</c:v>
                </c:pt>
                <c:pt idx="1855">
                  <c:v>1445</c:v>
                </c:pt>
                <c:pt idx="1856">
                  <c:v>1445</c:v>
                </c:pt>
                <c:pt idx="1857">
                  <c:v>1445</c:v>
                </c:pt>
                <c:pt idx="1858">
                  <c:v>1445</c:v>
                </c:pt>
                <c:pt idx="1859">
                  <c:v>1445</c:v>
                </c:pt>
                <c:pt idx="1860">
                  <c:v>1445</c:v>
                </c:pt>
                <c:pt idx="1861">
                  <c:v>1445</c:v>
                </c:pt>
                <c:pt idx="1862">
                  <c:v>1445</c:v>
                </c:pt>
                <c:pt idx="1863">
                  <c:v>1445</c:v>
                </c:pt>
                <c:pt idx="1864">
                  <c:v>1445</c:v>
                </c:pt>
                <c:pt idx="1865">
                  <c:v>1445</c:v>
                </c:pt>
                <c:pt idx="1866">
                  <c:v>1445</c:v>
                </c:pt>
                <c:pt idx="1867">
                  <c:v>1445</c:v>
                </c:pt>
                <c:pt idx="1868">
                  <c:v>1445</c:v>
                </c:pt>
                <c:pt idx="1869">
                  <c:v>1445</c:v>
                </c:pt>
                <c:pt idx="1870">
                  <c:v>1445</c:v>
                </c:pt>
                <c:pt idx="1871">
                  <c:v>1445</c:v>
                </c:pt>
                <c:pt idx="1872">
                  <c:v>1445</c:v>
                </c:pt>
                <c:pt idx="1873">
                  <c:v>1445</c:v>
                </c:pt>
                <c:pt idx="1874">
                  <c:v>1445</c:v>
                </c:pt>
                <c:pt idx="1875">
                  <c:v>1445</c:v>
                </c:pt>
                <c:pt idx="1876">
                  <c:v>1445</c:v>
                </c:pt>
                <c:pt idx="1877">
                  <c:v>1445</c:v>
                </c:pt>
                <c:pt idx="1878">
                  <c:v>1445</c:v>
                </c:pt>
                <c:pt idx="1879">
                  <c:v>1445</c:v>
                </c:pt>
                <c:pt idx="1880">
                  <c:v>1445</c:v>
                </c:pt>
                <c:pt idx="1881">
                  <c:v>1445</c:v>
                </c:pt>
                <c:pt idx="1882">
                  <c:v>1445</c:v>
                </c:pt>
                <c:pt idx="1883">
                  <c:v>1445</c:v>
                </c:pt>
                <c:pt idx="1884">
                  <c:v>1445</c:v>
                </c:pt>
                <c:pt idx="1885">
                  <c:v>1445</c:v>
                </c:pt>
                <c:pt idx="1886">
                  <c:v>1445</c:v>
                </c:pt>
                <c:pt idx="1887">
                  <c:v>1445</c:v>
                </c:pt>
                <c:pt idx="1888">
                  <c:v>1440</c:v>
                </c:pt>
                <c:pt idx="1889">
                  <c:v>1440</c:v>
                </c:pt>
                <c:pt idx="1890">
                  <c:v>1440</c:v>
                </c:pt>
                <c:pt idx="1891">
                  <c:v>1440</c:v>
                </c:pt>
                <c:pt idx="1892">
                  <c:v>1440</c:v>
                </c:pt>
                <c:pt idx="1893">
                  <c:v>1440</c:v>
                </c:pt>
                <c:pt idx="1894">
                  <c:v>1435</c:v>
                </c:pt>
                <c:pt idx="1895">
                  <c:v>1435</c:v>
                </c:pt>
                <c:pt idx="1896">
                  <c:v>1435</c:v>
                </c:pt>
                <c:pt idx="1897">
                  <c:v>1435</c:v>
                </c:pt>
                <c:pt idx="1898">
                  <c:v>1435</c:v>
                </c:pt>
                <c:pt idx="1899">
                  <c:v>1435</c:v>
                </c:pt>
                <c:pt idx="1900">
                  <c:v>1435</c:v>
                </c:pt>
                <c:pt idx="1901">
                  <c:v>1435</c:v>
                </c:pt>
                <c:pt idx="1902">
                  <c:v>1435</c:v>
                </c:pt>
                <c:pt idx="1903">
                  <c:v>1435</c:v>
                </c:pt>
                <c:pt idx="1904">
                  <c:v>1435</c:v>
                </c:pt>
                <c:pt idx="1905">
                  <c:v>1435</c:v>
                </c:pt>
                <c:pt idx="1906">
                  <c:v>1435</c:v>
                </c:pt>
                <c:pt idx="1907">
                  <c:v>1435</c:v>
                </c:pt>
                <c:pt idx="1908">
                  <c:v>1435</c:v>
                </c:pt>
                <c:pt idx="1909">
                  <c:v>1435</c:v>
                </c:pt>
                <c:pt idx="1910">
                  <c:v>1435</c:v>
                </c:pt>
                <c:pt idx="1911">
                  <c:v>1435</c:v>
                </c:pt>
                <c:pt idx="1912">
                  <c:v>1435</c:v>
                </c:pt>
                <c:pt idx="1913">
                  <c:v>1435</c:v>
                </c:pt>
                <c:pt idx="1914">
                  <c:v>1435</c:v>
                </c:pt>
                <c:pt idx="1915">
                  <c:v>1435</c:v>
                </c:pt>
                <c:pt idx="1916">
                  <c:v>1405</c:v>
                </c:pt>
                <c:pt idx="1917">
                  <c:v>1405</c:v>
                </c:pt>
                <c:pt idx="1918">
                  <c:v>1405</c:v>
                </c:pt>
                <c:pt idx="1919">
                  <c:v>1405</c:v>
                </c:pt>
                <c:pt idx="1920">
                  <c:v>1405</c:v>
                </c:pt>
                <c:pt idx="1921">
                  <c:v>1405</c:v>
                </c:pt>
                <c:pt idx="1922">
                  <c:v>1375</c:v>
                </c:pt>
                <c:pt idx="1923">
                  <c:v>1375</c:v>
                </c:pt>
                <c:pt idx="1924">
                  <c:v>1375</c:v>
                </c:pt>
                <c:pt idx="1925">
                  <c:v>1375</c:v>
                </c:pt>
                <c:pt idx="1926">
                  <c:v>1375</c:v>
                </c:pt>
                <c:pt idx="1927">
                  <c:v>1375</c:v>
                </c:pt>
                <c:pt idx="1928">
                  <c:v>1375</c:v>
                </c:pt>
                <c:pt idx="1929">
                  <c:v>1375</c:v>
                </c:pt>
                <c:pt idx="1930">
                  <c:v>1375</c:v>
                </c:pt>
                <c:pt idx="1931">
                  <c:v>1375</c:v>
                </c:pt>
                <c:pt idx="1932">
                  <c:v>1375</c:v>
                </c:pt>
                <c:pt idx="1933">
                  <c:v>1375</c:v>
                </c:pt>
                <c:pt idx="1934">
                  <c:v>1375</c:v>
                </c:pt>
                <c:pt idx="1935">
                  <c:v>1375</c:v>
                </c:pt>
                <c:pt idx="1936">
                  <c:v>1375</c:v>
                </c:pt>
                <c:pt idx="1937">
                  <c:v>1375</c:v>
                </c:pt>
                <c:pt idx="1938">
                  <c:v>1375</c:v>
                </c:pt>
                <c:pt idx="1939">
                  <c:v>1375</c:v>
                </c:pt>
                <c:pt idx="1940">
                  <c:v>1375</c:v>
                </c:pt>
                <c:pt idx="1941">
                  <c:v>1375</c:v>
                </c:pt>
                <c:pt idx="1942">
                  <c:v>1375</c:v>
                </c:pt>
                <c:pt idx="1943">
                  <c:v>1375</c:v>
                </c:pt>
                <c:pt idx="1944">
                  <c:v>1375</c:v>
                </c:pt>
                <c:pt idx="1945">
                  <c:v>1375</c:v>
                </c:pt>
                <c:pt idx="1946">
                  <c:v>1375</c:v>
                </c:pt>
                <c:pt idx="1947">
                  <c:v>1375</c:v>
                </c:pt>
                <c:pt idx="1948">
                  <c:v>1375</c:v>
                </c:pt>
                <c:pt idx="1949">
                  <c:v>1375</c:v>
                </c:pt>
                <c:pt idx="1950">
                  <c:v>1375</c:v>
                </c:pt>
                <c:pt idx="1951">
                  <c:v>1375</c:v>
                </c:pt>
                <c:pt idx="1952">
                  <c:v>1350</c:v>
                </c:pt>
                <c:pt idx="1953">
                  <c:v>1350</c:v>
                </c:pt>
                <c:pt idx="1954">
                  <c:v>1350</c:v>
                </c:pt>
                <c:pt idx="1955">
                  <c:v>1350</c:v>
                </c:pt>
                <c:pt idx="1956">
                  <c:v>1350</c:v>
                </c:pt>
                <c:pt idx="1957">
                  <c:v>1350</c:v>
                </c:pt>
                <c:pt idx="1958">
                  <c:v>1350</c:v>
                </c:pt>
                <c:pt idx="1959">
                  <c:v>1350</c:v>
                </c:pt>
                <c:pt idx="1960">
                  <c:v>1350</c:v>
                </c:pt>
                <c:pt idx="1961">
                  <c:v>1350</c:v>
                </c:pt>
                <c:pt idx="1962">
                  <c:v>1350</c:v>
                </c:pt>
                <c:pt idx="1963">
                  <c:v>1350</c:v>
                </c:pt>
                <c:pt idx="1964">
                  <c:v>1350</c:v>
                </c:pt>
                <c:pt idx="1965">
                  <c:v>1390</c:v>
                </c:pt>
                <c:pt idx="1966">
                  <c:v>1390</c:v>
                </c:pt>
                <c:pt idx="1967">
                  <c:v>1390</c:v>
                </c:pt>
                <c:pt idx="1968">
                  <c:v>1390</c:v>
                </c:pt>
                <c:pt idx="1969">
                  <c:v>1390</c:v>
                </c:pt>
                <c:pt idx="1970">
                  <c:v>1390</c:v>
                </c:pt>
                <c:pt idx="1971">
                  <c:v>1390</c:v>
                </c:pt>
                <c:pt idx="1972">
                  <c:v>1395</c:v>
                </c:pt>
                <c:pt idx="1973">
                  <c:v>1395</c:v>
                </c:pt>
                <c:pt idx="1974">
                  <c:v>1395</c:v>
                </c:pt>
                <c:pt idx="1975">
                  <c:v>1395</c:v>
                </c:pt>
                <c:pt idx="1976">
                  <c:v>1395</c:v>
                </c:pt>
                <c:pt idx="1977">
                  <c:v>1395</c:v>
                </c:pt>
                <c:pt idx="1978">
                  <c:v>1415</c:v>
                </c:pt>
                <c:pt idx="1979">
                  <c:v>1415</c:v>
                </c:pt>
                <c:pt idx="1980">
                  <c:v>1415</c:v>
                </c:pt>
                <c:pt idx="1981">
                  <c:v>1425</c:v>
                </c:pt>
                <c:pt idx="1982">
                  <c:v>1425</c:v>
                </c:pt>
                <c:pt idx="1983">
                  <c:v>1425</c:v>
                </c:pt>
                <c:pt idx="1984">
                  <c:v>1425</c:v>
                </c:pt>
                <c:pt idx="1985">
                  <c:v>1425</c:v>
                </c:pt>
                <c:pt idx="1986">
                  <c:v>1425</c:v>
                </c:pt>
                <c:pt idx="1987">
                  <c:v>1425</c:v>
                </c:pt>
                <c:pt idx="1988">
                  <c:v>1425</c:v>
                </c:pt>
                <c:pt idx="1989">
                  <c:v>1425</c:v>
                </c:pt>
                <c:pt idx="1990">
                  <c:v>1425</c:v>
                </c:pt>
                <c:pt idx="1991">
                  <c:v>1425</c:v>
                </c:pt>
                <c:pt idx="1992">
                  <c:v>1425</c:v>
                </c:pt>
                <c:pt idx="1993">
                  <c:v>1425</c:v>
                </c:pt>
                <c:pt idx="1994">
                  <c:v>1425</c:v>
                </c:pt>
                <c:pt idx="1995">
                  <c:v>1425</c:v>
                </c:pt>
                <c:pt idx="1996">
                  <c:v>1425</c:v>
                </c:pt>
                <c:pt idx="1997">
                  <c:v>1425</c:v>
                </c:pt>
                <c:pt idx="1998">
                  <c:v>1425</c:v>
                </c:pt>
                <c:pt idx="1999">
                  <c:v>1425</c:v>
                </c:pt>
                <c:pt idx="2000">
                  <c:v>1425</c:v>
                </c:pt>
                <c:pt idx="2001">
                  <c:v>1425</c:v>
                </c:pt>
                <c:pt idx="2002">
                  <c:v>1425</c:v>
                </c:pt>
                <c:pt idx="2003">
                  <c:v>1425</c:v>
                </c:pt>
                <c:pt idx="2004">
                  <c:v>1425</c:v>
                </c:pt>
                <c:pt idx="2005">
                  <c:v>1425</c:v>
                </c:pt>
                <c:pt idx="2006">
                  <c:v>1425</c:v>
                </c:pt>
                <c:pt idx="2007">
                  <c:v>1425</c:v>
                </c:pt>
                <c:pt idx="2008">
                  <c:v>1425</c:v>
                </c:pt>
                <c:pt idx="2009">
                  <c:v>1425</c:v>
                </c:pt>
                <c:pt idx="2010">
                  <c:v>1425</c:v>
                </c:pt>
                <c:pt idx="2011">
                  <c:v>1425</c:v>
                </c:pt>
                <c:pt idx="2012">
                  <c:v>1425</c:v>
                </c:pt>
                <c:pt idx="2013">
                  <c:v>1425</c:v>
                </c:pt>
                <c:pt idx="2014">
                  <c:v>1425</c:v>
                </c:pt>
                <c:pt idx="2015">
                  <c:v>1415</c:v>
                </c:pt>
                <c:pt idx="2016">
                  <c:v>1415</c:v>
                </c:pt>
                <c:pt idx="2017">
                  <c:v>1415</c:v>
                </c:pt>
                <c:pt idx="2018">
                  <c:v>1415</c:v>
                </c:pt>
                <c:pt idx="2019">
                  <c:v>1415</c:v>
                </c:pt>
                <c:pt idx="2020">
                  <c:v>1380</c:v>
                </c:pt>
                <c:pt idx="2021">
                  <c:v>1380</c:v>
                </c:pt>
                <c:pt idx="2022">
                  <c:v>1380</c:v>
                </c:pt>
                <c:pt idx="2023">
                  <c:v>1380</c:v>
                </c:pt>
                <c:pt idx="2024">
                  <c:v>1380</c:v>
                </c:pt>
                <c:pt idx="2025">
                  <c:v>1380</c:v>
                </c:pt>
                <c:pt idx="2026">
                  <c:v>1380</c:v>
                </c:pt>
                <c:pt idx="2027">
                  <c:v>1380</c:v>
                </c:pt>
                <c:pt idx="2028">
                  <c:v>1380</c:v>
                </c:pt>
                <c:pt idx="2029">
                  <c:v>1380</c:v>
                </c:pt>
                <c:pt idx="2030">
                  <c:v>1380</c:v>
                </c:pt>
                <c:pt idx="2031">
                  <c:v>1380</c:v>
                </c:pt>
                <c:pt idx="2032">
                  <c:v>1380</c:v>
                </c:pt>
                <c:pt idx="2033">
                  <c:v>1365</c:v>
                </c:pt>
                <c:pt idx="2034">
                  <c:v>1365</c:v>
                </c:pt>
                <c:pt idx="2035">
                  <c:v>1365</c:v>
                </c:pt>
                <c:pt idx="2036">
                  <c:v>1365</c:v>
                </c:pt>
                <c:pt idx="2037">
                  <c:v>1365</c:v>
                </c:pt>
                <c:pt idx="2038">
                  <c:v>1365</c:v>
                </c:pt>
                <c:pt idx="2039">
                  <c:v>1365</c:v>
                </c:pt>
                <c:pt idx="2040">
                  <c:v>1365</c:v>
                </c:pt>
                <c:pt idx="2041">
                  <c:v>1325</c:v>
                </c:pt>
                <c:pt idx="2042">
                  <c:v>1300</c:v>
                </c:pt>
                <c:pt idx="2043">
                  <c:v>1300</c:v>
                </c:pt>
                <c:pt idx="2044">
                  <c:v>1300</c:v>
                </c:pt>
                <c:pt idx="2045">
                  <c:v>1300</c:v>
                </c:pt>
                <c:pt idx="2046">
                  <c:v>1300</c:v>
                </c:pt>
                <c:pt idx="2047">
                  <c:v>1300</c:v>
                </c:pt>
                <c:pt idx="2048">
                  <c:v>1300</c:v>
                </c:pt>
                <c:pt idx="2049">
                  <c:v>1300</c:v>
                </c:pt>
                <c:pt idx="2050">
                  <c:v>1300</c:v>
                </c:pt>
                <c:pt idx="2051">
                  <c:v>1275</c:v>
                </c:pt>
                <c:pt idx="2052">
                  <c:v>1275</c:v>
                </c:pt>
                <c:pt idx="2053">
                  <c:v>1275</c:v>
                </c:pt>
                <c:pt idx="2054">
                  <c:v>1275</c:v>
                </c:pt>
                <c:pt idx="2055">
                  <c:v>1275</c:v>
                </c:pt>
                <c:pt idx="2056">
                  <c:v>1275</c:v>
                </c:pt>
                <c:pt idx="2057">
                  <c:v>1255</c:v>
                </c:pt>
                <c:pt idx="2058">
                  <c:v>1275</c:v>
                </c:pt>
                <c:pt idx="2059">
                  <c:v>1275</c:v>
                </c:pt>
                <c:pt idx="2060">
                  <c:v>1275</c:v>
                </c:pt>
                <c:pt idx="2061">
                  <c:v>1275</c:v>
                </c:pt>
                <c:pt idx="2062">
                  <c:v>1275</c:v>
                </c:pt>
                <c:pt idx="2063">
                  <c:v>1255</c:v>
                </c:pt>
                <c:pt idx="2064">
                  <c:v>1255</c:v>
                </c:pt>
                <c:pt idx="2065">
                  <c:v>1255</c:v>
                </c:pt>
                <c:pt idx="2066">
                  <c:v>1255</c:v>
                </c:pt>
                <c:pt idx="2067">
                  <c:v>1255</c:v>
                </c:pt>
                <c:pt idx="2068">
                  <c:v>1255</c:v>
                </c:pt>
                <c:pt idx="2069">
                  <c:v>1230</c:v>
                </c:pt>
                <c:pt idx="2070">
                  <c:v>1230</c:v>
                </c:pt>
                <c:pt idx="2071">
                  <c:v>1230</c:v>
                </c:pt>
                <c:pt idx="2072">
                  <c:v>1230</c:v>
                </c:pt>
                <c:pt idx="2073">
                  <c:v>1230</c:v>
                </c:pt>
                <c:pt idx="2074">
                  <c:v>1215</c:v>
                </c:pt>
                <c:pt idx="2075">
                  <c:v>1215</c:v>
                </c:pt>
                <c:pt idx="2076">
                  <c:v>1215</c:v>
                </c:pt>
                <c:pt idx="2077">
                  <c:v>1200</c:v>
                </c:pt>
                <c:pt idx="2078">
                  <c:v>1200</c:v>
                </c:pt>
                <c:pt idx="2079">
                  <c:v>1200</c:v>
                </c:pt>
                <c:pt idx="2080">
                  <c:v>1200</c:v>
                </c:pt>
                <c:pt idx="2081">
                  <c:v>1200</c:v>
                </c:pt>
                <c:pt idx="2082">
                  <c:v>1200</c:v>
                </c:pt>
                <c:pt idx="2083">
                  <c:v>1200</c:v>
                </c:pt>
                <c:pt idx="2084">
                  <c:v>1200</c:v>
                </c:pt>
                <c:pt idx="2085">
                  <c:v>1200</c:v>
                </c:pt>
                <c:pt idx="2086">
                  <c:v>1200</c:v>
                </c:pt>
                <c:pt idx="2087">
                  <c:v>1200</c:v>
                </c:pt>
                <c:pt idx="2088">
                  <c:v>1200</c:v>
                </c:pt>
                <c:pt idx="2089">
                  <c:v>1200</c:v>
                </c:pt>
                <c:pt idx="2090">
                  <c:v>1200</c:v>
                </c:pt>
                <c:pt idx="2091">
                  <c:v>1200</c:v>
                </c:pt>
                <c:pt idx="2092">
                  <c:v>1200</c:v>
                </c:pt>
                <c:pt idx="2093">
                  <c:v>1200</c:v>
                </c:pt>
                <c:pt idx="2094">
                  <c:v>1200</c:v>
                </c:pt>
                <c:pt idx="2095">
                  <c:v>1200</c:v>
                </c:pt>
                <c:pt idx="2096">
                  <c:v>1200</c:v>
                </c:pt>
                <c:pt idx="2097">
                  <c:v>1200</c:v>
                </c:pt>
                <c:pt idx="2098">
                  <c:v>1200</c:v>
                </c:pt>
                <c:pt idx="2099">
                  <c:v>1200</c:v>
                </c:pt>
                <c:pt idx="2100">
                  <c:v>1200</c:v>
                </c:pt>
                <c:pt idx="2101">
                  <c:v>1200</c:v>
                </c:pt>
                <c:pt idx="2102">
                  <c:v>1200</c:v>
                </c:pt>
                <c:pt idx="2103">
                  <c:v>1200</c:v>
                </c:pt>
                <c:pt idx="2104">
                  <c:v>1200</c:v>
                </c:pt>
                <c:pt idx="2105">
                  <c:v>1200</c:v>
                </c:pt>
                <c:pt idx="2106">
                  <c:v>1200</c:v>
                </c:pt>
                <c:pt idx="2107">
                  <c:v>1190</c:v>
                </c:pt>
                <c:pt idx="2108">
                  <c:v>1190</c:v>
                </c:pt>
                <c:pt idx="2109">
                  <c:v>1190</c:v>
                </c:pt>
                <c:pt idx="2110">
                  <c:v>1190</c:v>
                </c:pt>
                <c:pt idx="2111">
                  <c:v>1190</c:v>
                </c:pt>
                <c:pt idx="2112">
                  <c:v>1190</c:v>
                </c:pt>
                <c:pt idx="2113">
                  <c:v>1190</c:v>
                </c:pt>
                <c:pt idx="2114">
                  <c:v>1190</c:v>
                </c:pt>
                <c:pt idx="2115">
                  <c:v>1190</c:v>
                </c:pt>
                <c:pt idx="2116">
                  <c:v>1190</c:v>
                </c:pt>
                <c:pt idx="2117">
                  <c:v>1190</c:v>
                </c:pt>
                <c:pt idx="2118">
                  <c:v>1190</c:v>
                </c:pt>
                <c:pt idx="2119">
                  <c:v>1190</c:v>
                </c:pt>
                <c:pt idx="2120">
                  <c:v>1190</c:v>
                </c:pt>
                <c:pt idx="2121">
                  <c:v>1190</c:v>
                </c:pt>
                <c:pt idx="2122">
                  <c:v>1190</c:v>
                </c:pt>
                <c:pt idx="2123">
                  <c:v>1190</c:v>
                </c:pt>
                <c:pt idx="2124">
                  <c:v>1190</c:v>
                </c:pt>
                <c:pt idx="2125">
                  <c:v>1190</c:v>
                </c:pt>
                <c:pt idx="2126">
                  <c:v>1190</c:v>
                </c:pt>
                <c:pt idx="2127">
                  <c:v>1190</c:v>
                </c:pt>
                <c:pt idx="2128">
                  <c:v>1190</c:v>
                </c:pt>
                <c:pt idx="2129">
                  <c:v>1190</c:v>
                </c:pt>
                <c:pt idx="2130">
                  <c:v>1190</c:v>
                </c:pt>
                <c:pt idx="2131">
                  <c:v>1190</c:v>
                </c:pt>
                <c:pt idx="2132">
                  <c:v>1235</c:v>
                </c:pt>
                <c:pt idx="2133">
                  <c:v>1235</c:v>
                </c:pt>
                <c:pt idx="2134">
                  <c:v>1235</c:v>
                </c:pt>
                <c:pt idx="2135">
                  <c:v>1235</c:v>
                </c:pt>
                <c:pt idx="2136">
                  <c:v>1235</c:v>
                </c:pt>
                <c:pt idx="2137">
                  <c:v>1235</c:v>
                </c:pt>
                <c:pt idx="2138">
                  <c:v>1235</c:v>
                </c:pt>
                <c:pt idx="2139">
                  <c:v>1235</c:v>
                </c:pt>
                <c:pt idx="2140">
                  <c:v>1235</c:v>
                </c:pt>
                <c:pt idx="2141">
                  <c:v>1235</c:v>
                </c:pt>
                <c:pt idx="2142">
                  <c:v>1235</c:v>
                </c:pt>
                <c:pt idx="2143">
                  <c:v>1235</c:v>
                </c:pt>
                <c:pt idx="2144">
                  <c:v>1235</c:v>
                </c:pt>
                <c:pt idx="2145">
                  <c:v>1235</c:v>
                </c:pt>
                <c:pt idx="2146">
                  <c:v>1235</c:v>
                </c:pt>
                <c:pt idx="2147">
                  <c:v>1235</c:v>
                </c:pt>
                <c:pt idx="2148">
                  <c:v>1235</c:v>
                </c:pt>
                <c:pt idx="2149">
                  <c:v>1235</c:v>
                </c:pt>
                <c:pt idx="2150">
                  <c:v>1235</c:v>
                </c:pt>
                <c:pt idx="2151">
                  <c:v>1235</c:v>
                </c:pt>
                <c:pt idx="2152">
                  <c:v>1235</c:v>
                </c:pt>
                <c:pt idx="2153">
                  <c:v>1235</c:v>
                </c:pt>
                <c:pt idx="2154">
                  <c:v>1235</c:v>
                </c:pt>
                <c:pt idx="2155">
                  <c:v>1235</c:v>
                </c:pt>
                <c:pt idx="2156">
                  <c:v>1240</c:v>
                </c:pt>
                <c:pt idx="2157">
                  <c:v>1240</c:v>
                </c:pt>
                <c:pt idx="2158">
                  <c:v>1240</c:v>
                </c:pt>
                <c:pt idx="2159">
                  <c:v>1240</c:v>
                </c:pt>
                <c:pt idx="2160">
                  <c:v>1280</c:v>
                </c:pt>
                <c:pt idx="2161">
                  <c:v>1280</c:v>
                </c:pt>
                <c:pt idx="2162">
                  <c:v>1280</c:v>
                </c:pt>
                <c:pt idx="2163">
                  <c:v>1280</c:v>
                </c:pt>
                <c:pt idx="2164">
                  <c:v>1280</c:v>
                </c:pt>
                <c:pt idx="2165">
                  <c:v>1280</c:v>
                </c:pt>
                <c:pt idx="2166">
                  <c:v>1280</c:v>
                </c:pt>
                <c:pt idx="2167">
                  <c:v>1280</c:v>
                </c:pt>
                <c:pt idx="2168">
                  <c:v>1280</c:v>
                </c:pt>
                <c:pt idx="2169">
                  <c:v>1280</c:v>
                </c:pt>
                <c:pt idx="2170">
                  <c:v>1280</c:v>
                </c:pt>
                <c:pt idx="2171">
                  <c:v>1280</c:v>
                </c:pt>
                <c:pt idx="2172">
                  <c:v>1280</c:v>
                </c:pt>
                <c:pt idx="2173">
                  <c:v>1280</c:v>
                </c:pt>
                <c:pt idx="2174">
                  <c:v>1280</c:v>
                </c:pt>
                <c:pt idx="2175">
                  <c:v>1280</c:v>
                </c:pt>
                <c:pt idx="2176">
                  <c:v>1280</c:v>
                </c:pt>
                <c:pt idx="2177">
                  <c:v>1280</c:v>
                </c:pt>
                <c:pt idx="2178">
                  <c:v>1280</c:v>
                </c:pt>
                <c:pt idx="2179">
                  <c:v>1280</c:v>
                </c:pt>
                <c:pt idx="2180">
                  <c:v>1280</c:v>
                </c:pt>
                <c:pt idx="2181">
                  <c:v>1280</c:v>
                </c:pt>
                <c:pt idx="2182">
                  <c:v>1280</c:v>
                </c:pt>
                <c:pt idx="2183">
                  <c:v>1280</c:v>
                </c:pt>
                <c:pt idx="2184">
                  <c:v>1280</c:v>
                </c:pt>
                <c:pt idx="2185">
                  <c:v>1280</c:v>
                </c:pt>
                <c:pt idx="2186">
                  <c:v>1280</c:v>
                </c:pt>
                <c:pt idx="2187">
                  <c:v>1280</c:v>
                </c:pt>
                <c:pt idx="2188">
                  <c:v>1280</c:v>
                </c:pt>
                <c:pt idx="2189">
                  <c:v>1280</c:v>
                </c:pt>
                <c:pt idx="2190">
                  <c:v>1280</c:v>
                </c:pt>
                <c:pt idx="2191">
                  <c:v>1280</c:v>
                </c:pt>
                <c:pt idx="2192">
                  <c:v>1280</c:v>
                </c:pt>
                <c:pt idx="2193">
                  <c:v>1280</c:v>
                </c:pt>
                <c:pt idx="2194">
                  <c:v>1280</c:v>
                </c:pt>
                <c:pt idx="2195">
                  <c:v>1280</c:v>
                </c:pt>
                <c:pt idx="2196">
                  <c:v>1280</c:v>
                </c:pt>
                <c:pt idx="2197">
                  <c:v>1280</c:v>
                </c:pt>
                <c:pt idx="2198">
                  <c:v>1280</c:v>
                </c:pt>
              </c:numCache>
            </c:numRef>
          </c:yVal>
        </c:ser>
        <c:ser>
          <c:idx val="1"/>
          <c:order val="1"/>
          <c:tx>
            <c:strRef>
              <c:f>Sheet1!$C$1</c:f>
              <c:strCache>
                <c:ptCount val="1"/>
                <c:pt idx="0">
                  <c:v>纯碱（重质、华东）</c:v>
                </c:pt>
              </c:strCache>
            </c:strRef>
          </c:tx>
          <c:spPr>
            <a:ln w="19050" cap="rnd">
              <a:solidFill>
                <a:schemeClr val="accent2"/>
              </a:solidFill>
              <a:round/>
            </a:ln>
            <a:effectLst/>
          </c:spPr>
          <c:marker>
            <c:symbol val="none"/>
          </c:marker>
          <c:xVal>
            <c:numRef>
              <c:f>Sheet1!$A$2:$A$2200</c:f>
              <c:numCache>
                <c:formatCode>m/d/yyyy</c:formatCode>
                <c:ptCount val="2199"/>
                <c:pt idx="0">
                  <c:v>40179</c:v>
                </c:pt>
                <c:pt idx="1">
                  <c:v>40180</c:v>
                </c:pt>
                <c:pt idx="2">
                  <c:v>40181</c:v>
                </c:pt>
                <c:pt idx="3">
                  <c:v>40182</c:v>
                </c:pt>
                <c:pt idx="4">
                  <c:v>40183</c:v>
                </c:pt>
                <c:pt idx="5">
                  <c:v>40184</c:v>
                </c:pt>
                <c:pt idx="6">
                  <c:v>40185</c:v>
                </c:pt>
                <c:pt idx="7">
                  <c:v>40186</c:v>
                </c:pt>
                <c:pt idx="8">
                  <c:v>40187</c:v>
                </c:pt>
                <c:pt idx="9">
                  <c:v>40188</c:v>
                </c:pt>
                <c:pt idx="10">
                  <c:v>40189</c:v>
                </c:pt>
                <c:pt idx="11">
                  <c:v>40190</c:v>
                </c:pt>
                <c:pt idx="12">
                  <c:v>40191</c:v>
                </c:pt>
                <c:pt idx="13">
                  <c:v>40192</c:v>
                </c:pt>
                <c:pt idx="14">
                  <c:v>40193</c:v>
                </c:pt>
                <c:pt idx="15">
                  <c:v>40194</c:v>
                </c:pt>
                <c:pt idx="16">
                  <c:v>40195</c:v>
                </c:pt>
                <c:pt idx="17">
                  <c:v>40196</c:v>
                </c:pt>
                <c:pt idx="18">
                  <c:v>40197</c:v>
                </c:pt>
                <c:pt idx="19">
                  <c:v>40198</c:v>
                </c:pt>
                <c:pt idx="20">
                  <c:v>40199</c:v>
                </c:pt>
                <c:pt idx="21">
                  <c:v>40200</c:v>
                </c:pt>
                <c:pt idx="22">
                  <c:v>40201</c:v>
                </c:pt>
                <c:pt idx="23">
                  <c:v>40202</c:v>
                </c:pt>
                <c:pt idx="24">
                  <c:v>40203</c:v>
                </c:pt>
                <c:pt idx="25">
                  <c:v>40204</c:v>
                </c:pt>
                <c:pt idx="26">
                  <c:v>40205</c:v>
                </c:pt>
                <c:pt idx="27">
                  <c:v>40206</c:v>
                </c:pt>
                <c:pt idx="28">
                  <c:v>40207</c:v>
                </c:pt>
                <c:pt idx="29">
                  <c:v>40208</c:v>
                </c:pt>
                <c:pt idx="30">
                  <c:v>40209</c:v>
                </c:pt>
                <c:pt idx="31">
                  <c:v>40210</c:v>
                </c:pt>
                <c:pt idx="32">
                  <c:v>40211</c:v>
                </c:pt>
                <c:pt idx="33">
                  <c:v>40212</c:v>
                </c:pt>
                <c:pt idx="34">
                  <c:v>40213</c:v>
                </c:pt>
                <c:pt idx="35">
                  <c:v>40214</c:v>
                </c:pt>
                <c:pt idx="36">
                  <c:v>40215</c:v>
                </c:pt>
                <c:pt idx="37">
                  <c:v>40216</c:v>
                </c:pt>
                <c:pt idx="38">
                  <c:v>40217</c:v>
                </c:pt>
                <c:pt idx="39">
                  <c:v>40218</c:v>
                </c:pt>
                <c:pt idx="40">
                  <c:v>40219</c:v>
                </c:pt>
                <c:pt idx="41">
                  <c:v>40220</c:v>
                </c:pt>
                <c:pt idx="42">
                  <c:v>40221</c:v>
                </c:pt>
                <c:pt idx="43">
                  <c:v>40222</c:v>
                </c:pt>
                <c:pt idx="44">
                  <c:v>40223</c:v>
                </c:pt>
                <c:pt idx="45">
                  <c:v>40224</c:v>
                </c:pt>
                <c:pt idx="46">
                  <c:v>40225</c:v>
                </c:pt>
                <c:pt idx="47">
                  <c:v>40226</c:v>
                </c:pt>
                <c:pt idx="48">
                  <c:v>40227</c:v>
                </c:pt>
                <c:pt idx="49">
                  <c:v>40228</c:v>
                </c:pt>
                <c:pt idx="50">
                  <c:v>40229</c:v>
                </c:pt>
                <c:pt idx="51">
                  <c:v>40230</c:v>
                </c:pt>
                <c:pt idx="52">
                  <c:v>40231</c:v>
                </c:pt>
                <c:pt idx="53">
                  <c:v>40232</c:v>
                </c:pt>
                <c:pt idx="54">
                  <c:v>40233</c:v>
                </c:pt>
                <c:pt idx="55">
                  <c:v>40234</c:v>
                </c:pt>
                <c:pt idx="56">
                  <c:v>40235</c:v>
                </c:pt>
                <c:pt idx="57">
                  <c:v>40236</c:v>
                </c:pt>
                <c:pt idx="58">
                  <c:v>40237</c:v>
                </c:pt>
                <c:pt idx="59">
                  <c:v>40238</c:v>
                </c:pt>
                <c:pt idx="60">
                  <c:v>40239</c:v>
                </c:pt>
                <c:pt idx="61">
                  <c:v>40240</c:v>
                </c:pt>
                <c:pt idx="62">
                  <c:v>40241</c:v>
                </c:pt>
                <c:pt idx="63">
                  <c:v>40242</c:v>
                </c:pt>
                <c:pt idx="64">
                  <c:v>40243</c:v>
                </c:pt>
                <c:pt idx="65">
                  <c:v>40244</c:v>
                </c:pt>
                <c:pt idx="66">
                  <c:v>40245</c:v>
                </c:pt>
                <c:pt idx="67">
                  <c:v>40246</c:v>
                </c:pt>
                <c:pt idx="68">
                  <c:v>40247</c:v>
                </c:pt>
                <c:pt idx="69">
                  <c:v>40248</c:v>
                </c:pt>
                <c:pt idx="70">
                  <c:v>40249</c:v>
                </c:pt>
                <c:pt idx="71">
                  <c:v>40250</c:v>
                </c:pt>
                <c:pt idx="72">
                  <c:v>40251</c:v>
                </c:pt>
                <c:pt idx="73">
                  <c:v>40252</c:v>
                </c:pt>
                <c:pt idx="74">
                  <c:v>40253</c:v>
                </c:pt>
                <c:pt idx="75">
                  <c:v>40254</c:v>
                </c:pt>
                <c:pt idx="76">
                  <c:v>40255</c:v>
                </c:pt>
                <c:pt idx="77">
                  <c:v>40256</c:v>
                </c:pt>
                <c:pt idx="78">
                  <c:v>40257</c:v>
                </c:pt>
                <c:pt idx="79">
                  <c:v>40258</c:v>
                </c:pt>
                <c:pt idx="80">
                  <c:v>40259</c:v>
                </c:pt>
                <c:pt idx="81">
                  <c:v>40260</c:v>
                </c:pt>
                <c:pt idx="82">
                  <c:v>40261</c:v>
                </c:pt>
                <c:pt idx="83">
                  <c:v>40262</c:v>
                </c:pt>
                <c:pt idx="84">
                  <c:v>40263</c:v>
                </c:pt>
                <c:pt idx="85">
                  <c:v>40264</c:v>
                </c:pt>
                <c:pt idx="86">
                  <c:v>40265</c:v>
                </c:pt>
                <c:pt idx="87">
                  <c:v>40266</c:v>
                </c:pt>
                <c:pt idx="88">
                  <c:v>40267</c:v>
                </c:pt>
                <c:pt idx="89">
                  <c:v>40268</c:v>
                </c:pt>
                <c:pt idx="90">
                  <c:v>40269</c:v>
                </c:pt>
                <c:pt idx="91">
                  <c:v>40270</c:v>
                </c:pt>
                <c:pt idx="92">
                  <c:v>40271</c:v>
                </c:pt>
                <c:pt idx="93">
                  <c:v>40272</c:v>
                </c:pt>
                <c:pt idx="94">
                  <c:v>40273</c:v>
                </c:pt>
                <c:pt idx="95">
                  <c:v>40274</c:v>
                </c:pt>
                <c:pt idx="96">
                  <c:v>40275</c:v>
                </c:pt>
                <c:pt idx="97">
                  <c:v>40276</c:v>
                </c:pt>
                <c:pt idx="98">
                  <c:v>40277</c:v>
                </c:pt>
                <c:pt idx="99">
                  <c:v>40278</c:v>
                </c:pt>
                <c:pt idx="100">
                  <c:v>40279</c:v>
                </c:pt>
                <c:pt idx="101">
                  <c:v>40280</c:v>
                </c:pt>
                <c:pt idx="102">
                  <c:v>40281</c:v>
                </c:pt>
                <c:pt idx="103">
                  <c:v>40282</c:v>
                </c:pt>
                <c:pt idx="104">
                  <c:v>40283</c:v>
                </c:pt>
                <c:pt idx="105">
                  <c:v>40284</c:v>
                </c:pt>
                <c:pt idx="106">
                  <c:v>40285</c:v>
                </c:pt>
                <c:pt idx="107">
                  <c:v>40286</c:v>
                </c:pt>
                <c:pt idx="108">
                  <c:v>40287</c:v>
                </c:pt>
                <c:pt idx="109">
                  <c:v>40288</c:v>
                </c:pt>
                <c:pt idx="110">
                  <c:v>40289</c:v>
                </c:pt>
                <c:pt idx="111">
                  <c:v>40290</c:v>
                </c:pt>
                <c:pt idx="112">
                  <c:v>40291</c:v>
                </c:pt>
                <c:pt idx="113">
                  <c:v>40292</c:v>
                </c:pt>
                <c:pt idx="114">
                  <c:v>40293</c:v>
                </c:pt>
                <c:pt idx="115">
                  <c:v>40294</c:v>
                </c:pt>
                <c:pt idx="116">
                  <c:v>40295</c:v>
                </c:pt>
                <c:pt idx="117">
                  <c:v>40296</c:v>
                </c:pt>
                <c:pt idx="118">
                  <c:v>40297</c:v>
                </c:pt>
                <c:pt idx="119">
                  <c:v>40298</c:v>
                </c:pt>
                <c:pt idx="120">
                  <c:v>40299</c:v>
                </c:pt>
                <c:pt idx="121">
                  <c:v>40300</c:v>
                </c:pt>
                <c:pt idx="122">
                  <c:v>40301</c:v>
                </c:pt>
                <c:pt idx="123">
                  <c:v>40302</c:v>
                </c:pt>
                <c:pt idx="124">
                  <c:v>40303</c:v>
                </c:pt>
                <c:pt idx="125">
                  <c:v>40304</c:v>
                </c:pt>
                <c:pt idx="126">
                  <c:v>40305</c:v>
                </c:pt>
                <c:pt idx="127">
                  <c:v>40306</c:v>
                </c:pt>
                <c:pt idx="128">
                  <c:v>40307</c:v>
                </c:pt>
                <c:pt idx="129">
                  <c:v>40308</c:v>
                </c:pt>
                <c:pt idx="130">
                  <c:v>40309</c:v>
                </c:pt>
                <c:pt idx="131">
                  <c:v>40310</c:v>
                </c:pt>
                <c:pt idx="132">
                  <c:v>40311</c:v>
                </c:pt>
                <c:pt idx="133">
                  <c:v>40312</c:v>
                </c:pt>
                <c:pt idx="134">
                  <c:v>40313</c:v>
                </c:pt>
                <c:pt idx="135">
                  <c:v>40314</c:v>
                </c:pt>
                <c:pt idx="136">
                  <c:v>40315</c:v>
                </c:pt>
                <c:pt idx="137">
                  <c:v>40316</c:v>
                </c:pt>
                <c:pt idx="138">
                  <c:v>40317</c:v>
                </c:pt>
                <c:pt idx="139">
                  <c:v>40318</c:v>
                </c:pt>
                <c:pt idx="140">
                  <c:v>40319</c:v>
                </c:pt>
                <c:pt idx="141">
                  <c:v>40320</c:v>
                </c:pt>
                <c:pt idx="142">
                  <c:v>40321</c:v>
                </c:pt>
                <c:pt idx="143">
                  <c:v>40322</c:v>
                </c:pt>
                <c:pt idx="144">
                  <c:v>40323</c:v>
                </c:pt>
                <c:pt idx="145">
                  <c:v>40324</c:v>
                </c:pt>
                <c:pt idx="146">
                  <c:v>40325</c:v>
                </c:pt>
                <c:pt idx="147">
                  <c:v>40326</c:v>
                </c:pt>
                <c:pt idx="148">
                  <c:v>40327</c:v>
                </c:pt>
                <c:pt idx="149">
                  <c:v>40328</c:v>
                </c:pt>
                <c:pt idx="150">
                  <c:v>40329</c:v>
                </c:pt>
                <c:pt idx="151">
                  <c:v>40330</c:v>
                </c:pt>
                <c:pt idx="152">
                  <c:v>40331</c:v>
                </c:pt>
                <c:pt idx="153">
                  <c:v>40332</c:v>
                </c:pt>
                <c:pt idx="154">
                  <c:v>40333</c:v>
                </c:pt>
                <c:pt idx="155">
                  <c:v>40334</c:v>
                </c:pt>
                <c:pt idx="156">
                  <c:v>40335</c:v>
                </c:pt>
                <c:pt idx="157">
                  <c:v>40336</c:v>
                </c:pt>
                <c:pt idx="158">
                  <c:v>40337</c:v>
                </c:pt>
                <c:pt idx="159">
                  <c:v>40338</c:v>
                </c:pt>
                <c:pt idx="160">
                  <c:v>40339</c:v>
                </c:pt>
                <c:pt idx="161">
                  <c:v>40340</c:v>
                </c:pt>
                <c:pt idx="162">
                  <c:v>40341</c:v>
                </c:pt>
                <c:pt idx="163">
                  <c:v>40342</c:v>
                </c:pt>
                <c:pt idx="164">
                  <c:v>40343</c:v>
                </c:pt>
                <c:pt idx="165">
                  <c:v>40344</c:v>
                </c:pt>
                <c:pt idx="166">
                  <c:v>40345</c:v>
                </c:pt>
                <c:pt idx="167">
                  <c:v>40346</c:v>
                </c:pt>
                <c:pt idx="168">
                  <c:v>40347</c:v>
                </c:pt>
                <c:pt idx="169">
                  <c:v>40348</c:v>
                </c:pt>
                <c:pt idx="170">
                  <c:v>40349</c:v>
                </c:pt>
                <c:pt idx="171">
                  <c:v>40350</c:v>
                </c:pt>
                <c:pt idx="172">
                  <c:v>40351</c:v>
                </c:pt>
                <c:pt idx="173">
                  <c:v>40352</c:v>
                </c:pt>
                <c:pt idx="174">
                  <c:v>40353</c:v>
                </c:pt>
                <c:pt idx="175">
                  <c:v>40354</c:v>
                </c:pt>
                <c:pt idx="176">
                  <c:v>40355</c:v>
                </c:pt>
                <c:pt idx="177">
                  <c:v>40356</c:v>
                </c:pt>
                <c:pt idx="178">
                  <c:v>40357</c:v>
                </c:pt>
                <c:pt idx="179">
                  <c:v>40358</c:v>
                </c:pt>
                <c:pt idx="180">
                  <c:v>40359</c:v>
                </c:pt>
                <c:pt idx="181">
                  <c:v>40360</c:v>
                </c:pt>
                <c:pt idx="182">
                  <c:v>40361</c:v>
                </c:pt>
                <c:pt idx="183">
                  <c:v>40362</c:v>
                </c:pt>
                <c:pt idx="184">
                  <c:v>40363</c:v>
                </c:pt>
                <c:pt idx="185">
                  <c:v>40364</c:v>
                </c:pt>
                <c:pt idx="186">
                  <c:v>40365</c:v>
                </c:pt>
                <c:pt idx="187">
                  <c:v>40366</c:v>
                </c:pt>
                <c:pt idx="188">
                  <c:v>40367</c:v>
                </c:pt>
                <c:pt idx="189">
                  <c:v>40368</c:v>
                </c:pt>
                <c:pt idx="190">
                  <c:v>40369</c:v>
                </c:pt>
                <c:pt idx="191">
                  <c:v>40370</c:v>
                </c:pt>
                <c:pt idx="192">
                  <c:v>40371</c:v>
                </c:pt>
                <c:pt idx="193">
                  <c:v>40372</c:v>
                </c:pt>
                <c:pt idx="194">
                  <c:v>40373</c:v>
                </c:pt>
                <c:pt idx="195">
                  <c:v>40374</c:v>
                </c:pt>
                <c:pt idx="196">
                  <c:v>40375</c:v>
                </c:pt>
                <c:pt idx="197">
                  <c:v>40376</c:v>
                </c:pt>
                <c:pt idx="198">
                  <c:v>40377</c:v>
                </c:pt>
                <c:pt idx="199">
                  <c:v>40378</c:v>
                </c:pt>
                <c:pt idx="200">
                  <c:v>40379</c:v>
                </c:pt>
                <c:pt idx="201">
                  <c:v>40380</c:v>
                </c:pt>
                <c:pt idx="202">
                  <c:v>40381</c:v>
                </c:pt>
                <c:pt idx="203">
                  <c:v>40382</c:v>
                </c:pt>
                <c:pt idx="204">
                  <c:v>40383</c:v>
                </c:pt>
                <c:pt idx="205">
                  <c:v>40384</c:v>
                </c:pt>
                <c:pt idx="206">
                  <c:v>40385</c:v>
                </c:pt>
                <c:pt idx="207">
                  <c:v>40386</c:v>
                </c:pt>
                <c:pt idx="208">
                  <c:v>40387</c:v>
                </c:pt>
                <c:pt idx="209">
                  <c:v>40388</c:v>
                </c:pt>
                <c:pt idx="210">
                  <c:v>40389</c:v>
                </c:pt>
                <c:pt idx="211">
                  <c:v>40390</c:v>
                </c:pt>
                <c:pt idx="212">
                  <c:v>40391</c:v>
                </c:pt>
                <c:pt idx="213">
                  <c:v>40392</c:v>
                </c:pt>
                <c:pt idx="214">
                  <c:v>40393</c:v>
                </c:pt>
                <c:pt idx="215">
                  <c:v>40394</c:v>
                </c:pt>
                <c:pt idx="216">
                  <c:v>40395</c:v>
                </c:pt>
                <c:pt idx="217">
                  <c:v>40396</c:v>
                </c:pt>
                <c:pt idx="218">
                  <c:v>40397</c:v>
                </c:pt>
                <c:pt idx="219">
                  <c:v>40398</c:v>
                </c:pt>
                <c:pt idx="220">
                  <c:v>40399</c:v>
                </c:pt>
                <c:pt idx="221">
                  <c:v>40400</c:v>
                </c:pt>
                <c:pt idx="222">
                  <c:v>40401</c:v>
                </c:pt>
                <c:pt idx="223">
                  <c:v>40402</c:v>
                </c:pt>
                <c:pt idx="224">
                  <c:v>40403</c:v>
                </c:pt>
                <c:pt idx="225">
                  <c:v>40404</c:v>
                </c:pt>
                <c:pt idx="226">
                  <c:v>40405</c:v>
                </c:pt>
                <c:pt idx="227">
                  <c:v>40406</c:v>
                </c:pt>
                <c:pt idx="228">
                  <c:v>40407</c:v>
                </c:pt>
                <c:pt idx="229">
                  <c:v>40408</c:v>
                </c:pt>
                <c:pt idx="230">
                  <c:v>40409</c:v>
                </c:pt>
                <c:pt idx="231">
                  <c:v>40410</c:v>
                </c:pt>
                <c:pt idx="232">
                  <c:v>40411</c:v>
                </c:pt>
                <c:pt idx="233">
                  <c:v>40412</c:v>
                </c:pt>
                <c:pt idx="234">
                  <c:v>40413</c:v>
                </c:pt>
                <c:pt idx="235">
                  <c:v>40414</c:v>
                </c:pt>
                <c:pt idx="236">
                  <c:v>40415</c:v>
                </c:pt>
                <c:pt idx="237">
                  <c:v>40416</c:v>
                </c:pt>
                <c:pt idx="238">
                  <c:v>40417</c:v>
                </c:pt>
                <c:pt idx="239">
                  <c:v>40418</c:v>
                </c:pt>
                <c:pt idx="240">
                  <c:v>40419</c:v>
                </c:pt>
                <c:pt idx="241">
                  <c:v>40420</c:v>
                </c:pt>
                <c:pt idx="242">
                  <c:v>40421</c:v>
                </c:pt>
                <c:pt idx="243">
                  <c:v>40422</c:v>
                </c:pt>
                <c:pt idx="244">
                  <c:v>40423</c:v>
                </c:pt>
                <c:pt idx="245">
                  <c:v>40424</c:v>
                </c:pt>
                <c:pt idx="246">
                  <c:v>40425</c:v>
                </c:pt>
                <c:pt idx="247">
                  <c:v>40426</c:v>
                </c:pt>
                <c:pt idx="248">
                  <c:v>40427</c:v>
                </c:pt>
                <c:pt idx="249">
                  <c:v>40428</c:v>
                </c:pt>
                <c:pt idx="250">
                  <c:v>40429</c:v>
                </c:pt>
                <c:pt idx="251">
                  <c:v>40430</c:v>
                </c:pt>
                <c:pt idx="252">
                  <c:v>40431</c:v>
                </c:pt>
                <c:pt idx="253">
                  <c:v>40432</c:v>
                </c:pt>
                <c:pt idx="254">
                  <c:v>40433</c:v>
                </c:pt>
                <c:pt idx="255">
                  <c:v>40434</c:v>
                </c:pt>
                <c:pt idx="256">
                  <c:v>40435</c:v>
                </c:pt>
                <c:pt idx="257">
                  <c:v>40436</c:v>
                </c:pt>
                <c:pt idx="258">
                  <c:v>40437</c:v>
                </c:pt>
                <c:pt idx="259">
                  <c:v>40438</c:v>
                </c:pt>
                <c:pt idx="260">
                  <c:v>40439</c:v>
                </c:pt>
                <c:pt idx="261">
                  <c:v>40440</c:v>
                </c:pt>
                <c:pt idx="262">
                  <c:v>40441</c:v>
                </c:pt>
                <c:pt idx="263">
                  <c:v>40442</c:v>
                </c:pt>
                <c:pt idx="264">
                  <c:v>40443</c:v>
                </c:pt>
                <c:pt idx="265">
                  <c:v>40444</c:v>
                </c:pt>
                <c:pt idx="266">
                  <c:v>40445</c:v>
                </c:pt>
                <c:pt idx="267">
                  <c:v>40446</c:v>
                </c:pt>
                <c:pt idx="268">
                  <c:v>40447</c:v>
                </c:pt>
                <c:pt idx="269">
                  <c:v>40448</c:v>
                </c:pt>
                <c:pt idx="270">
                  <c:v>40449</c:v>
                </c:pt>
                <c:pt idx="271">
                  <c:v>40450</c:v>
                </c:pt>
                <c:pt idx="272">
                  <c:v>40451</c:v>
                </c:pt>
                <c:pt idx="273">
                  <c:v>40452</c:v>
                </c:pt>
                <c:pt idx="274">
                  <c:v>40453</c:v>
                </c:pt>
                <c:pt idx="275">
                  <c:v>40454</c:v>
                </c:pt>
                <c:pt idx="276">
                  <c:v>40455</c:v>
                </c:pt>
                <c:pt idx="277">
                  <c:v>40456</c:v>
                </c:pt>
                <c:pt idx="278">
                  <c:v>40457</c:v>
                </c:pt>
                <c:pt idx="279">
                  <c:v>40458</c:v>
                </c:pt>
                <c:pt idx="280">
                  <c:v>40459</c:v>
                </c:pt>
                <c:pt idx="281">
                  <c:v>40460</c:v>
                </c:pt>
                <c:pt idx="282">
                  <c:v>40461</c:v>
                </c:pt>
                <c:pt idx="283">
                  <c:v>40462</c:v>
                </c:pt>
                <c:pt idx="284">
                  <c:v>40463</c:v>
                </c:pt>
                <c:pt idx="285">
                  <c:v>40464</c:v>
                </c:pt>
                <c:pt idx="286">
                  <c:v>40465</c:v>
                </c:pt>
                <c:pt idx="287">
                  <c:v>40466</c:v>
                </c:pt>
                <c:pt idx="288">
                  <c:v>40467</c:v>
                </c:pt>
                <c:pt idx="289">
                  <c:v>40468</c:v>
                </c:pt>
                <c:pt idx="290">
                  <c:v>40469</c:v>
                </c:pt>
                <c:pt idx="291">
                  <c:v>40470</c:v>
                </c:pt>
                <c:pt idx="292">
                  <c:v>40471</c:v>
                </c:pt>
                <c:pt idx="293">
                  <c:v>40472</c:v>
                </c:pt>
                <c:pt idx="294">
                  <c:v>40473</c:v>
                </c:pt>
                <c:pt idx="295">
                  <c:v>40474</c:v>
                </c:pt>
                <c:pt idx="296">
                  <c:v>40475</c:v>
                </c:pt>
                <c:pt idx="297">
                  <c:v>40476</c:v>
                </c:pt>
                <c:pt idx="298">
                  <c:v>40477</c:v>
                </c:pt>
                <c:pt idx="299">
                  <c:v>40478</c:v>
                </c:pt>
                <c:pt idx="300">
                  <c:v>40479</c:v>
                </c:pt>
                <c:pt idx="301">
                  <c:v>40480</c:v>
                </c:pt>
                <c:pt idx="302">
                  <c:v>40481</c:v>
                </c:pt>
                <c:pt idx="303">
                  <c:v>40482</c:v>
                </c:pt>
                <c:pt idx="304">
                  <c:v>40483</c:v>
                </c:pt>
                <c:pt idx="305">
                  <c:v>40484</c:v>
                </c:pt>
                <c:pt idx="306">
                  <c:v>40485</c:v>
                </c:pt>
                <c:pt idx="307">
                  <c:v>40486</c:v>
                </c:pt>
                <c:pt idx="308">
                  <c:v>40487</c:v>
                </c:pt>
                <c:pt idx="309">
                  <c:v>40488</c:v>
                </c:pt>
                <c:pt idx="310">
                  <c:v>40489</c:v>
                </c:pt>
                <c:pt idx="311">
                  <c:v>40490</c:v>
                </c:pt>
                <c:pt idx="312">
                  <c:v>40491</c:v>
                </c:pt>
                <c:pt idx="313">
                  <c:v>40492</c:v>
                </c:pt>
                <c:pt idx="314">
                  <c:v>40493</c:v>
                </c:pt>
                <c:pt idx="315">
                  <c:v>40494</c:v>
                </c:pt>
                <c:pt idx="316">
                  <c:v>40495</c:v>
                </c:pt>
                <c:pt idx="317">
                  <c:v>40496</c:v>
                </c:pt>
                <c:pt idx="318">
                  <c:v>40497</c:v>
                </c:pt>
                <c:pt idx="319">
                  <c:v>40498</c:v>
                </c:pt>
                <c:pt idx="320">
                  <c:v>40499</c:v>
                </c:pt>
                <c:pt idx="321">
                  <c:v>40500</c:v>
                </c:pt>
                <c:pt idx="322">
                  <c:v>40501</c:v>
                </c:pt>
                <c:pt idx="323">
                  <c:v>40502</c:v>
                </c:pt>
                <c:pt idx="324">
                  <c:v>40503</c:v>
                </c:pt>
                <c:pt idx="325">
                  <c:v>40504</c:v>
                </c:pt>
                <c:pt idx="326">
                  <c:v>40505</c:v>
                </c:pt>
                <c:pt idx="327">
                  <c:v>40506</c:v>
                </c:pt>
                <c:pt idx="328">
                  <c:v>40507</c:v>
                </c:pt>
                <c:pt idx="329">
                  <c:v>40508</c:v>
                </c:pt>
                <c:pt idx="330">
                  <c:v>40509</c:v>
                </c:pt>
                <c:pt idx="331">
                  <c:v>40510</c:v>
                </c:pt>
                <c:pt idx="332">
                  <c:v>40511</c:v>
                </c:pt>
                <c:pt idx="333">
                  <c:v>40512</c:v>
                </c:pt>
                <c:pt idx="334">
                  <c:v>40513</c:v>
                </c:pt>
                <c:pt idx="335">
                  <c:v>40514</c:v>
                </c:pt>
                <c:pt idx="336">
                  <c:v>40515</c:v>
                </c:pt>
                <c:pt idx="337">
                  <c:v>40516</c:v>
                </c:pt>
                <c:pt idx="338">
                  <c:v>40517</c:v>
                </c:pt>
                <c:pt idx="339">
                  <c:v>40518</c:v>
                </c:pt>
                <c:pt idx="340">
                  <c:v>40519</c:v>
                </c:pt>
                <c:pt idx="341">
                  <c:v>40520</c:v>
                </c:pt>
                <c:pt idx="342">
                  <c:v>40521</c:v>
                </c:pt>
                <c:pt idx="343">
                  <c:v>40522</c:v>
                </c:pt>
                <c:pt idx="344">
                  <c:v>40523</c:v>
                </c:pt>
                <c:pt idx="345">
                  <c:v>40524</c:v>
                </c:pt>
                <c:pt idx="346">
                  <c:v>40525</c:v>
                </c:pt>
                <c:pt idx="347">
                  <c:v>40526</c:v>
                </c:pt>
                <c:pt idx="348">
                  <c:v>40527</c:v>
                </c:pt>
                <c:pt idx="349">
                  <c:v>40528</c:v>
                </c:pt>
                <c:pt idx="350">
                  <c:v>40529</c:v>
                </c:pt>
                <c:pt idx="351">
                  <c:v>40530</c:v>
                </c:pt>
                <c:pt idx="352">
                  <c:v>40531</c:v>
                </c:pt>
                <c:pt idx="353">
                  <c:v>40532</c:v>
                </c:pt>
                <c:pt idx="354">
                  <c:v>40533</c:v>
                </c:pt>
                <c:pt idx="355">
                  <c:v>40534</c:v>
                </c:pt>
                <c:pt idx="356">
                  <c:v>40535</c:v>
                </c:pt>
                <c:pt idx="357">
                  <c:v>40536</c:v>
                </c:pt>
                <c:pt idx="358">
                  <c:v>40537</c:v>
                </c:pt>
                <c:pt idx="359">
                  <c:v>40538</c:v>
                </c:pt>
                <c:pt idx="360">
                  <c:v>40539</c:v>
                </c:pt>
                <c:pt idx="361">
                  <c:v>40540</c:v>
                </c:pt>
                <c:pt idx="362">
                  <c:v>40541</c:v>
                </c:pt>
                <c:pt idx="363">
                  <c:v>40542</c:v>
                </c:pt>
                <c:pt idx="364">
                  <c:v>40543</c:v>
                </c:pt>
                <c:pt idx="365">
                  <c:v>40544</c:v>
                </c:pt>
                <c:pt idx="366">
                  <c:v>40545</c:v>
                </c:pt>
                <c:pt idx="367">
                  <c:v>40546</c:v>
                </c:pt>
                <c:pt idx="368">
                  <c:v>40547</c:v>
                </c:pt>
                <c:pt idx="369">
                  <c:v>40548</c:v>
                </c:pt>
                <c:pt idx="370">
                  <c:v>40549</c:v>
                </c:pt>
                <c:pt idx="371">
                  <c:v>40550</c:v>
                </c:pt>
                <c:pt idx="372">
                  <c:v>40551</c:v>
                </c:pt>
                <c:pt idx="373">
                  <c:v>40552</c:v>
                </c:pt>
                <c:pt idx="374">
                  <c:v>40553</c:v>
                </c:pt>
                <c:pt idx="375">
                  <c:v>40554</c:v>
                </c:pt>
                <c:pt idx="376">
                  <c:v>40555</c:v>
                </c:pt>
                <c:pt idx="377">
                  <c:v>40556</c:v>
                </c:pt>
                <c:pt idx="378">
                  <c:v>40557</c:v>
                </c:pt>
                <c:pt idx="379">
                  <c:v>40558</c:v>
                </c:pt>
                <c:pt idx="380">
                  <c:v>40559</c:v>
                </c:pt>
                <c:pt idx="381">
                  <c:v>40560</c:v>
                </c:pt>
                <c:pt idx="382">
                  <c:v>40561</c:v>
                </c:pt>
                <c:pt idx="383">
                  <c:v>40562</c:v>
                </c:pt>
                <c:pt idx="384">
                  <c:v>40563</c:v>
                </c:pt>
                <c:pt idx="385">
                  <c:v>40564</c:v>
                </c:pt>
                <c:pt idx="386">
                  <c:v>40565</c:v>
                </c:pt>
                <c:pt idx="387">
                  <c:v>40566</c:v>
                </c:pt>
                <c:pt idx="388">
                  <c:v>40567</c:v>
                </c:pt>
                <c:pt idx="389">
                  <c:v>40568</c:v>
                </c:pt>
                <c:pt idx="390">
                  <c:v>40569</c:v>
                </c:pt>
                <c:pt idx="391">
                  <c:v>40570</c:v>
                </c:pt>
                <c:pt idx="392">
                  <c:v>40571</c:v>
                </c:pt>
                <c:pt idx="393">
                  <c:v>40572</c:v>
                </c:pt>
                <c:pt idx="394">
                  <c:v>40573</c:v>
                </c:pt>
                <c:pt idx="395">
                  <c:v>40574</c:v>
                </c:pt>
                <c:pt idx="396">
                  <c:v>40575</c:v>
                </c:pt>
                <c:pt idx="397">
                  <c:v>40576</c:v>
                </c:pt>
                <c:pt idx="398">
                  <c:v>40577</c:v>
                </c:pt>
                <c:pt idx="399">
                  <c:v>40578</c:v>
                </c:pt>
                <c:pt idx="400">
                  <c:v>40579</c:v>
                </c:pt>
                <c:pt idx="401">
                  <c:v>40580</c:v>
                </c:pt>
                <c:pt idx="402">
                  <c:v>40581</c:v>
                </c:pt>
                <c:pt idx="403">
                  <c:v>40582</c:v>
                </c:pt>
                <c:pt idx="404">
                  <c:v>40583</c:v>
                </c:pt>
                <c:pt idx="405">
                  <c:v>40584</c:v>
                </c:pt>
                <c:pt idx="406">
                  <c:v>40585</c:v>
                </c:pt>
                <c:pt idx="407">
                  <c:v>40586</c:v>
                </c:pt>
                <c:pt idx="408">
                  <c:v>40587</c:v>
                </c:pt>
                <c:pt idx="409">
                  <c:v>40588</c:v>
                </c:pt>
                <c:pt idx="410">
                  <c:v>40589</c:v>
                </c:pt>
                <c:pt idx="411">
                  <c:v>40590</c:v>
                </c:pt>
                <c:pt idx="412">
                  <c:v>40591</c:v>
                </c:pt>
                <c:pt idx="413">
                  <c:v>40592</c:v>
                </c:pt>
                <c:pt idx="414">
                  <c:v>40593</c:v>
                </c:pt>
                <c:pt idx="415">
                  <c:v>40594</c:v>
                </c:pt>
                <c:pt idx="416">
                  <c:v>40595</c:v>
                </c:pt>
                <c:pt idx="417">
                  <c:v>40596</c:v>
                </c:pt>
                <c:pt idx="418">
                  <c:v>40597</c:v>
                </c:pt>
                <c:pt idx="419">
                  <c:v>40598</c:v>
                </c:pt>
                <c:pt idx="420">
                  <c:v>40599</c:v>
                </c:pt>
                <c:pt idx="421">
                  <c:v>40600</c:v>
                </c:pt>
                <c:pt idx="422">
                  <c:v>40601</c:v>
                </c:pt>
                <c:pt idx="423">
                  <c:v>40602</c:v>
                </c:pt>
                <c:pt idx="424">
                  <c:v>40603</c:v>
                </c:pt>
                <c:pt idx="425">
                  <c:v>40604</c:v>
                </c:pt>
                <c:pt idx="426">
                  <c:v>40605</c:v>
                </c:pt>
                <c:pt idx="427">
                  <c:v>40606</c:v>
                </c:pt>
                <c:pt idx="428">
                  <c:v>40607</c:v>
                </c:pt>
                <c:pt idx="429">
                  <c:v>40608</c:v>
                </c:pt>
                <c:pt idx="430">
                  <c:v>40609</c:v>
                </c:pt>
                <c:pt idx="431">
                  <c:v>40610</c:v>
                </c:pt>
                <c:pt idx="432">
                  <c:v>40611</c:v>
                </c:pt>
                <c:pt idx="433">
                  <c:v>40612</c:v>
                </c:pt>
                <c:pt idx="434">
                  <c:v>40613</c:v>
                </c:pt>
                <c:pt idx="435">
                  <c:v>40614</c:v>
                </c:pt>
                <c:pt idx="436">
                  <c:v>40615</c:v>
                </c:pt>
                <c:pt idx="437">
                  <c:v>40616</c:v>
                </c:pt>
                <c:pt idx="438">
                  <c:v>40617</c:v>
                </c:pt>
                <c:pt idx="439">
                  <c:v>40618</c:v>
                </c:pt>
                <c:pt idx="440">
                  <c:v>40619</c:v>
                </c:pt>
                <c:pt idx="441">
                  <c:v>40620</c:v>
                </c:pt>
                <c:pt idx="442">
                  <c:v>40621</c:v>
                </c:pt>
                <c:pt idx="443">
                  <c:v>40622</c:v>
                </c:pt>
                <c:pt idx="444">
                  <c:v>40623</c:v>
                </c:pt>
                <c:pt idx="445">
                  <c:v>40624</c:v>
                </c:pt>
                <c:pt idx="446">
                  <c:v>40625</c:v>
                </c:pt>
                <c:pt idx="447">
                  <c:v>40626</c:v>
                </c:pt>
                <c:pt idx="448">
                  <c:v>40627</c:v>
                </c:pt>
                <c:pt idx="449">
                  <c:v>40628</c:v>
                </c:pt>
                <c:pt idx="450">
                  <c:v>40629</c:v>
                </c:pt>
                <c:pt idx="451">
                  <c:v>40630</c:v>
                </c:pt>
                <c:pt idx="452">
                  <c:v>40631</c:v>
                </c:pt>
                <c:pt idx="453">
                  <c:v>40632</c:v>
                </c:pt>
                <c:pt idx="454">
                  <c:v>40633</c:v>
                </c:pt>
                <c:pt idx="455">
                  <c:v>40634</c:v>
                </c:pt>
                <c:pt idx="456">
                  <c:v>40635</c:v>
                </c:pt>
                <c:pt idx="457">
                  <c:v>40636</c:v>
                </c:pt>
                <c:pt idx="458">
                  <c:v>40637</c:v>
                </c:pt>
                <c:pt idx="459">
                  <c:v>40638</c:v>
                </c:pt>
                <c:pt idx="460">
                  <c:v>40639</c:v>
                </c:pt>
                <c:pt idx="461">
                  <c:v>40640</c:v>
                </c:pt>
                <c:pt idx="462">
                  <c:v>40641</c:v>
                </c:pt>
                <c:pt idx="463">
                  <c:v>40642</c:v>
                </c:pt>
                <c:pt idx="464">
                  <c:v>40643</c:v>
                </c:pt>
                <c:pt idx="465">
                  <c:v>40644</c:v>
                </c:pt>
                <c:pt idx="466">
                  <c:v>40645</c:v>
                </c:pt>
                <c:pt idx="467">
                  <c:v>40646</c:v>
                </c:pt>
                <c:pt idx="468">
                  <c:v>40647</c:v>
                </c:pt>
                <c:pt idx="469">
                  <c:v>40648</c:v>
                </c:pt>
                <c:pt idx="470">
                  <c:v>40649</c:v>
                </c:pt>
                <c:pt idx="471">
                  <c:v>40650</c:v>
                </c:pt>
                <c:pt idx="472">
                  <c:v>40651</c:v>
                </c:pt>
                <c:pt idx="473">
                  <c:v>40652</c:v>
                </c:pt>
                <c:pt idx="474">
                  <c:v>40653</c:v>
                </c:pt>
                <c:pt idx="475">
                  <c:v>40654</c:v>
                </c:pt>
                <c:pt idx="476">
                  <c:v>40655</c:v>
                </c:pt>
                <c:pt idx="477">
                  <c:v>40656</c:v>
                </c:pt>
                <c:pt idx="478">
                  <c:v>40657</c:v>
                </c:pt>
                <c:pt idx="479">
                  <c:v>40658</c:v>
                </c:pt>
                <c:pt idx="480">
                  <c:v>40659</c:v>
                </c:pt>
                <c:pt idx="481">
                  <c:v>40660</c:v>
                </c:pt>
                <c:pt idx="482">
                  <c:v>40661</c:v>
                </c:pt>
                <c:pt idx="483">
                  <c:v>40662</c:v>
                </c:pt>
                <c:pt idx="484">
                  <c:v>40663</c:v>
                </c:pt>
                <c:pt idx="485">
                  <c:v>40664</c:v>
                </c:pt>
                <c:pt idx="486">
                  <c:v>40665</c:v>
                </c:pt>
                <c:pt idx="487">
                  <c:v>40666</c:v>
                </c:pt>
                <c:pt idx="488">
                  <c:v>40667</c:v>
                </c:pt>
                <c:pt idx="489">
                  <c:v>40668</c:v>
                </c:pt>
                <c:pt idx="490">
                  <c:v>40669</c:v>
                </c:pt>
                <c:pt idx="491">
                  <c:v>40670</c:v>
                </c:pt>
                <c:pt idx="492">
                  <c:v>40671</c:v>
                </c:pt>
                <c:pt idx="493">
                  <c:v>40672</c:v>
                </c:pt>
                <c:pt idx="494">
                  <c:v>40673</c:v>
                </c:pt>
                <c:pt idx="495">
                  <c:v>40674</c:v>
                </c:pt>
                <c:pt idx="496">
                  <c:v>40675</c:v>
                </c:pt>
                <c:pt idx="497">
                  <c:v>40676</c:v>
                </c:pt>
                <c:pt idx="498">
                  <c:v>40677</c:v>
                </c:pt>
                <c:pt idx="499">
                  <c:v>40678</c:v>
                </c:pt>
                <c:pt idx="500">
                  <c:v>40679</c:v>
                </c:pt>
                <c:pt idx="501">
                  <c:v>40680</c:v>
                </c:pt>
                <c:pt idx="502">
                  <c:v>40681</c:v>
                </c:pt>
                <c:pt idx="503">
                  <c:v>40682</c:v>
                </c:pt>
                <c:pt idx="504">
                  <c:v>40683</c:v>
                </c:pt>
                <c:pt idx="505">
                  <c:v>40684</c:v>
                </c:pt>
                <c:pt idx="506">
                  <c:v>40685</c:v>
                </c:pt>
                <c:pt idx="507">
                  <c:v>40686</c:v>
                </c:pt>
                <c:pt idx="508">
                  <c:v>40687</c:v>
                </c:pt>
                <c:pt idx="509">
                  <c:v>40688</c:v>
                </c:pt>
                <c:pt idx="510">
                  <c:v>40689</c:v>
                </c:pt>
                <c:pt idx="511">
                  <c:v>40690</c:v>
                </c:pt>
                <c:pt idx="512">
                  <c:v>40691</c:v>
                </c:pt>
                <c:pt idx="513">
                  <c:v>40692</c:v>
                </c:pt>
                <c:pt idx="514">
                  <c:v>40693</c:v>
                </c:pt>
                <c:pt idx="515">
                  <c:v>40694</c:v>
                </c:pt>
                <c:pt idx="516">
                  <c:v>40695</c:v>
                </c:pt>
                <c:pt idx="517">
                  <c:v>40696</c:v>
                </c:pt>
                <c:pt idx="518">
                  <c:v>40697</c:v>
                </c:pt>
                <c:pt idx="519">
                  <c:v>40698</c:v>
                </c:pt>
                <c:pt idx="520">
                  <c:v>40699</c:v>
                </c:pt>
                <c:pt idx="521">
                  <c:v>40700</c:v>
                </c:pt>
                <c:pt idx="522">
                  <c:v>40701</c:v>
                </c:pt>
                <c:pt idx="523">
                  <c:v>40702</c:v>
                </c:pt>
                <c:pt idx="524">
                  <c:v>40703</c:v>
                </c:pt>
                <c:pt idx="525">
                  <c:v>40704</c:v>
                </c:pt>
                <c:pt idx="526">
                  <c:v>40705</c:v>
                </c:pt>
                <c:pt idx="527">
                  <c:v>40706</c:v>
                </c:pt>
                <c:pt idx="528">
                  <c:v>40707</c:v>
                </c:pt>
                <c:pt idx="529">
                  <c:v>40708</c:v>
                </c:pt>
                <c:pt idx="530">
                  <c:v>40709</c:v>
                </c:pt>
                <c:pt idx="531">
                  <c:v>40710</c:v>
                </c:pt>
                <c:pt idx="532">
                  <c:v>40711</c:v>
                </c:pt>
                <c:pt idx="533">
                  <c:v>40712</c:v>
                </c:pt>
                <c:pt idx="534">
                  <c:v>40713</c:v>
                </c:pt>
                <c:pt idx="535">
                  <c:v>40714</c:v>
                </c:pt>
                <c:pt idx="536">
                  <c:v>40715</c:v>
                </c:pt>
                <c:pt idx="537">
                  <c:v>40716</c:v>
                </c:pt>
                <c:pt idx="538">
                  <c:v>40717</c:v>
                </c:pt>
                <c:pt idx="539">
                  <c:v>40718</c:v>
                </c:pt>
                <c:pt idx="540">
                  <c:v>40719</c:v>
                </c:pt>
                <c:pt idx="541">
                  <c:v>40720</c:v>
                </c:pt>
                <c:pt idx="542">
                  <c:v>40721</c:v>
                </c:pt>
                <c:pt idx="543">
                  <c:v>40722</c:v>
                </c:pt>
                <c:pt idx="544">
                  <c:v>40723</c:v>
                </c:pt>
                <c:pt idx="545">
                  <c:v>40724</c:v>
                </c:pt>
                <c:pt idx="546">
                  <c:v>40725</c:v>
                </c:pt>
                <c:pt idx="547">
                  <c:v>40726</c:v>
                </c:pt>
                <c:pt idx="548">
                  <c:v>40727</c:v>
                </c:pt>
                <c:pt idx="549">
                  <c:v>40728</c:v>
                </c:pt>
                <c:pt idx="550">
                  <c:v>40729</c:v>
                </c:pt>
                <c:pt idx="551">
                  <c:v>40730</c:v>
                </c:pt>
                <c:pt idx="552">
                  <c:v>40731</c:v>
                </c:pt>
                <c:pt idx="553">
                  <c:v>40732</c:v>
                </c:pt>
                <c:pt idx="554">
                  <c:v>40733</c:v>
                </c:pt>
                <c:pt idx="555">
                  <c:v>40734</c:v>
                </c:pt>
                <c:pt idx="556">
                  <c:v>40735</c:v>
                </c:pt>
                <c:pt idx="557">
                  <c:v>40736</c:v>
                </c:pt>
                <c:pt idx="558">
                  <c:v>40737</c:v>
                </c:pt>
                <c:pt idx="559">
                  <c:v>40738</c:v>
                </c:pt>
                <c:pt idx="560">
                  <c:v>40739</c:v>
                </c:pt>
                <c:pt idx="561">
                  <c:v>40740</c:v>
                </c:pt>
                <c:pt idx="562">
                  <c:v>40741</c:v>
                </c:pt>
                <c:pt idx="563">
                  <c:v>40742</c:v>
                </c:pt>
                <c:pt idx="564">
                  <c:v>40743</c:v>
                </c:pt>
                <c:pt idx="565">
                  <c:v>40744</c:v>
                </c:pt>
                <c:pt idx="566">
                  <c:v>40745</c:v>
                </c:pt>
                <c:pt idx="567">
                  <c:v>40746</c:v>
                </c:pt>
                <c:pt idx="568">
                  <c:v>40747</c:v>
                </c:pt>
                <c:pt idx="569">
                  <c:v>40748</c:v>
                </c:pt>
                <c:pt idx="570">
                  <c:v>40749</c:v>
                </c:pt>
                <c:pt idx="571">
                  <c:v>40750</c:v>
                </c:pt>
                <c:pt idx="572">
                  <c:v>40751</c:v>
                </c:pt>
                <c:pt idx="573">
                  <c:v>40752</c:v>
                </c:pt>
                <c:pt idx="574">
                  <c:v>40753</c:v>
                </c:pt>
                <c:pt idx="575">
                  <c:v>40754</c:v>
                </c:pt>
                <c:pt idx="576">
                  <c:v>40755</c:v>
                </c:pt>
                <c:pt idx="577">
                  <c:v>40756</c:v>
                </c:pt>
                <c:pt idx="578">
                  <c:v>40757</c:v>
                </c:pt>
                <c:pt idx="579">
                  <c:v>40758</c:v>
                </c:pt>
                <c:pt idx="580">
                  <c:v>40759</c:v>
                </c:pt>
                <c:pt idx="581">
                  <c:v>40760</c:v>
                </c:pt>
                <c:pt idx="582">
                  <c:v>40761</c:v>
                </c:pt>
                <c:pt idx="583">
                  <c:v>40762</c:v>
                </c:pt>
                <c:pt idx="584">
                  <c:v>40763</c:v>
                </c:pt>
                <c:pt idx="585">
                  <c:v>40764</c:v>
                </c:pt>
                <c:pt idx="586">
                  <c:v>40765</c:v>
                </c:pt>
                <c:pt idx="587">
                  <c:v>40766</c:v>
                </c:pt>
                <c:pt idx="588">
                  <c:v>40767</c:v>
                </c:pt>
                <c:pt idx="589">
                  <c:v>40768</c:v>
                </c:pt>
                <c:pt idx="590">
                  <c:v>40769</c:v>
                </c:pt>
                <c:pt idx="591">
                  <c:v>40770</c:v>
                </c:pt>
                <c:pt idx="592">
                  <c:v>40771</c:v>
                </c:pt>
                <c:pt idx="593">
                  <c:v>40772</c:v>
                </c:pt>
                <c:pt idx="594">
                  <c:v>40773</c:v>
                </c:pt>
                <c:pt idx="595">
                  <c:v>40774</c:v>
                </c:pt>
                <c:pt idx="596">
                  <c:v>40775</c:v>
                </c:pt>
                <c:pt idx="597">
                  <c:v>40776</c:v>
                </c:pt>
                <c:pt idx="598">
                  <c:v>40777</c:v>
                </c:pt>
                <c:pt idx="599">
                  <c:v>40778</c:v>
                </c:pt>
                <c:pt idx="600">
                  <c:v>40779</c:v>
                </c:pt>
                <c:pt idx="601">
                  <c:v>40780</c:v>
                </c:pt>
                <c:pt idx="602">
                  <c:v>40781</c:v>
                </c:pt>
                <c:pt idx="603">
                  <c:v>40782</c:v>
                </c:pt>
                <c:pt idx="604">
                  <c:v>40783</c:v>
                </c:pt>
                <c:pt idx="605">
                  <c:v>40784</c:v>
                </c:pt>
                <c:pt idx="606">
                  <c:v>40785</c:v>
                </c:pt>
                <c:pt idx="607">
                  <c:v>40786</c:v>
                </c:pt>
                <c:pt idx="608">
                  <c:v>40787</c:v>
                </c:pt>
                <c:pt idx="609">
                  <c:v>40788</c:v>
                </c:pt>
                <c:pt idx="610">
                  <c:v>40789</c:v>
                </c:pt>
                <c:pt idx="611">
                  <c:v>40790</c:v>
                </c:pt>
                <c:pt idx="612">
                  <c:v>40791</c:v>
                </c:pt>
                <c:pt idx="613">
                  <c:v>40792</c:v>
                </c:pt>
                <c:pt idx="614">
                  <c:v>40793</c:v>
                </c:pt>
                <c:pt idx="615">
                  <c:v>40794</c:v>
                </c:pt>
                <c:pt idx="616">
                  <c:v>40795</c:v>
                </c:pt>
                <c:pt idx="617">
                  <c:v>40796</c:v>
                </c:pt>
                <c:pt idx="618">
                  <c:v>40797</c:v>
                </c:pt>
                <c:pt idx="619">
                  <c:v>40798</c:v>
                </c:pt>
                <c:pt idx="620">
                  <c:v>40799</c:v>
                </c:pt>
                <c:pt idx="621">
                  <c:v>40800</c:v>
                </c:pt>
                <c:pt idx="622">
                  <c:v>40801</c:v>
                </c:pt>
                <c:pt idx="623">
                  <c:v>40802</c:v>
                </c:pt>
                <c:pt idx="624">
                  <c:v>40803</c:v>
                </c:pt>
                <c:pt idx="625">
                  <c:v>40804</c:v>
                </c:pt>
                <c:pt idx="626">
                  <c:v>40805</c:v>
                </c:pt>
                <c:pt idx="627">
                  <c:v>40806</c:v>
                </c:pt>
                <c:pt idx="628">
                  <c:v>40807</c:v>
                </c:pt>
                <c:pt idx="629">
                  <c:v>40808</c:v>
                </c:pt>
                <c:pt idx="630">
                  <c:v>40809</c:v>
                </c:pt>
                <c:pt idx="631">
                  <c:v>40810</c:v>
                </c:pt>
                <c:pt idx="632">
                  <c:v>40811</c:v>
                </c:pt>
                <c:pt idx="633">
                  <c:v>40812</c:v>
                </c:pt>
                <c:pt idx="634">
                  <c:v>40813</c:v>
                </c:pt>
                <c:pt idx="635">
                  <c:v>40814</c:v>
                </c:pt>
                <c:pt idx="636">
                  <c:v>40815</c:v>
                </c:pt>
                <c:pt idx="637">
                  <c:v>40816</c:v>
                </c:pt>
                <c:pt idx="638">
                  <c:v>40817</c:v>
                </c:pt>
                <c:pt idx="639">
                  <c:v>40818</c:v>
                </c:pt>
                <c:pt idx="640">
                  <c:v>40819</c:v>
                </c:pt>
                <c:pt idx="641">
                  <c:v>40820</c:v>
                </c:pt>
                <c:pt idx="642">
                  <c:v>40821</c:v>
                </c:pt>
                <c:pt idx="643">
                  <c:v>40822</c:v>
                </c:pt>
                <c:pt idx="644">
                  <c:v>40823</c:v>
                </c:pt>
                <c:pt idx="645">
                  <c:v>40824</c:v>
                </c:pt>
                <c:pt idx="646">
                  <c:v>40825</c:v>
                </c:pt>
                <c:pt idx="647">
                  <c:v>40826</c:v>
                </c:pt>
                <c:pt idx="648">
                  <c:v>40827</c:v>
                </c:pt>
                <c:pt idx="649">
                  <c:v>40828</c:v>
                </c:pt>
                <c:pt idx="650">
                  <c:v>40829</c:v>
                </c:pt>
                <c:pt idx="651">
                  <c:v>40830</c:v>
                </c:pt>
                <c:pt idx="652">
                  <c:v>40831</c:v>
                </c:pt>
                <c:pt idx="653">
                  <c:v>40832</c:v>
                </c:pt>
                <c:pt idx="654">
                  <c:v>40833</c:v>
                </c:pt>
                <c:pt idx="655">
                  <c:v>40834</c:v>
                </c:pt>
                <c:pt idx="656">
                  <c:v>40835</c:v>
                </c:pt>
                <c:pt idx="657">
                  <c:v>40836</c:v>
                </c:pt>
                <c:pt idx="658">
                  <c:v>40837</c:v>
                </c:pt>
                <c:pt idx="659">
                  <c:v>40838</c:v>
                </c:pt>
                <c:pt idx="660">
                  <c:v>40839</c:v>
                </c:pt>
                <c:pt idx="661">
                  <c:v>40840</c:v>
                </c:pt>
                <c:pt idx="662">
                  <c:v>40841</c:v>
                </c:pt>
                <c:pt idx="663">
                  <c:v>40842</c:v>
                </c:pt>
                <c:pt idx="664">
                  <c:v>40843</c:v>
                </c:pt>
                <c:pt idx="665">
                  <c:v>40844</c:v>
                </c:pt>
                <c:pt idx="666">
                  <c:v>40845</c:v>
                </c:pt>
                <c:pt idx="667">
                  <c:v>40846</c:v>
                </c:pt>
                <c:pt idx="668">
                  <c:v>40847</c:v>
                </c:pt>
                <c:pt idx="669">
                  <c:v>40848</c:v>
                </c:pt>
                <c:pt idx="670">
                  <c:v>40849</c:v>
                </c:pt>
                <c:pt idx="671">
                  <c:v>40850</c:v>
                </c:pt>
                <c:pt idx="672">
                  <c:v>40851</c:v>
                </c:pt>
                <c:pt idx="673">
                  <c:v>40852</c:v>
                </c:pt>
                <c:pt idx="674">
                  <c:v>40853</c:v>
                </c:pt>
                <c:pt idx="675">
                  <c:v>40854</c:v>
                </c:pt>
                <c:pt idx="676">
                  <c:v>40855</c:v>
                </c:pt>
                <c:pt idx="677">
                  <c:v>40856</c:v>
                </c:pt>
                <c:pt idx="678">
                  <c:v>40857</c:v>
                </c:pt>
                <c:pt idx="679">
                  <c:v>40858</c:v>
                </c:pt>
                <c:pt idx="680">
                  <c:v>40859</c:v>
                </c:pt>
                <c:pt idx="681">
                  <c:v>40860</c:v>
                </c:pt>
                <c:pt idx="682">
                  <c:v>40861</c:v>
                </c:pt>
                <c:pt idx="683">
                  <c:v>40862</c:v>
                </c:pt>
                <c:pt idx="684">
                  <c:v>40863</c:v>
                </c:pt>
                <c:pt idx="685">
                  <c:v>40864</c:v>
                </c:pt>
                <c:pt idx="686">
                  <c:v>40865</c:v>
                </c:pt>
                <c:pt idx="687">
                  <c:v>40866</c:v>
                </c:pt>
                <c:pt idx="688">
                  <c:v>40867</c:v>
                </c:pt>
                <c:pt idx="689">
                  <c:v>40868</c:v>
                </c:pt>
                <c:pt idx="690">
                  <c:v>40869</c:v>
                </c:pt>
                <c:pt idx="691">
                  <c:v>40870</c:v>
                </c:pt>
                <c:pt idx="692">
                  <c:v>40871</c:v>
                </c:pt>
                <c:pt idx="693">
                  <c:v>40872</c:v>
                </c:pt>
                <c:pt idx="694">
                  <c:v>40873</c:v>
                </c:pt>
                <c:pt idx="695">
                  <c:v>40874</c:v>
                </c:pt>
                <c:pt idx="696">
                  <c:v>40875</c:v>
                </c:pt>
                <c:pt idx="697">
                  <c:v>40876</c:v>
                </c:pt>
                <c:pt idx="698">
                  <c:v>40877</c:v>
                </c:pt>
                <c:pt idx="699">
                  <c:v>40878</c:v>
                </c:pt>
                <c:pt idx="700">
                  <c:v>40879</c:v>
                </c:pt>
                <c:pt idx="701">
                  <c:v>40880</c:v>
                </c:pt>
                <c:pt idx="702">
                  <c:v>40881</c:v>
                </c:pt>
                <c:pt idx="703">
                  <c:v>40882</c:v>
                </c:pt>
                <c:pt idx="704">
                  <c:v>40883</c:v>
                </c:pt>
                <c:pt idx="705">
                  <c:v>40884</c:v>
                </c:pt>
                <c:pt idx="706">
                  <c:v>40885</c:v>
                </c:pt>
                <c:pt idx="707">
                  <c:v>40886</c:v>
                </c:pt>
                <c:pt idx="708">
                  <c:v>40887</c:v>
                </c:pt>
                <c:pt idx="709">
                  <c:v>40888</c:v>
                </c:pt>
                <c:pt idx="710">
                  <c:v>40889</c:v>
                </c:pt>
                <c:pt idx="711">
                  <c:v>40890</c:v>
                </c:pt>
                <c:pt idx="712">
                  <c:v>40891</c:v>
                </c:pt>
                <c:pt idx="713">
                  <c:v>40892</c:v>
                </c:pt>
                <c:pt idx="714">
                  <c:v>40893</c:v>
                </c:pt>
                <c:pt idx="715">
                  <c:v>40894</c:v>
                </c:pt>
                <c:pt idx="716">
                  <c:v>40895</c:v>
                </c:pt>
                <c:pt idx="717">
                  <c:v>40896</c:v>
                </c:pt>
                <c:pt idx="718">
                  <c:v>40897</c:v>
                </c:pt>
                <c:pt idx="719">
                  <c:v>40898</c:v>
                </c:pt>
                <c:pt idx="720">
                  <c:v>40899</c:v>
                </c:pt>
                <c:pt idx="721">
                  <c:v>40900</c:v>
                </c:pt>
                <c:pt idx="722">
                  <c:v>40901</c:v>
                </c:pt>
                <c:pt idx="723">
                  <c:v>40902</c:v>
                </c:pt>
                <c:pt idx="724">
                  <c:v>40903</c:v>
                </c:pt>
                <c:pt idx="725">
                  <c:v>40904</c:v>
                </c:pt>
                <c:pt idx="726">
                  <c:v>40905</c:v>
                </c:pt>
                <c:pt idx="727">
                  <c:v>40906</c:v>
                </c:pt>
                <c:pt idx="728">
                  <c:v>40907</c:v>
                </c:pt>
                <c:pt idx="729">
                  <c:v>40908</c:v>
                </c:pt>
                <c:pt idx="730">
                  <c:v>40909</c:v>
                </c:pt>
                <c:pt idx="731">
                  <c:v>40910</c:v>
                </c:pt>
                <c:pt idx="732">
                  <c:v>40911</c:v>
                </c:pt>
                <c:pt idx="733">
                  <c:v>40912</c:v>
                </c:pt>
                <c:pt idx="734">
                  <c:v>40913</c:v>
                </c:pt>
                <c:pt idx="735">
                  <c:v>40914</c:v>
                </c:pt>
                <c:pt idx="736">
                  <c:v>40915</c:v>
                </c:pt>
                <c:pt idx="737">
                  <c:v>40916</c:v>
                </c:pt>
                <c:pt idx="738">
                  <c:v>40917</c:v>
                </c:pt>
                <c:pt idx="739">
                  <c:v>40918</c:v>
                </c:pt>
                <c:pt idx="740">
                  <c:v>40919</c:v>
                </c:pt>
                <c:pt idx="741">
                  <c:v>40920</c:v>
                </c:pt>
                <c:pt idx="742">
                  <c:v>40921</c:v>
                </c:pt>
                <c:pt idx="743">
                  <c:v>40922</c:v>
                </c:pt>
                <c:pt idx="744">
                  <c:v>40923</c:v>
                </c:pt>
                <c:pt idx="745">
                  <c:v>40924</c:v>
                </c:pt>
                <c:pt idx="746">
                  <c:v>40925</c:v>
                </c:pt>
                <c:pt idx="747">
                  <c:v>40926</c:v>
                </c:pt>
                <c:pt idx="748">
                  <c:v>40927</c:v>
                </c:pt>
                <c:pt idx="749">
                  <c:v>40928</c:v>
                </c:pt>
                <c:pt idx="750">
                  <c:v>40929</c:v>
                </c:pt>
                <c:pt idx="751">
                  <c:v>40930</c:v>
                </c:pt>
                <c:pt idx="752">
                  <c:v>40931</c:v>
                </c:pt>
                <c:pt idx="753">
                  <c:v>40932</c:v>
                </c:pt>
                <c:pt idx="754">
                  <c:v>40933</c:v>
                </c:pt>
                <c:pt idx="755">
                  <c:v>40934</c:v>
                </c:pt>
                <c:pt idx="756">
                  <c:v>40935</c:v>
                </c:pt>
                <c:pt idx="757">
                  <c:v>40936</c:v>
                </c:pt>
                <c:pt idx="758">
                  <c:v>40937</c:v>
                </c:pt>
                <c:pt idx="759">
                  <c:v>40938</c:v>
                </c:pt>
                <c:pt idx="760">
                  <c:v>40939</c:v>
                </c:pt>
                <c:pt idx="761">
                  <c:v>40940</c:v>
                </c:pt>
                <c:pt idx="762">
                  <c:v>40941</c:v>
                </c:pt>
                <c:pt idx="763">
                  <c:v>40942</c:v>
                </c:pt>
                <c:pt idx="764">
                  <c:v>40943</c:v>
                </c:pt>
                <c:pt idx="765">
                  <c:v>40944</c:v>
                </c:pt>
                <c:pt idx="766">
                  <c:v>40945</c:v>
                </c:pt>
                <c:pt idx="767">
                  <c:v>40946</c:v>
                </c:pt>
                <c:pt idx="768">
                  <c:v>40947</c:v>
                </c:pt>
                <c:pt idx="769">
                  <c:v>40948</c:v>
                </c:pt>
                <c:pt idx="770">
                  <c:v>40949</c:v>
                </c:pt>
                <c:pt idx="771">
                  <c:v>40950</c:v>
                </c:pt>
                <c:pt idx="772">
                  <c:v>40951</c:v>
                </c:pt>
                <c:pt idx="773">
                  <c:v>40952</c:v>
                </c:pt>
                <c:pt idx="774">
                  <c:v>40953</c:v>
                </c:pt>
                <c:pt idx="775">
                  <c:v>40954</c:v>
                </c:pt>
                <c:pt idx="776">
                  <c:v>40955</c:v>
                </c:pt>
                <c:pt idx="777">
                  <c:v>40956</c:v>
                </c:pt>
                <c:pt idx="778">
                  <c:v>40957</c:v>
                </c:pt>
                <c:pt idx="779">
                  <c:v>40958</c:v>
                </c:pt>
                <c:pt idx="780">
                  <c:v>40959</c:v>
                </c:pt>
                <c:pt idx="781">
                  <c:v>40960</c:v>
                </c:pt>
                <c:pt idx="782">
                  <c:v>40961</c:v>
                </c:pt>
                <c:pt idx="783">
                  <c:v>40962</c:v>
                </c:pt>
                <c:pt idx="784">
                  <c:v>40963</c:v>
                </c:pt>
                <c:pt idx="785">
                  <c:v>40964</c:v>
                </c:pt>
                <c:pt idx="786">
                  <c:v>40965</c:v>
                </c:pt>
                <c:pt idx="787">
                  <c:v>40966</c:v>
                </c:pt>
                <c:pt idx="788">
                  <c:v>40967</c:v>
                </c:pt>
                <c:pt idx="789">
                  <c:v>40968</c:v>
                </c:pt>
                <c:pt idx="790">
                  <c:v>40969</c:v>
                </c:pt>
                <c:pt idx="791">
                  <c:v>40970</c:v>
                </c:pt>
                <c:pt idx="792">
                  <c:v>40971</c:v>
                </c:pt>
                <c:pt idx="793">
                  <c:v>40972</c:v>
                </c:pt>
                <c:pt idx="794">
                  <c:v>40973</c:v>
                </c:pt>
                <c:pt idx="795">
                  <c:v>40974</c:v>
                </c:pt>
                <c:pt idx="796">
                  <c:v>40975</c:v>
                </c:pt>
                <c:pt idx="797">
                  <c:v>40976</c:v>
                </c:pt>
                <c:pt idx="798">
                  <c:v>40977</c:v>
                </c:pt>
                <c:pt idx="799">
                  <c:v>40978</c:v>
                </c:pt>
                <c:pt idx="800">
                  <c:v>40979</c:v>
                </c:pt>
                <c:pt idx="801">
                  <c:v>40980</c:v>
                </c:pt>
                <c:pt idx="802">
                  <c:v>40981</c:v>
                </c:pt>
                <c:pt idx="803">
                  <c:v>40982</c:v>
                </c:pt>
                <c:pt idx="804">
                  <c:v>40983</c:v>
                </c:pt>
                <c:pt idx="805">
                  <c:v>40984</c:v>
                </c:pt>
                <c:pt idx="806">
                  <c:v>40985</c:v>
                </c:pt>
                <c:pt idx="807">
                  <c:v>40986</c:v>
                </c:pt>
                <c:pt idx="808">
                  <c:v>40987</c:v>
                </c:pt>
                <c:pt idx="809">
                  <c:v>40988</c:v>
                </c:pt>
                <c:pt idx="810">
                  <c:v>40989</c:v>
                </c:pt>
                <c:pt idx="811">
                  <c:v>40990</c:v>
                </c:pt>
                <c:pt idx="812">
                  <c:v>40991</c:v>
                </c:pt>
                <c:pt idx="813">
                  <c:v>40992</c:v>
                </c:pt>
                <c:pt idx="814">
                  <c:v>40993</c:v>
                </c:pt>
                <c:pt idx="815">
                  <c:v>40994</c:v>
                </c:pt>
                <c:pt idx="816">
                  <c:v>40995</c:v>
                </c:pt>
                <c:pt idx="817">
                  <c:v>40996</c:v>
                </c:pt>
                <c:pt idx="818">
                  <c:v>40997</c:v>
                </c:pt>
                <c:pt idx="819">
                  <c:v>40998</c:v>
                </c:pt>
                <c:pt idx="820">
                  <c:v>40999</c:v>
                </c:pt>
                <c:pt idx="821">
                  <c:v>41000</c:v>
                </c:pt>
                <c:pt idx="822">
                  <c:v>41001</c:v>
                </c:pt>
                <c:pt idx="823">
                  <c:v>41002</c:v>
                </c:pt>
                <c:pt idx="824">
                  <c:v>41003</c:v>
                </c:pt>
                <c:pt idx="825">
                  <c:v>41004</c:v>
                </c:pt>
                <c:pt idx="826">
                  <c:v>41005</c:v>
                </c:pt>
                <c:pt idx="827">
                  <c:v>41006</c:v>
                </c:pt>
                <c:pt idx="828">
                  <c:v>41007</c:v>
                </c:pt>
                <c:pt idx="829">
                  <c:v>41008</c:v>
                </c:pt>
                <c:pt idx="830">
                  <c:v>41009</c:v>
                </c:pt>
                <c:pt idx="831">
                  <c:v>41010</c:v>
                </c:pt>
                <c:pt idx="832">
                  <c:v>41011</c:v>
                </c:pt>
                <c:pt idx="833">
                  <c:v>41012</c:v>
                </c:pt>
                <c:pt idx="834">
                  <c:v>41013</c:v>
                </c:pt>
                <c:pt idx="835">
                  <c:v>41014</c:v>
                </c:pt>
                <c:pt idx="836">
                  <c:v>41015</c:v>
                </c:pt>
                <c:pt idx="837">
                  <c:v>41016</c:v>
                </c:pt>
                <c:pt idx="838">
                  <c:v>41017</c:v>
                </c:pt>
                <c:pt idx="839">
                  <c:v>41018</c:v>
                </c:pt>
                <c:pt idx="840">
                  <c:v>41019</c:v>
                </c:pt>
                <c:pt idx="841">
                  <c:v>41020</c:v>
                </c:pt>
                <c:pt idx="842">
                  <c:v>41021</c:v>
                </c:pt>
                <c:pt idx="843">
                  <c:v>41022</c:v>
                </c:pt>
                <c:pt idx="844">
                  <c:v>41023</c:v>
                </c:pt>
                <c:pt idx="845">
                  <c:v>41024</c:v>
                </c:pt>
                <c:pt idx="846">
                  <c:v>41025</c:v>
                </c:pt>
                <c:pt idx="847">
                  <c:v>41026</c:v>
                </c:pt>
                <c:pt idx="848">
                  <c:v>41027</c:v>
                </c:pt>
                <c:pt idx="849">
                  <c:v>41028</c:v>
                </c:pt>
                <c:pt idx="850">
                  <c:v>41029</c:v>
                </c:pt>
                <c:pt idx="851">
                  <c:v>41030</c:v>
                </c:pt>
                <c:pt idx="852">
                  <c:v>41031</c:v>
                </c:pt>
                <c:pt idx="853">
                  <c:v>41032</c:v>
                </c:pt>
                <c:pt idx="854">
                  <c:v>41033</c:v>
                </c:pt>
                <c:pt idx="855">
                  <c:v>41034</c:v>
                </c:pt>
                <c:pt idx="856">
                  <c:v>41035</c:v>
                </c:pt>
                <c:pt idx="857">
                  <c:v>41036</c:v>
                </c:pt>
                <c:pt idx="858">
                  <c:v>41037</c:v>
                </c:pt>
                <c:pt idx="859">
                  <c:v>41038</c:v>
                </c:pt>
                <c:pt idx="860">
                  <c:v>41039</c:v>
                </c:pt>
                <c:pt idx="861">
                  <c:v>41040</c:v>
                </c:pt>
                <c:pt idx="862">
                  <c:v>41041</c:v>
                </c:pt>
                <c:pt idx="863">
                  <c:v>41042</c:v>
                </c:pt>
                <c:pt idx="864">
                  <c:v>41043</c:v>
                </c:pt>
                <c:pt idx="865">
                  <c:v>41044</c:v>
                </c:pt>
                <c:pt idx="866">
                  <c:v>41045</c:v>
                </c:pt>
                <c:pt idx="867">
                  <c:v>41046</c:v>
                </c:pt>
                <c:pt idx="868">
                  <c:v>41047</c:v>
                </c:pt>
                <c:pt idx="869">
                  <c:v>41048</c:v>
                </c:pt>
                <c:pt idx="870">
                  <c:v>41049</c:v>
                </c:pt>
                <c:pt idx="871">
                  <c:v>41050</c:v>
                </c:pt>
                <c:pt idx="872">
                  <c:v>41051</c:v>
                </c:pt>
                <c:pt idx="873">
                  <c:v>41052</c:v>
                </c:pt>
                <c:pt idx="874">
                  <c:v>41053</c:v>
                </c:pt>
                <c:pt idx="875">
                  <c:v>41054</c:v>
                </c:pt>
                <c:pt idx="876">
                  <c:v>41055</c:v>
                </c:pt>
                <c:pt idx="877">
                  <c:v>41056</c:v>
                </c:pt>
                <c:pt idx="878">
                  <c:v>41057</c:v>
                </c:pt>
                <c:pt idx="879">
                  <c:v>41058</c:v>
                </c:pt>
                <c:pt idx="880">
                  <c:v>41059</c:v>
                </c:pt>
                <c:pt idx="881">
                  <c:v>41060</c:v>
                </c:pt>
                <c:pt idx="882">
                  <c:v>41061</c:v>
                </c:pt>
                <c:pt idx="883">
                  <c:v>41062</c:v>
                </c:pt>
                <c:pt idx="884">
                  <c:v>41063</c:v>
                </c:pt>
                <c:pt idx="885">
                  <c:v>41064</c:v>
                </c:pt>
                <c:pt idx="886">
                  <c:v>41065</c:v>
                </c:pt>
                <c:pt idx="887">
                  <c:v>41066</c:v>
                </c:pt>
                <c:pt idx="888">
                  <c:v>41067</c:v>
                </c:pt>
                <c:pt idx="889">
                  <c:v>41068</c:v>
                </c:pt>
                <c:pt idx="890">
                  <c:v>41069</c:v>
                </c:pt>
                <c:pt idx="891">
                  <c:v>41070</c:v>
                </c:pt>
                <c:pt idx="892">
                  <c:v>41071</c:v>
                </c:pt>
                <c:pt idx="893">
                  <c:v>41072</c:v>
                </c:pt>
                <c:pt idx="894">
                  <c:v>41073</c:v>
                </c:pt>
                <c:pt idx="895">
                  <c:v>41074</c:v>
                </c:pt>
                <c:pt idx="896">
                  <c:v>41075</c:v>
                </c:pt>
                <c:pt idx="897">
                  <c:v>41076</c:v>
                </c:pt>
                <c:pt idx="898">
                  <c:v>41077</c:v>
                </c:pt>
                <c:pt idx="899">
                  <c:v>41078</c:v>
                </c:pt>
                <c:pt idx="900">
                  <c:v>41079</c:v>
                </c:pt>
                <c:pt idx="901">
                  <c:v>41080</c:v>
                </c:pt>
                <c:pt idx="902">
                  <c:v>41081</c:v>
                </c:pt>
                <c:pt idx="903">
                  <c:v>41082</c:v>
                </c:pt>
                <c:pt idx="904">
                  <c:v>41083</c:v>
                </c:pt>
                <c:pt idx="905">
                  <c:v>41084</c:v>
                </c:pt>
                <c:pt idx="906">
                  <c:v>41085</c:v>
                </c:pt>
                <c:pt idx="907">
                  <c:v>41086</c:v>
                </c:pt>
                <c:pt idx="908">
                  <c:v>41087</c:v>
                </c:pt>
                <c:pt idx="909">
                  <c:v>41088</c:v>
                </c:pt>
                <c:pt idx="910">
                  <c:v>41089</c:v>
                </c:pt>
                <c:pt idx="911">
                  <c:v>41090</c:v>
                </c:pt>
                <c:pt idx="912">
                  <c:v>41091</c:v>
                </c:pt>
                <c:pt idx="913">
                  <c:v>41092</c:v>
                </c:pt>
                <c:pt idx="914">
                  <c:v>41093</c:v>
                </c:pt>
                <c:pt idx="915">
                  <c:v>41094</c:v>
                </c:pt>
                <c:pt idx="916">
                  <c:v>41095</c:v>
                </c:pt>
                <c:pt idx="917">
                  <c:v>41096</c:v>
                </c:pt>
                <c:pt idx="918">
                  <c:v>41097</c:v>
                </c:pt>
                <c:pt idx="919">
                  <c:v>41098</c:v>
                </c:pt>
                <c:pt idx="920">
                  <c:v>41099</c:v>
                </c:pt>
                <c:pt idx="921">
                  <c:v>41100</c:v>
                </c:pt>
                <c:pt idx="922">
                  <c:v>41101</c:v>
                </c:pt>
                <c:pt idx="923">
                  <c:v>41102</c:v>
                </c:pt>
                <c:pt idx="924">
                  <c:v>41103</c:v>
                </c:pt>
                <c:pt idx="925">
                  <c:v>41104</c:v>
                </c:pt>
                <c:pt idx="926">
                  <c:v>41105</c:v>
                </c:pt>
                <c:pt idx="927">
                  <c:v>41106</c:v>
                </c:pt>
                <c:pt idx="928">
                  <c:v>41107</c:v>
                </c:pt>
                <c:pt idx="929">
                  <c:v>41108</c:v>
                </c:pt>
                <c:pt idx="930">
                  <c:v>41109</c:v>
                </c:pt>
                <c:pt idx="931">
                  <c:v>41110</c:v>
                </c:pt>
                <c:pt idx="932">
                  <c:v>41111</c:v>
                </c:pt>
                <c:pt idx="933">
                  <c:v>41112</c:v>
                </c:pt>
                <c:pt idx="934">
                  <c:v>41113</c:v>
                </c:pt>
                <c:pt idx="935">
                  <c:v>41114</c:v>
                </c:pt>
                <c:pt idx="936">
                  <c:v>41115</c:v>
                </c:pt>
                <c:pt idx="937">
                  <c:v>41116</c:v>
                </c:pt>
                <c:pt idx="938">
                  <c:v>41117</c:v>
                </c:pt>
                <c:pt idx="939">
                  <c:v>41118</c:v>
                </c:pt>
                <c:pt idx="940">
                  <c:v>41119</c:v>
                </c:pt>
                <c:pt idx="941">
                  <c:v>41120</c:v>
                </c:pt>
                <c:pt idx="942">
                  <c:v>41121</c:v>
                </c:pt>
                <c:pt idx="943">
                  <c:v>41122</c:v>
                </c:pt>
                <c:pt idx="944">
                  <c:v>41123</c:v>
                </c:pt>
                <c:pt idx="945">
                  <c:v>41124</c:v>
                </c:pt>
                <c:pt idx="946">
                  <c:v>41125</c:v>
                </c:pt>
                <c:pt idx="947">
                  <c:v>41126</c:v>
                </c:pt>
                <c:pt idx="948">
                  <c:v>41127</c:v>
                </c:pt>
                <c:pt idx="949">
                  <c:v>41128</c:v>
                </c:pt>
                <c:pt idx="950">
                  <c:v>41129</c:v>
                </c:pt>
                <c:pt idx="951">
                  <c:v>41130</c:v>
                </c:pt>
                <c:pt idx="952">
                  <c:v>41131</c:v>
                </c:pt>
                <c:pt idx="953">
                  <c:v>41132</c:v>
                </c:pt>
                <c:pt idx="954">
                  <c:v>41133</c:v>
                </c:pt>
                <c:pt idx="955">
                  <c:v>41134</c:v>
                </c:pt>
                <c:pt idx="956">
                  <c:v>41135</c:v>
                </c:pt>
                <c:pt idx="957">
                  <c:v>41136</c:v>
                </c:pt>
                <c:pt idx="958">
                  <c:v>41137</c:v>
                </c:pt>
                <c:pt idx="959">
                  <c:v>41138</c:v>
                </c:pt>
                <c:pt idx="960">
                  <c:v>41139</c:v>
                </c:pt>
                <c:pt idx="961">
                  <c:v>41140</c:v>
                </c:pt>
                <c:pt idx="962">
                  <c:v>41141</c:v>
                </c:pt>
                <c:pt idx="963">
                  <c:v>41142</c:v>
                </c:pt>
                <c:pt idx="964">
                  <c:v>41143</c:v>
                </c:pt>
                <c:pt idx="965">
                  <c:v>41144</c:v>
                </c:pt>
                <c:pt idx="966">
                  <c:v>41145</c:v>
                </c:pt>
                <c:pt idx="967">
                  <c:v>41146</c:v>
                </c:pt>
                <c:pt idx="968">
                  <c:v>41147</c:v>
                </c:pt>
                <c:pt idx="969">
                  <c:v>41148</c:v>
                </c:pt>
                <c:pt idx="970">
                  <c:v>41149</c:v>
                </c:pt>
                <c:pt idx="971">
                  <c:v>41150</c:v>
                </c:pt>
                <c:pt idx="972">
                  <c:v>41151</c:v>
                </c:pt>
                <c:pt idx="973">
                  <c:v>41152</c:v>
                </c:pt>
                <c:pt idx="974">
                  <c:v>41153</c:v>
                </c:pt>
                <c:pt idx="975">
                  <c:v>41154</c:v>
                </c:pt>
                <c:pt idx="976">
                  <c:v>41155</c:v>
                </c:pt>
                <c:pt idx="977">
                  <c:v>41156</c:v>
                </c:pt>
                <c:pt idx="978">
                  <c:v>41157</c:v>
                </c:pt>
                <c:pt idx="979">
                  <c:v>41158</c:v>
                </c:pt>
                <c:pt idx="980">
                  <c:v>41159</c:v>
                </c:pt>
                <c:pt idx="981">
                  <c:v>41160</c:v>
                </c:pt>
                <c:pt idx="982">
                  <c:v>41161</c:v>
                </c:pt>
                <c:pt idx="983">
                  <c:v>41162</c:v>
                </c:pt>
                <c:pt idx="984">
                  <c:v>41163</c:v>
                </c:pt>
                <c:pt idx="985">
                  <c:v>41164</c:v>
                </c:pt>
                <c:pt idx="986">
                  <c:v>41165</c:v>
                </c:pt>
                <c:pt idx="987">
                  <c:v>41166</c:v>
                </c:pt>
                <c:pt idx="988">
                  <c:v>41167</c:v>
                </c:pt>
                <c:pt idx="989">
                  <c:v>41168</c:v>
                </c:pt>
                <c:pt idx="990">
                  <c:v>41169</c:v>
                </c:pt>
                <c:pt idx="991">
                  <c:v>41170</c:v>
                </c:pt>
                <c:pt idx="992">
                  <c:v>41171</c:v>
                </c:pt>
                <c:pt idx="993">
                  <c:v>41172</c:v>
                </c:pt>
                <c:pt idx="994">
                  <c:v>41173</c:v>
                </c:pt>
                <c:pt idx="995">
                  <c:v>41174</c:v>
                </c:pt>
                <c:pt idx="996">
                  <c:v>41175</c:v>
                </c:pt>
                <c:pt idx="997">
                  <c:v>41176</c:v>
                </c:pt>
                <c:pt idx="998">
                  <c:v>41177</c:v>
                </c:pt>
                <c:pt idx="999">
                  <c:v>41178</c:v>
                </c:pt>
                <c:pt idx="1000">
                  <c:v>41179</c:v>
                </c:pt>
                <c:pt idx="1001">
                  <c:v>41180</c:v>
                </c:pt>
                <c:pt idx="1002">
                  <c:v>41181</c:v>
                </c:pt>
                <c:pt idx="1003">
                  <c:v>41182</c:v>
                </c:pt>
                <c:pt idx="1004">
                  <c:v>41183</c:v>
                </c:pt>
                <c:pt idx="1005">
                  <c:v>41184</c:v>
                </c:pt>
                <c:pt idx="1006">
                  <c:v>41185</c:v>
                </c:pt>
                <c:pt idx="1007">
                  <c:v>41186</c:v>
                </c:pt>
                <c:pt idx="1008">
                  <c:v>41187</c:v>
                </c:pt>
                <c:pt idx="1009">
                  <c:v>41188</c:v>
                </c:pt>
                <c:pt idx="1010">
                  <c:v>41189</c:v>
                </c:pt>
                <c:pt idx="1011">
                  <c:v>41190</c:v>
                </c:pt>
                <c:pt idx="1012">
                  <c:v>41191</c:v>
                </c:pt>
                <c:pt idx="1013">
                  <c:v>41192</c:v>
                </c:pt>
                <c:pt idx="1014">
                  <c:v>41193</c:v>
                </c:pt>
                <c:pt idx="1015">
                  <c:v>41194</c:v>
                </c:pt>
                <c:pt idx="1016">
                  <c:v>41195</c:v>
                </c:pt>
                <c:pt idx="1017">
                  <c:v>41196</c:v>
                </c:pt>
                <c:pt idx="1018">
                  <c:v>41197</c:v>
                </c:pt>
                <c:pt idx="1019">
                  <c:v>41198</c:v>
                </c:pt>
                <c:pt idx="1020">
                  <c:v>41199</c:v>
                </c:pt>
                <c:pt idx="1021">
                  <c:v>41200</c:v>
                </c:pt>
                <c:pt idx="1022">
                  <c:v>41201</c:v>
                </c:pt>
                <c:pt idx="1023">
                  <c:v>41202</c:v>
                </c:pt>
                <c:pt idx="1024">
                  <c:v>41203</c:v>
                </c:pt>
                <c:pt idx="1025">
                  <c:v>41204</c:v>
                </c:pt>
                <c:pt idx="1026">
                  <c:v>41205</c:v>
                </c:pt>
                <c:pt idx="1027">
                  <c:v>41206</c:v>
                </c:pt>
                <c:pt idx="1028">
                  <c:v>41207</c:v>
                </c:pt>
                <c:pt idx="1029">
                  <c:v>41208</c:v>
                </c:pt>
                <c:pt idx="1030">
                  <c:v>41209</c:v>
                </c:pt>
                <c:pt idx="1031">
                  <c:v>41210</c:v>
                </c:pt>
                <c:pt idx="1032">
                  <c:v>41211</c:v>
                </c:pt>
                <c:pt idx="1033">
                  <c:v>41212</c:v>
                </c:pt>
                <c:pt idx="1034">
                  <c:v>41213</c:v>
                </c:pt>
                <c:pt idx="1035">
                  <c:v>41214</c:v>
                </c:pt>
                <c:pt idx="1036">
                  <c:v>41215</c:v>
                </c:pt>
                <c:pt idx="1037">
                  <c:v>41216</c:v>
                </c:pt>
                <c:pt idx="1038">
                  <c:v>41217</c:v>
                </c:pt>
                <c:pt idx="1039">
                  <c:v>41218</c:v>
                </c:pt>
                <c:pt idx="1040">
                  <c:v>41219</c:v>
                </c:pt>
                <c:pt idx="1041">
                  <c:v>41220</c:v>
                </c:pt>
                <c:pt idx="1042">
                  <c:v>41221</c:v>
                </c:pt>
                <c:pt idx="1043">
                  <c:v>41222</c:v>
                </c:pt>
                <c:pt idx="1044">
                  <c:v>41223</c:v>
                </c:pt>
                <c:pt idx="1045">
                  <c:v>41224</c:v>
                </c:pt>
                <c:pt idx="1046">
                  <c:v>41225</c:v>
                </c:pt>
                <c:pt idx="1047">
                  <c:v>41226</c:v>
                </c:pt>
                <c:pt idx="1048">
                  <c:v>41227</c:v>
                </c:pt>
                <c:pt idx="1049">
                  <c:v>41228</c:v>
                </c:pt>
                <c:pt idx="1050">
                  <c:v>41229</c:v>
                </c:pt>
                <c:pt idx="1051">
                  <c:v>41230</c:v>
                </c:pt>
                <c:pt idx="1052">
                  <c:v>41231</c:v>
                </c:pt>
                <c:pt idx="1053">
                  <c:v>41232</c:v>
                </c:pt>
                <c:pt idx="1054">
                  <c:v>41233</c:v>
                </c:pt>
                <c:pt idx="1055">
                  <c:v>41234</c:v>
                </c:pt>
                <c:pt idx="1056">
                  <c:v>41235</c:v>
                </c:pt>
                <c:pt idx="1057">
                  <c:v>41236</c:v>
                </c:pt>
                <c:pt idx="1058">
                  <c:v>41237</c:v>
                </c:pt>
                <c:pt idx="1059">
                  <c:v>41238</c:v>
                </c:pt>
                <c:pt idx="1060">
                  <c:v>41239</c:v>
                </c:pt>
                <c:pt idx="1061">
                  <c:v>41240</c:v>
                </c:pt>
                <c:pt idx="1062">
                  <c:v>41241</c:v>
                </c:pt>
                <c:pt idx="1063">
                  <c:v>41242</c:v>
                </c:pt>
                <c:pt idx="1064">
                  <c:v>41243</c:v>
                </c:pt>
                <c:pt idx="1065">
                  <c:v>41244</c:v>
                </c:pt>
                <c:pt idx="1066">
                  <c:v>41245</c:v>
                </c:pt>
                <c:pt idx="1067">
                  <c:v>41246</c:v>
                </c:pt>
                <c:pt idx="1068">
                  <c:v>41247</c:v>
                </c:pt>
                <c:pt idx="1069">
                  <c:v>41248</c:v>
                </c:pt>
                <c:pt idx="1070">
                  <c:v>41249</c:v>
                </c:pt>
                <c:pt idx="1071">
                  <c:v>41250</c:v>
                </c:pt>
                <c:pt idx="1072">
                  <c:v>41251</c:v>
                </c:pt>
                <c:pt idx="1073">
                  <c:v>41252</c:v>
                </c:pt>
                <c:pt idx="1074">
                  <c:v>41253</c:v>
                </c:pt>
                <c:pt idx="1075">
                  <c:v>41254</c:v>
                </c:pt>
                <c:pt idx="1076">
                  <c:v>41255</c:v>
                </c:pt>
                <c:pt idx="1077">
                  <c:v>41256</c:v>
                </c:pt>
                <c:pt idx="1078">
                  <c:v>41257</c:v>
                </c:pt>
                <c:pt idx="1079">
                  <c:v>41258</c:v>
                </c:pt>
                <c:pt idx="1080">
                  <c:v>41259</c:v>
                </c:pt>
                <c:pt idx="1081">
                  <c:v>41260</c:v>
                </c:pt>
                <c:pt idx="1082">
                  <c:v>41261</c:v>
                </c:pt>
                <c:pt idx="1083">
                  <c:v>41262</c:v>
                </c:pt>
                <c:pt idx="1084">
                  <c:v>41263</c:v>
                </c:pt>
                <c:pt idx="1085">
                  <c:v>41264</c:v>
                </c:pt>
                <c:pt idx="1086">
                  <c:v>41265</c:v>
                </c:pt>
                <c:pt idx="1087">
                  <c:v>41266</c:v>
                </c:pt>
                <c:pt idx="1088">
                  <c:v>41267</c:v>
                </c:pt>
                <c:pt idx="1089">
                  <c:v>41268</c:v>
                </c:pt>
                <c:pt idx="1090">
                  <c:v>41269</c:v>
                </c:pt>
                <c:pt idx="1091">
                  <c:v>41270</c:v>
                </c:pt>
                <c:pt idx="1092">
                  <c:v>41271</c:v>
                </c:pt>
                <c:pt idx="1093">
                  <c:v>41272</c:v>
                </c:pt>
                <c:pt idx="1094">
                  <c:v>41273</c:v>
                </c:pt>
                <c:pt idx="1095">
                  <c:v>41274</c:v>
                </c:pt>
                <c:pt idx="1096">
                  <c:v>41275</c:v>
                </c:pt>
                <c:pt idx="1097">
                  <c:v>41276</c:v>
                </c:pt>
                <c:pt idx="1098">
                  <c:v>41277</c:v>
                </c:pt>
                <c:pt idx="1099">
                  <c:v>41278</c:v>
                </c:pt>
                <c:pt idx="1100">
                  <c:v>41279</c:v>
                </c:pt>
                <c:pt idx="1101">
                  <c:v>41280</c:v>
                </c:pt>
                <c:pt idx="1102">
                  <c:v>41281</c:v>
                </c:pt>
                <c:pt idx="1103">
                  <c:v>41282</c:v>
                </c:pt>
                <c:pt idx="1104">
                  <c:v>41283</c:v>
                </c:pt>
                <c:pt idx="1105">
                  <c:v>41284</c:v>
                </c:pt>
                <c:pt idx="1106">
                  <c:v>41285</c:v>
                </c:pt>
                <c:pt idx="1107">
                  <c:v>41286</c:v>
                </c:pt>
                <c:pt idx="1108">
                  <c:v>41287</c:v>
                </c:pt>
                <c:pt idx="1109">
                  <c:v>41288</c:v>
                </c:pt>
                <c:pt idx="1110">
                  <c:v>41289</c:v>
                </c:pt>
                <c:pt idx="1111">
                  <c:v>41290</c:v>
                </c:pt>
                <c:pt idx="1112">
                  <c:v>41291</c:v>
                </c:pt>
                <c:pt idx="1113">
                  <c:v>41292</c:v>
                </c:pt>
                <c:pt idx="1114">
                  <c:v>41293</c:v>
                </c:pt>
                <c:pt idx="1115">
                  <c:v>41294</c:v>
                </c:pt>
                <c:pt idx="1116">
                  <c:v>41295</c:v>
                </c:pt>
                <c:pt idx="1117">
                  <c:v>41296</c:v>
                </c:pt>
                <c:pt idx="1118">
                  <c:v>41297</c:v>
                </c:pt>
                <c:pt idx="1119">
                  <c:v>41298</c:v>
                </c:pt>
                <c:pt idx="1120">
                  <c:v>41299</c:v>
                </c:pt>
                <c:pt idx="1121">
                  <c:v>41300</c:v>
                </c:pt>
                <c:pt idx="1122">
                  <c:v>41301</c:v>
                </c:pt>
                <c:pt idx="1123">
                  <c:v>41302</c:v>
                </c:pt>
                <c:pt idx="1124">
                  <c:v>41303</c:v>
                </c:pt>
                <c:pt idx="1125">
                  <c:v>41304</c:v>
                </c:pt>
                <c:pt idx="1126">
                  <c:v>41305</c:v>
                </c:pt>
                <c:pt idx="1127">
                  <c:v>41306</c:v>
                </c:pt>
                <c:pt idx="1128">
                  <c:v>41307</c:v>
                </c:pt>
                <c:pt idx="1129">
                  <c:v>41308</c:v>
                </c:pt>
                <c:pt idx="1130">
                  <c:v>41309</c:v>
                </c:pt>
                <c:pt idx="1131">
                  <c:v>41310</c:v>
                </c:pt>
                <c:pt idx="1132">
                  <c:v>41311</c:v>
                </c:pt>
                <c:pt idx="1133">
                  <c:v>41312</c:v>
                </c:pt>
                <c:pt idx="1134">
                  <c:v>41313</c:v>
                </c:pt>
                <c:pt idx="1135">
                  <c:v>41314</c:v>
                </c:pt>
                <c:pt idx="1136">
                  <c:v>41315</c:v>
                </c:pt>
                <c:pt idx="1137">
                  <c:v>41316</c:v>
                </c:pt>
                <c:pt idx="1138">
                  <c:v>41317</c:v>
                </c:pt>
                <c:pt idx="1139">
                  <c:v>41318</c:v>
                </c:pt>
                <c:pt idx="1140">
                  <c:v>41319</c:v>
                </c:pt>
                <c:pt idx="1141">
                  <c:v>41320</c:v>
                </c:pt>
                <c:pt idx="1142">
                  <c:v>41321</c:v>
                </c:pt>
                <c:pt idx="1143">
                  <c:v>41322</c:v>
                </c:pt>
                <c:pt idx="1144">
                  <c:v>41323</c:v>
                </c:pt>
                <c:pt idx="1145">
                  <c:v>41324</c:v>
                </c:pt>
                <c:pt idx="1146">
                  <c:v>41325</c:v>
                </c:pt>
                <c:pt idx="1147">
                  <c:v>41326</c:v>
                </c:pt>
                <c:pt idx="1148">
                  <c:v>41327</c:v>
                </c:pt>
                <c:pt idx="1149">
                  <c:v>41328</c:v>
                </c:pt>
                <c:pt idx="1150">
                  <c:v>41329</c:v>
                </c:pt>
                <c:pt idx="1151">
                  <c:v>41330</c:v>
                </c:pt>
                <c:pt idx="1152">
                  <c:v>41331</c:v>
                </c:pt>
                <c:pt idx="1153">
                  <c:v>41332</c:v>
                </c:pt>
                <c:pt idx="1154">
                  <c:v>41333</c:v>
                </c:pt>
                <c:pt idx="1155">
                  <c:v>41334</c:v>
                </c:pt>
                <c:pt idx="1156">
                  <c:v>41335</c:v>
                </c:pt>
                <c:pt idx="1157">
                  <c:v>41336</c:v>
                </c:pt>
                <c:pt idx="1158">
                  <c:v>41337</c:v>
                </c:pt>
                <c:pt idx="1159">
                  <c:v>41338</c:v>
                </c:pt>
                <c:pt idx="1160">
                  <c:v>41339</c:v>
                </c:pt>
                <c:pt idx="1161">
                  <c:v>41340</c:v>
                </c:pt>
                <c:pt idx="1162">
                  <c:v>41341</c:v>
                </c:pt>
                <c:pt idx="1163">
                  <c:v>41342</c:v>
                </c:pt>
                <c:pt idx="1164">
                  <c:v>41343</c:v>
                </c:pt>
                <c:pt idx="1165">
                  <c:v>41344</c:v>
                </c:pt>
                <c:pt idx="1166">
                  <c:v>41345</c:v>
                </c:pt>
                <c:pt idx="1167">
                  <c:v>41346</c:v>
                </c:pt>
                <c:pt idx="1168">
                  <c:v>41347</c:v>
                </c:pt>
                <c:pt idx="1169">
                  <c:v>41348</c:v>
                </c:pt>
                <c:pt idx="1170">
                  <c:v>41349</c:v>
                </c:pt>
                <c:pt idx="1171">
                  <c:v>41350</c:v>
                </c:pt>
                <c:pt idx="1172">
                  <c:v>41351</c:v>
                </c:pt>
                <c:pt idx="1173">
                  <c:v>41352</c:v>
                </c:pt>
                <c:pt idx="1174">
                  <c:v>41353</c:v>
                </c:pt>
                <c:pt idx="1175">
                  <c:v>41354</c:v>
                </c:pt>
                <c:pt idx="1176">
                  <c:v>41355</c:v>
                </c:pt>
                <c:pt idx="1177">
                  <c:v>41356</c:v>
                </c:pt>
                <c:pt idx="1178">
                  <c:v>41357</c:v>
                </c:pt>
                <c:pt idx="1179">
                  <c:v>41358</c:v>
                </c:pt>
                <c:pt idx="1180">
                  <c:v>41359</c:v>
                </c:pt>
                <c:pt idx="1181">
                  <c:v>41360</c:v>
                </c:pt>
                <c:pt idx="1182">
                  <c:v>41361</c:v>
                </c:pt>
                <c:pt idx="1183">
                  <c:v>41362</c:v>
                </c:pt>
                <c:pt idx="1184">
                  <c:v>41363</c:v>
                </c:pt>
                <c:pt idx="1185">
                  <c:v>41364</c:v>
                </c:pt>
                <c:pt idx="1186">
                  <c:v>41365</c:v>
                </c:pt>
                <c:pt idx="1187">
                  <c:v>41366</c:v>
                </c:pt>
                <c:pt idx="1188">
                  <c:v>41367</c:v>
                </c:pt>
                <c:pt idx="1189">
                  <c:v>41368</c:v>
                </c:pt>
                <c:pt idx="1190">
                  <c:v>41369</c:v>
                </c:pt>
                <c:pt idx="1191">
                  <c:v>41370</c:v>
                </c:pt>
                <c:pt idx="1192">
                  <c:v>41371</c:v>
                </c:pt>
                <c:pt idx="1193">
                  <c:v>41372</c:v>
                </c:pt>
                <c:pt idx="1194">
                  <c:v>41373</c:v>
                </c:pt>
                <c:pt idx="1195">
                  <c:v>41374</c:v>
                </c:pt>
                <c:pt idx="1196">
                  <c:v>41375</c:v>
                </c:pt>
                <c:pt idx="1197">
                  <c:v>41376</c:v>
                </c:pt>
                <c:pt idx="1198">
                  <c:v>41377</c:v>
                </c:pt>
                <c:pt idx="1199">
                  <c:v>41378</c:v>
                </c:pt>
                <c:pt idx="1200">
                  <c:v>41379</c:v>
                </c:pt>
                <c:pt idx="1201">
                  <c:v>41380</c:v>
                </c:pt>
                <c:pt idx="1202">
                  <c:v>41381</c:v>
                </c:pt>
                <c:pt idx="1203">
                  <c:v>41382</c:v>
                </c:pt>
                <c:pt idx="1204">
                  <c:v>41383</c:v>
                </c:pt>
                <c:pt idx="1205">
                  <c:v>41384</c:v>
                </c:pt>
                <c:pt idx="1206">
                  <c:v>41385</c:v>
                </c:pt>
                <c:pt idx="1207">
                  <c:v>41386</c:v>
                </c:pt>
                <c:pt idx="1208">
                  <c:v>41387</c:v>
                </c:pt>
                <c:pt idx="1209">
                  <c:v>41388</c:v>
                </c:pt>
                <c:pt idx="1210">
                  <c:v>41389</c:v>
                </c:pt>
                <c:pt idx="1211">
                  <c:v>41390</c:v>
                </c:pt>
                <c:pt idx="1212">
                  <c:v>41391</c:v>
                </c:pt>
                <c:pt idx="1213">
                  <c:v>41392</c:v>
                </c:pt>
                <c:pt idx="1214">
                  <c:v>41393</c:v>
                </c:pt>
                <c:pt idx="1215">
                  <c:v>41394</c:v>
                </c:pt>
                <c:pt idx="1216">
                  <c:v>41395</c:v>
                </c:pt>
                <c:pt idx="1217">
                  <c:v>41396</c:v>
                </c:pt>
                <c:pt idx="1218">
                  <c:v>41397</c:v>
                </c:pt>
                <c:pt idx="1219">
                  <c:v>41398</c:v>
                </c:pt>
                <c:pt idx="1220">
                  <c:v>41399</c:v>
                </c:pt>
                <c:pt idx="1221">
                  <c:v>41400</c:v>
                </c:pt>
                <c:pt idx="1222">
                  <c:v>41401</c:v>
                </c:pt>
                <c:pt idx="1223">
                  <c:v>41402</c:v>
                </c:pt>
                <c:pt idx="1224">
                  <c:v>41403</c:v>
                </c:pt>
                <c:pt idx="1225">
                  <c:v>41404</c:v>
                </c:pt>
                <c:pt idx="1226">
                  <c:v>41405</c:v>
                </c:pt>
                <c:pt idx="1227">
                  <c:v>41406</c:v>
                </c:pt>
                <c:pt idx="1228">
                  <c:v>41407</c:v>
                </c:pt>
                <c:pt idx="1229">
                  <c:v>41408</c:v>
                </c:pt>
                <c:pt idx="1230">
                  <c:v>41409</c:v>
                </c:pt>
                <c:pt idx="1231">
                  <c:v>41410</c:v>
                </c:pt>
                <c:pt idx="1232">
                  <c:v>41411</c:v>
                </c:pt>
                <c:pt idx="1233">
                  <c:v>41412</c:v>
                </c:pt>
                <c:pt idx="1234">
                  <c:v>41413</c:v>
                </c:pt>
                <c:pt idx="1235">
                  <c:v>41414</c:v>
                </c:pt>
                <c:pt idx="1236">
                  <c:v>41415</c:v>
                </c:pt>
                <c:pt idx="1237">
                  <c:v>41416</c:v>
                </c:pt>
                <c:pt idx="1238">
                  <c:v>41417</c:v>
                </c:pt>
                <c:pt idx="1239">
                  <c:v>41418</c:v>
                </c:pt>
                <c:pt idx="1240">
                  <c:v>41419</c:v>
                </c:pt>
                <c:pt idx="1241">
                  <c:v>41420</c:v>
                </c:pt>
                <c:pt idx="1242">
                  <c:v>41421</c:v>
                </c:pt>
                <c:pt idx="1243">
                  <c:v>41422</c:v>
                </c:pt>
                <c:pt idx="1244">
                  <c:v>41423</c:v>
                </c:pt>
                <c:pt idx="1245">
                  <c:v>41424</c:v>
                </c:pt>
                <c:pt idx="1246">
                  <c:v>41425</c:v>
                </c:pt>
                <c:pt idx="1247">
                  <c:v>41426</c:v>
                </c:pt>
                <c:pt idx="1248">
                  <c:v>41427</c:v>
                </c:pt>
                <c:pt idx="1249">
                  <c:v>41428</c:v>
                </c:pt>
                <c:pt idx="1250">
                  <c:v>41429</c:v>
                </c:pt>
                <c:pt idx="1251">
                  <c:v>41430</c:v>
                </c:pt>
                <c:pt idx="1252">
                  <c:v>41431</c:v>
                </c:pt>
                <c:pt idx="1253">
                  <c:v>41432</c:v>
                </c:pt>
                <c:pt idx="1254">
                  <c:v>41433</c:v>
                </c:pt>
                <c:pt idx="1255">
                  <c:v>41434</c:v>
                </c:pt>
                <c:pt idx="1256">
                  <c:v>41435</c:v>
                </c:pt>
                <c:pt idx="1257">
                  <c:v>41436</c:v>
                </c:pt>
                <c:pt idx="1258">
                  <c:v>41437</c:v>
                </c:pt>
                <c:pt idx="1259">
                  <c:v>41438</c:v>
                </c:pt>
                <c:pt idx="1260">
                  <c:v>41439</c:v>
                </c:pt>
                <c:pt idx="1261">
                  <c:v>41440</c:v>
                </c:pt>
                <c:pt idx="1262">
                  <c:v>41441</c:v>
                </c:pt>
                <c:pt idx="1263">
                  <c:v>41442</c:v>
                </c:pt>
                <c:pt idx="1264">
                  <c:v>41443</c:v>
                </c:pt>
                <c:pt idx="1265">
                  <c:v>41444</c:v>
                </c:pt>
                <c:pt idx="1266">
                  <c:v>41445</c:v>
                </c:pt>
                <c:pt idx="1267">
                  <c:v>41446</c:v>
                </c:pt>
                <c:pt idx="1268">
                  <c:v>41447</c:v>
                </c:pt>
                <c:pt idx="1269">
                  <c:v>41448</c:v>
                </c:pt>
                <c:pt idx="1270">
                  <c:v>41449</c:v>
                </c:pt>
                <c:pt idx="1271">
                  <c:v>41450</c:v>
                </c:pt>
                <c:pt idx="1272">
                  <c:v>41451</c:v>
                </c:pt>
                <c:pt idx="1273">
                  <c:v>41452</c:v>
                </c:pt>
                <c:pt idx="1274">
                  <c:v>41453</c:v>
                </c:pt>
                <c:pt idx="1275">
                  <c:v>41454</c:v>
                </c:pt>
                <c:pt idx="1276">
                  <c:v>41455</c:v>
                </c:pt>
                <c:pt idx="1277">
                  <c:v>41456</c:v>
                </c:pt>
                <c:pt idx="1278">
                  <c:v>41457</c:v>
                </c:pt>
                <c:pt idx="1279">
                  <c:v>41458</c:v>
                </c:pt>
                <c:pt idx="1280">
                  <c:v>41459</c:v>
                </c:pt>
                <c:pt idx="1281">
                  <c:v>41460</c:v>
                </c:pt>
                <c:pt idx="1282">
                  <c:v>41461</c:v>
                </c:pt>
                <c:pt idx="1283">
                  <c:v>41462</c:v>
                </c:pt>
                <c:pt idx="1284">
                  <c:v>41463</c:v>
                </c:pt>
                <c:pt idx="1285">
                  <c:v>41464</c:v>
                </c:pt>
                <c:pt idx="1286">
                  <c:v>41465</c:v>
                </c:pt>
                <c:pt idx="1287">
                  <c:v>41466</c:v>
                </c:pt>
                <c:pt idx="1288">
                  <c:v>41467</c:v>
                </c:pt>
                <c:pt idx="1289">
                  <c:v>41468</c:v>
                </c:pt>
                <c:pt idx="1290">
                  <c:v>41469</c:v>
                </c:pt>
                <c:pt idx="1291">
                  <c:v>41470</c:v>
                </c:pt>
                <c:pt idx="1292">
                  <c:v>41471</c:v>
                </c:pt>
                <c:pt idx="1293">
                  <c:v>41472</c:v>
                </c:pt>
                <c:pt idx="1294">
                  <c:v>41473</c:v>
                </c:pt>
                <c:pt idx="1295">
                  <c:v>41474</c:v>
                </c:pt>
                <c:pt idx="1296">
                  <c:v>41475</c:v>
                </c:pt>
                <c:pt idx="1297">
                  <c:v>41476</c:v>
                </c:pt>
                <c:pt idx="1298">
                  <c:v>41477</c:v>
                </c:pt>
                <c:pt idx="1299">
                  <c:v>41478</c:v>
                </c:pt>
                <c:pt idx="1300">
                  <c:v>41479</c:v>
                </c:pt>
                <c:pt idx="1301">
                  <c:v>41480</c:v>
                </c:pt>
                <c:pt idx="1302">
                  <c:v>41481</c:v>
                </c:pt>
                <c:pt idx="1303">
                  <c:v>41482</c:v>
                </c:pt>
                <c:pt idx="1304">
                  <c:v>41483</c:v>
                </c:pt>
                <c:pt idx="1305">
                  <c:v>41484</c:v>
                </c:pt>
                <c:pt idx="1306">
                  <c:v>41485</c:v>
                </c:pt>
                <c:pt idx="1307">
                  <c:v>41486</c:v>
                </c:pt>
                <c:pt idx="1308">
                  <c:v>41487</c:v>
                </c:pt>
                <c:pt idx="1309">
                  <c:v>41488</c:v>
                </c:pt>
                <c:pt idx="1310">
                  <c:v>41489</c:v>
                </c:pt>
                <c:pt idx="1311">
                  <c:v>41490</c:v>
                </c:pt>
                <c:pt idx="1312">
                  <c:v>41491</c:v>
                </c:pt>
                <c:pt idx="1313">
                  <c:v>41492</c:v>
                </c:pt>
                <c:pt idx="1314">
                  <c:v>41493</c:v>
                </c:pt>
                <c:pt idx="1315">
                  <c:v>41494</c:v>
                </c:pt>
                <c:pt idx="1316">
                  <c:v>41495</c:v>
                </c:pt>
                <c:pt idx="1317">
                  <c:v>41496</c:v>
                </c:pt>
                <c:pt idx="1318">
                  <c:v>41497</c:v>
                </c:pt>
                <c:pt idx="1319">
                  <c:v>41498</c:v>
                </c:pt>
                <c:pt idx="1320">
                  <c:v>41499</c:v>
                </c:pt>
                <c:pt idx="1321">
                  <c:v>41500</c:v>
                </c:pt>
                <c:pt idx="1322">
                  <c:v>41501</c:v>
                </c:pt>
                <c:pt idx="1323">
                  <c:v>41502</c:v>
                </c:pt>
                <c:pt idx="1324">
                  <c:v>41503</c:v>
                </c:pt>
                <c:pt idx="1325">
                  <c:v>41504</c:v>
                </c:pt>
                <c:pt idx="1326">
                  <c:v>41505</c:v>
                </c:pt>
                <c:pt idx="1327">
                  <c:v>41506</c:v>
                </c:pt>
                <c:pt idx="1328">
                  <c:v>41507</c:v>
                </c:pt>
                <c:pt idx="1329">
                  <c:v>41508</c:v>
                </c:pt>
                <c:pt idx="1330">
                  <c:v>41509</c:v>
                </c:pt>
                <c:pt idx="1331">
                  <c:v>41510</c:v>
                </c:pt>
                <c:pt idx="1332">
                  <c:v>41511</c:v>
                </c:pt>
                <c:pt idx="1333">
                  <c:v>41512</c:v>
                </c:pt>
                <c:pt idx="1334">
                  <c:v>41513</c:v>
                </c:pt>
                <c:pt idx="1335">
                  <c:v>41514</c:v>
                </c:pt>
                <c:pt idx="1336">
                  <c:v>41515</c:v>
                </c:pt>
                <c:pt idx="1337">
                  <c:v>41516</c:v>
                </c:pt>
                <c:pt idx="1338">
                  <c:v>41517</c:v>
                </c:pt>
                <c:pt idx="1339">
                  <c:v>41518</c:v>
                </c:pt>
                <c:pt idx="1340">
                  <c:v>41519</c:v>
                </c:pt>
                <c:pt idx="1341">
                  <c:v>41520</c:v>
                </c:pt>
                <c:pt idx="1342">
                  <c:v>41521</c:v>
                </c:pt>
                <c:pt idx="1343">
                  <c:v>41522</c:v>
                </c:pt>
                <c:pt idx="1344">
                  <c:v>41523</c:v>
                </c:pt>
                <c:pt idx="1345">
                  <c:v>41524</c:v>
                </c:pt>
                <c:pt idx="1346">
                  <c:v>41525</c:v>
                </c:pt>
                <c:pt idx="1347">
                  <c:v>41526</c:v>
                </c:pt>
                <c:pt idx="1348">
                  <c:v>41527</c:v>
                </c:pt>
                <c:pt idx="1349">
                  <c:v>41528</c:v>
                </c:pt>
                <c:pt idx="1350">
                  <c:v>41529</c:v>
                </c:pt>
                <c:pt idx="1351">
                  <c:v>41530</c:v>
                </c:pt>
                <c:pt idx="1352">
                  <c:v>41531</c:v>
                </c:pt>
                <c:pt idx="1353">
                  <c:v>41532</c:v>
                </c:pt>
                <c:pt idx="1354">
                  <c:v>41533</c:v>
                </c:pt>
                <c:pt idx="1355">
                  <c:v>41534</c:v>
                </c:pt>
                <c:pt idx="1356">
                  <c:v>41535</c:v>
                </c:pt>
                <c:pt idx="1357">
                  <c:v>41536</c:v>
                </c:pt>
                <c:pt idx="1358">
                  <c:v>41537</c:v>
                </c:pt>
                <c:pt idx="1359">
                  <c:v>41538</c:v>
                </c:pt>
                <c:pt idx="1360">
                  <c:v>41539</c:v>
                </c:pt>
                <c:pt idx="1361">
                  <c:v>41540</c:v>
                </c:pt>
                <c:pt idx="1362">
                  <c:v>41541</c:v>
                </c:pt>
                <c:pt idx="1363">
                  <c:v>41542</c:v>
                </c:pt>
                <c:pt idx="1364">
                  <c:v>41543</c:v>
                </c:pt>
                <c:pt idx="1365">
                  <c:v>41544</c:v>
                </c:pt>
                <c:pt idx="1366">
                  <c:v>41545</c:v>
                </c:pt>
                <c:pt idx="1367">
                  <c:v>41546</c:v>
                </c:pt>
                <c:pt idx="1368">
                  <c:v>41547</c:v>
                </c:pt>
                <c:pt idx="1369">
                  <c:v>41548</c:v>
                </c:pt>
                <c:pt idx="1370">
                  <c:v>41549</c:v>
                </c:pt>
                <c:pt idx="1371">
                  <c:v>41550</c:v>
                </c:pt>
                <c:pt idx="1372">
                  <c:v>41551</c:v>
                </c:pt>
                <c:pt idx="1373">
                  <c:v>41552</c:v>
                </c:pt>
                <c:pt idx="1374">
                  <c:v>41553</c:v>
                </c:pt>
                <c:pt idx="1375">
                  <c:v>41554</c:v>
                </c:pt>
                <c:pt idx="1376">
                  <c:v>41555</c:v>
                </c:pt>
                <c:pt idx="1377">
                  <c:v>41556</c:v>
                </c:pt>
                <c:pt idx="1378">
                  <c:v>41557</c:v>
                </c:pt>
                <c:pt idx="1379">
                  <c:v>41558</c:v>
                </c:pt>
                <c:pt idx="1380">
                  <c:v>41559</c:v>
                </c:pt>
                <c:pt idx="1381">
                  <c:v>41560</c:v>
                </c:pt>
                <c:pt idx="1382">
                  <c:v>41561</c:v>
                </c:pt>
                <c:pt idx="1383">
                  <c:v>41562</c:v>
                </c:pt>
                <c:pt idx="1384">
                  <c:v>41563</c:v>
                </c:pt>
                <c:pt idx="1385">
                  <c:v>41564</c:v>
                </c:pt>
                <c:pt idx="1386">
                  <c:v>41565</c:v>
                </c:pt>
                <c:pt idx="1387">
                  <c:v>41566</c:v>
                </c:pt>
                <c:pt idx="1388">
                  <c:v>41567</c:v>
                </c:pt>
                <c:pt idx="1389">
                  <c:v>41568</c:v>
                </c:pt>
                <c:pt idx="1390">
                  <c:v>41569</c:v>
                </c:pt>
                <c:pt idx="1391">
                  <c:v>41570</c:v>
                </c:pt>
                <c:pt idx="1392">
                  <c:v>41571</c:v>
                </c:pt>
                <c:pt idx="1393">
                  <c:v>41572</c:v>
                </c:pt>
                <c:pt idx="1394">
                  <c:v>41573</c:v>
                </c:pt>
                <c:pt idx="1395">
                  <c:v>41574</c:v>
                </c:pt>
                <c:pt idx="1396">
                  <c:v>41575</c:v>
                </c:pt>
                <c:pt idx="1397">
                  <c:v>41576</c:v>
                </c:pt>
                <c:pt idx="1398">
                  <c:v>41577</c:v>
                </c:pt>
                <c:pt idx="1399">
                  <c:v>41578</c:v>
                </c:pt>
                <c:pt idx="1400">
                  <c:v>41579</c:v>
                </c:pt>
                <c:pt idx="1401">
                  <c:v>41580</c:v>
                </c:pt>
                <c:pt idx="1402">
                  <c:v>41581</c:v>
                </c:pt>
                <c:pt idx="1403">
                  <c:v>41582</c:v>
                </c:pt>
                <c:pt idx="1404">
                  <c:v>41583</c:v>
                </c:pt>
                <c:pt idx="1405">
                  <c:v>41584</c:v>
                </c:pt>
                <c:pt idx="1406">
                  <c:v>41585</c:v>
                </c:pt>
                <c:pt idx="1407">
                  <c:v>41586</c:v>
                </c:pt>
                <c:pt idx="1408">
                  <c:v>41587</c:v>
                </c:pt>
                <c:pt idx="1409">
                  <c:v>41588</c:v>
                </c:pt>
                <c:pt idx="1410">
                  <c:v>41589</c:v>
                </c:pt>
                <c:pt idx="1411">
                  <c:v>41590</c:v>
                </c:pt>
                <c:pt idx="1412">
                  <c:v>41591</c:v>
                </c:pt>
                <c:pt idx="1413">
                  <c:v>41592</c:v>
                </c:pt>
                <c:pt idx="1414">
                  <c:v>41593</c:v>
                </c:pt>
                <c:pt idx="1415">
                  <c:v>41594</c:v>
                </c:pt>
                <c:pt idx="1416">
                  <c:v>41595</c:v>
                </c:pt>
                <c:pt idx="1417">
                  <c:v>41596</c:v>
                </c:pt>
                <c:pt idx="1418">
                  <c:v>41597</c:v>
                </c:pt>
                <c:pt idx="1419">
                  <c:v>41598</c:v>
                </c:pt>
                <c:pt idx="1420">
                  <c:v>41599</c:v>
                </c:pt>
                <c:pt idx="1421">
                  <c:v>41600</c:v>
                </c:pt>
                <c:pt idx="1422">
                  <c:v>41601</c:v>
                </c:pt>
                <c:pt idx="1423">
                  <c:v>41602</c:v>
                </c:pt>
                <c:pt idx="1424">
                  <c:v>41603</c:v>
                </c:pt>
                <c:pt idx="1425">
                  <c:v>41604</c:v>
                </c:pt>
                <c:pt idx="1426">
                  <c:v>41605</c:v>
                </c:pt>
                <c:pt idx="1427">
                  <c:v>41606</c:v>
                </c:pt>
                <c:pt idx="1428">
                  <c:v>41607</c:v>
                </c:pt>
                <c:pt idx="1429">
                  <c:v>41608</c:v>
                </c:pt>
                <c:pt idx="1430">
                  <c:v>41609</c:v>
                </c:pt>
                <c:pt idx="1431">
                  <c:v>41610</c:v>
                </c:pt>
                <c:pt idx="1432">
                  <c:v>41611</c:v>
                </c:pt>
                <c:pt idx="1433">
                  <c:v>41612</c:v>
                </c:pt>
                <c:pt idx="1434">
                  <c:v>41613</c:v>
                </c:pt>
                <c:pt idx="1435">
                  <c:v>41614</c:v>
                </c:pt>
                <c:pt idx="1436">
                  <c:v>41615</c:v>
                </c:pt>
                <c:pt idx="1437">
                  <c:v>41616</c:v>
                </c:pt>
                <c:pt idx="1438">
                  <c:v>41617</c:v>
                </c:pt>
                <c:pt idx="1439">
                  <c:v>41618</c:v>
                </c:pt>
                <c:pt idx="1440">
                  <c:v>41619</c:v>
                </c:pt>
                <c:pt idx="1441">
                  <c:v>41620</c:v>
                </c:pt>
                <c:pt idx="1442">
                  <c:v>41621</c:v>
                </c:pt>
                <c:pt idx="1443">
                  <c:v>41622</c:v>
                </c:pt>
                <c:pt idx="1444">
                  <c:v>41623</c:v>
                </c:pt>
                <c:pt idx="1445">
                  <c:v>41624</c:v>
                </c:pt>
                <c:pt idx="1446">
                  <c:v>41625</c:v>
                </c:pt>
                <c:pt idx="1447">
                  <c:v>41626</c:v>
                </c:pt>
                <c:pt idx="1448">
                  <c:v>41627</c:v>
                </c:pt>
                <c:pt idx="1449">
                  <c:v>41628</c:v>
                </c:pt>
                <c:pt idx="1450">
                  <c:v>41629</c:v>
                </c:pt>
                <c:pt idx="1451">
                  <c:v>41630</c:v>
                </c:pt>
                <c:pt idx="1452">
                  <c:v>41631</c:v>
                </c:pt>
                <c:pt idx="1453">
                  <c:v>41632</c:v>
                </c:pt>
                <c:pt idx="1454">
                  <c:v>41633</c:v>
                </c:pt>
                <c:pt idx="1455">
                  <c:v>41634</c:v>
                </c:pt>
                <c:pt idx="1456">
                  <c:v>41635</c:v>
                </c:pt>
                <c:pt idx="1457">
                  <c:v>41636</c:v>
                </c:pt>
                <c:pt idx="1458">
                  <c:v>41637</c:v>
                </c:pt>
                <c:pt idx="1459">
                  <c:v>41638</c:v>
                </c:pt>
                <c:pt idx="1460">
                  <c:v>41639</c:v>
                </c:pt>
                <c:pt idx="1461">
                  <c:v>41640</c:v>
                </c:pt>
                <c:pt idx="1462">
                  <c:v>41641</c:v>
                </c:pt>
                <c:pt idx="1463">
                  <c:v>41642</c:v>
                </c:pt>
                <c:pt idx="1464">
                  <c:v>41643</c:v>
                </c:pt>
                <c:pt idx="1465">
                  <c:v>41644</c:v>
                </c:pt>
                <c:pt idx="1466">
                  <c:v>41645</c:v>
                </c:pt>
                <c:pt idx="1467">
                  <c:v>41646</c:v>
                </c:pt>
                <c:pt idx="1468">
                  <c:v>41647</c:v>
                </c:pt>
                <c:pt idx="1469">
                  <c:v>41648</c:v>
                </c:pt>
                <c:pt idx="1470">
                  <c:v>41649</c:v>
                </c:pt>
                <c:pt idx="1471">
                  <c:v>41650</c:v>
                </c:pt>
                <c:pt idx="1472">
                  <c:v>41651</c:v>
                </c:pt>
                <c:pt idx="1473">
                  <c:v>41652</c:v>
                </c:pt>
                <c:pt idx="1474">
                  <c:v>41653</c:v>
                </c:pt>
                <c:pt idx="1475">
                  <c:v>41654</c:v>
                </c:pt>
                <c:pt idx="1476">
                  <c:v>41655</c:v>
                </c:pt>
                <c:pt idx="1477">
                  <c:v>41656</c:v>
                </c:pt>
                <c:pt idx="1478">
                  <c:v>41657</c:v>
                </c:pt>
                <c:pt idx="1479">
                  <c:v>41658</c:v>
                </c:pt>
                <c:pt idx="1480">
                  <c:v>41659</c:v>
                </c:pt>
                <c:pt idx="1481">
                  <c:v>41660</c:v>
                </c:pt>
                <c:pt idx="1482">
                  <c:v>41661</c:v>
                </c:pt>
                <c:pt idx="1483">
                  <c:v>41662</c:v>
                </c:pt>
                <c:pt idx="1484">
                  <c:v>41663</c:v>
                </c:pt>
                <c:pt idx="1485">
                  <c:v>41664</c:v>
                </c:pt>
                <c:pt idx="1486">
                  <c:v>41665</c:v>
                </c:pt>
                <c:pt idx="1487">
                  <c:v>41666</c:v>
                </c:pt>
                <c:pt idx="1488">
                  <c:v>41667</c:v>
                </c:pt>
                <c:pt idx="1489">
                  <c:v>41668</c:v>
                </c:pt>
                <c:pt idx="1490">
                  <c:v>41669</c:v>
                </c:pt>
                <c:pt idx="1491">
                  <c:v>41670</c:v>
                </c:pt>
                <c:pt idx="1492">
                  <c:v>41671</c:v>
                </c:pt>
                <c:pt idx="1493">
                  <c:v>41672</c:v>
                </c:pt>
                <c:pt idx="1494">
                  <c:v>41673</c:v>
                </c:pt>
                <c:pt idx="1495">
                  <c:v>41674</c:v>
                </c:pt>
                <c:pt idx="1496">
                  <c:v>41675</c:v>
                </c:pt>
                <c:pt idx="1497">
                  <c:v>41676</c:v>
                </c:pt>
                <c:pt idx="1498">
                  <c:v>41677</c:v>
                </c:pt>
                <c:pt idx="1499">
                  <c:v>41678</c:v>
                </c:pt>
                <c:pt idx="1500">
                  <c:v>41679</c:v>
                </c:pt>
                <c:pt idx="1501">
                  <c:v>41680</c:v>
                </c:pt>
                <c:pt idx="1502">
                  <c:v>41681</c:v>
                </c:pt>
                <c:pt idx="1503">
                  <c:v>41682</c:v>
                </c:pt>
                <c:pt idx="1504">
                  <c:v>41683</c:v>
                </c:pt>
                <c:pt idx="1505">
                  <c:v>41684</c:v>
                </c:pt>
                <c:pt idx="1506">
                  <c:v>41685</c:v>
                </c:pt>
                <c:pt idx="1507">
                  <c:v>41686</c:v>
                </c:pt>
                <c:pt idx="1508">
                  <c:v>41687</c:v>
                </c:pt>
                <c:pt idx="1509">
                  <c:v>41688</c:v>
                </c:pt>
                <c:pt idx="1510">
                  <c:v>41689</c:v>
                </c:pt>
                <c:pt idx="1511">
                  <c:v>41690</c:v>
                </c:pt>
                <c:pt idx="1512">
                  <c:v>41691</c:v>
                </c:pt>
                <c:pt idx="1513">
                  <c:v>41692</c:v>
                </c:pt>
                <c:pt idx="1514">
                  <c:v>41693</c:v>
                </c:pt>
                <c:pt idx="1515">
                  <c:v>41694</c:v>
                </c:pt>
                <c:pt idx="1516">
                  <c:v>41695</c:v>
                </c:pt>
                <c:pt idx="1517">
                  <c:v>41696</c:v>
                </c:pt>
                <c:pt idx="1518">
                  <c:v>41697</c:v>
                </c:pt>
                <c:pt idx="1519">
                  <c:v>41698</c:v>
                </c:pt>
                <c:pt idx="1520">
                  <c:v>41699</c:v>
                </c:pt>
                <c:pt idx="1521">
                  <c:v>41700</c:v>
                </c:pt>
                <c:pt idx="1522">
                  <c:v>41701</c:v>
                </c:pt>
                <c:pt idx="1523">
                  <c:v>41702</c:v>
                </c:pt>
                <c:pt idx="1524">
                  <c:v>41703</c:v>
                </c:pt>
                <c:pt idx="1525">
                  <c:v>41704</c:v>
                </c:pt>
                <c:pt idx="1526">
                  <c:v>41705</c:v>
                </c:pt>
                <c:pt idx="1527">
                  <c:v>41706</c:v>
                </c:pt>
                <c:pt idx="1528">
                  <c:v>41707</c:v>
                </c:pt>
                <c:pt idx="1529">
                  <c:v>41708</c:v>
                </c:pt>
                <c:pt idx="1530">
                  <c:v>41709</c:v>
                </c:pt>
                <c:pt idx="1531">
                  <c:v>41710</c:v>
                </c:pt>
                <c:pt idx="1532">
                  <c:v>41711</c:v>
                </c:pt>
                <c:pt idx="1533">
                  <c:v>41712</c:v>
                </c:pt>
                <c:pt idx="1534">
                  <c:v>41713</c:v>
                </c:pt>
                <c:pt idx="1535">
                  <c:v>41714</c:v>
                </c:pt>
                <c:pt idx="1536">
                  <c:v>41715</c:v>
                </c:pt>
                <c:pt idx="1537">
                  <c:v>41716</c:v>
                </c:pt>
                <c:pt idx="1538">
                  <c:v>41717</c:v>
                </c:pt>
                <c:pt idx="1539">
                  <c:v>41718</c:v>
                </c:pt>
                <c:pt idx="1540">
                  <c:v>41719</c:v>
                </c:pt>
                <c:pt idx="1541">
                  <c:v>41720</c:v>
                </c:pt>
                <c:pt idx="1542">
                  <c:v>41721</c:v>
                </c:pt>
                <c:pt idx="1543">
                  <c:v>41722</c:v>
                </c:pt>
                <c:pt idx="1544">
                  <c:v>41723</c:v>
                </c:pt>
                <c:pt idx="1545">
                  <c:v>41724</c:v>
                </c:pt>
                <c:pt idx="1546">
                  <c:v>41725</c:v>
                </c:pt>
                <c:pt idx="1547">
                  <c:v>41726</c:v>
                </c:pt>
                <c:pt idx="1548">
                  <c:v>41727</c:v>
                </c:pt>
                <c:pt idx="1549">
                  <c:v>41728</c:v>
                </c:pt>
                <c:pt idx="1550">
                  <c:v>41729</c:v>
                </c:pt>
                <c:pt idx="1551">
                  <c:v>41730</c:v>
                </c:pt>
                <c:pt idx="1552">
                  <c:v>41731</c:v>
                </c:pt>
                <c:pt idx="1553">
                  <c:v>41732</c:v>
                </c:pt>
                <c:pt idx="1554">
                  <c:v>41733</c:v>
                </c:pt>
                <c:pt idx="1555">
                  <c:v>41734</c:v>
                </c:pt>
                <c:pt idx="1556">
                  <c:v>41735</c:v>
                </c:pt>
                <c:pt idx="1557">
                  <c:v>41736</c:v>
                </c:pt>
                <c:pt idx="1558">
                  <c:v>41737</c:v>
                </c:pt>
                <c:pt idx="1559">
                  <c:v>41738</c:v>
                </c:pt>
                <c:pt idx="1560">
                  <c:v>41739</c:v>
                </c:pt>
                <c:pt idx="1561">
                  <c:v>41740</c:v>
                </c:pt>
                <c:pt idx="1562">
                  <c:v>41741</c:v>
                </c:pt>
                <c:pt idx="1563">
                  <c:v>41742</c:v>
                </c:pt>
                <c:pt idx="1564">
                  <c:v>41743</c:v>
                </c:pt>
                <c:pt idx="1565">
                  <c:v>41744</c:v>
                </c:pt>
                <c:pt idx="1566">
                  <c:v>41745</c:v>
                </c:pt>
                <c:pt idx="1567">
                  <c:v>41746</c:v>
                </c:pt>
                <c:pt idx="1568">
                  <c:v>41747</c:v>
                </c:pt>
                <c:pt idx="1569">
                  <c:v>41748</c:v>
                </c:pt>
                <c:pt idx="1570">
                  <c:v>41749</c:v>
                </c:pt>
                <c:pt idx="1571">
                  <c:v>41750</c:v>
                </c:pt>
                <c:pt idx="1572">
                  <c:v>41751</c:v>
                </c:pt>
                <c:pt idx="1573">
                  <c:v>41752</c:v>
                </c:pt>
                <c:pt idx="1574">
                  <c:v>41753</c:v>
                </c:pt>
                <c:pt idx="1575">
                  <c:v>41754</c:v>
                </c:pt>
                <c:pt idx="1576">
                  <c:v>41755</c:v>
                </c:pt>
                <c:pt idx="1577">
                  <c:v>41756</c:v>
                </c:pt>
                <c:pt idx="1578">
                  <c:v>41757</c:v>
                </c:pt>
                <c:pt idx="1579">
                  <c:v>41758</c:v>
                </c:pt>
                <c:pt idx="1580">
                  <c:v>41759</c:v>
                </c:pt>
                <c:pt idx="1581">
                  <c:v>41760</c:v>
                </c:pt>
                <c:pt idx="1582">
                  <c:v>41761</c:v>
                </c:pt>
                <c:pt idx="1583">
                  <c:v>41762</c:v>
                </c:pt>
                <c:pt idx="1584">
                  <c:v>41763</c:v>
                </c:pt>
                <c:pt idx="1585">
                  <c:v>41764</c:v>
                </c:pt>
                <c:pt idx="1586">
                  <c:v>41765</c:v>
                </c:pt>
                <c:pt idx="1587">
                  <c:v>41766</c:v>
                </c:pt>
                <c:pt idx="1588">
                  <c:v>41767</c:v>
                </c:pt>
                <c:pt idx="1589">
                  <c:v>41768</c:v>
                </c:pt>
                <c:pt idx="1590">
                  <c:v>41769</c:v>
                </c:pt>
                <c:pt idx="1591">
                  <c:v>41770</c:v>
                </c:pt>
                <c:pt idx="1592">
                  <c:v>41771</c:v>
                </c:pt>
                <c:pt idx="1593">
                  <c:v>41772</c:v>
                </c:pt>
                <c:pt idx="1594">
                  <c:v>41773</c:v>
                </c:pt>
                <c:pt idx="1595">
                  <c:v>41774</c:v>
                </c:pt>
                <c:pt idx="1596">
                  <c:v>41775</c:v>
                </c:pt>
                <c:pt idx="1597">
                  <c:v>41776</c:v>
                </c:pt>
                <c:pt idx="1598">
                  <c:v>41777</c:v>
                </c:pt>
                <c:pt idx="1599">
                  <c:v>41778</c:v>
                </c:pt>
                <c:pt idx="1600">
                  <c:v>41779</c:v>
                </c:pt>
                <c:pt idx="1601">
                  <c:v>41780</c:v>
                </c:pt>
                <c:pt idx="1602">
                  <c:v>41781</c:v>
                </c:pt>
                <c:pt idx="1603">
                  <c:v>41782</c:v>
                </c:pt>
                <c:pt idx="1604">
                  <c:v>41783</c:v>
                </c:pt>
                <c:pt idx="1605">
                  <c:v>41784</c:v>
                </c:pt>
                <c:pt idx="1606">
                  <c:v>41785</c:v>
                </c:pt>
                <c:pt idx="1607">
                  <c:v>41786</c:v>
                </c:pt>
                <c:pt idx="1608">
                  <c:v>41787</c:v>
                </c:pt>
                <c:pt idx="1609">
                  <c:v>41788</c:v>
                </c:pt>
                <c:pt idx="1610">
                  <c:v>41789</c:v>
                </c:pt>
                <c:pt idx="1611">
                  <c:v>41790</c:v>
                </c:pt>
                <c:pt idx="1612">
                  <c:v>41791</c:v>
                </c:pt>
                <c:pt idx="1613">
                  <c:v>41792</c:v>
                </c:pt>
                <c:pt idx="1614">
                  <c:v>41793</c:v>
                </c:pt>
                <c:pt idx="1615">
                  <c:v>41794</c:v>
                </c:pt>
                <c:pt idx="1616">
                  <c:v>41795</c:v>
                </c:pt>
                <c:pt idx="1617">
                  <c:v>41796</c:v>
                </c:pt>
                <c:pt idx="1618">
                  <c:v>41797</c:v>
                </c:pt>
                <c:pt idx="1619">
                  <c:v>41798</c:v>
                </c:pt>
                <c:pt idx="1620">
                  <c:v>41799</c:v>
                </c:pt>
                <c:pt idx="1621">
                  <c:v>41800</c:v>
                </c:pt>
                <c:pt idx="1622">
                  <c:v>41801</c:v>
                </c:pt>
                <c:pt idx="1623">
                  <c:v>41802</c:v>
                </c:pt>
                <c:pt idx="1624">
                  <c:v>41803</c:v>
                </c:pt>
                <c:pt idx="1625">
                  <c:v>41804</c:v>
                </c:pt>
                <c:pt idx="1626">
                  <c:v>41805</c:v>
                </c:pt>
                <c:pt idx="1627">
                  <c:v>41806</c:v>
                </c:pt>
                <c:pt idx="1628">
                  <c:v>41807</c:v>
                </c:pt>
                <c:pt idx="1629">
                  <c:v>41808</c:v>
                </c:pt>
                <c:pt idx="1630">
                  <c:v>41809</c:v>
                </c:pt>
                <c:pt idx="1631">
                  <c:v>41810</c:v>
                </c:pt>
                <c:pt idx="1632">
                  <c:v>41811</c:v>
                </c:pt>
                <c:pt idx="1633">
                  <c:v>41812</c:v>
                </c:pt>
                <c:pt idx="1634">
                  <c:v>41813</c:v>
                </c:pt>
                <c:pt idx="1635">
                  <c:v>41814</c:v>
                </c:pt>
                <c:pt idx="1636">
                  <c:v>41815</c:v>
                </c:pt>
                <c:pt idx="1637">
                  <c:v>41816</c:v>
                </c:pt>
                <c:pt idx="1638">
                  <c:v>41817</c:v>
                </c:pt>
                <c:pt idx="1639">
                  <c:v>41818</c:v>
                </c:pt>
                <c:pt idx="1640">
                  <c:v>41819</c:v>
                </c:pt>
                <c:pt idx="1641">
                  <c:v>41820</c:v>
                </c:pt>
                <c:pt idx="1642">
                  <c:v>41821</c:v>
                </c:pt>
                <c:pt idx="1643">
                  <c:v>41822</c:v>
                </c:pt>
                <c:pt idx="1644">
                  <c:v>41823</c:v>
                </c:pt>
                <c:pt idx="1645">
                  <c:v>41824</c:v>
                </c:pt>
                <c:pt idx="1646">
                  <c:v>41825</c:v>
                </c:pt>
                <c:pt idx="1647">
                  <c:v>41826</c:v>
                </c:pt>
                <c:pt idx="1648">
                  <c:v>41827</c:v>
                </c:pt>
                <c:pt idx="1649">
                  <c:v>41828</c:v>
                </c:pt>
                <c:pt idx="1650">
                  <c:v>41829</c:v>
                </c:pt>
                <c:pt idx="1651">
                  <c:v>41830</c:v>
                </c:pt>
                <c:pt idx="1652">
                  <c:v>41831</c:v>
                </c:pt>
                <c:pt idx="1653">
                  <c:v>41832</c:v>
                </c:pt>
                <c:pt idx="1654">
                  <c:v>41833</c:v>
                </c:pt>
                <c:pt idx="1655">
                  <c:v>41834</c:v>
                </c:pt>
                <c:pt idx="1656">
                  <c:v>41835</c:v>
                </c:pt>
                <c:pt idx="1657">
                  <c:v>41836</c:v>
                </c:pt>
                <c:pt idx="1658">
                  <c:v>41837</c:v>
                </c:pt>
                <c:pt idx="1659">
                  <c:v>41838</c:v>
                </c:pt>
                <c:pt idx="1660">
                  <c:v>41839</c:v>
                </c:pt>
                <c:pt idx="1661">
                  <c:v>41840</c:v>
                </c:pt>
                <c:pt idx="1662">
                  <c:v>41841</c:v>
                </c:pt>
                <c:pt idx="1663">
                  <c:v>41842</c:v>
                </c:pt>
                <c:pt idx="1664">
                  <c:v>41843</c:v>
                </c:pt>
                <c:pt idx="1665">
                  <c:v>41844</c:v>
                </c:pt>
                <c:pt idx="1666">
                  <c:v>41845</c:v>
                </c:pt>
                <c:pt idx="1667">
                  <c:v>41846</c:v>
                </c:pt>
                <c:pt idx="1668">
                  <c:v>41847</c:v>
                </c:pt>
                <c:pt idx="1669">
                  <c:v>41848</c:v>
                </c:pt>
                <c:pt idx="1670">
                  <c:v>41849</c:v>
                </c:pt>
                <c:pt idx="1671">
                  <c:v>41850</c:v>
                </c:pt>
                <c:pt idx="1672">
                  <c:v>41851</c:v>
                </c:pt>
                <c:pt idx="1673">
                  <c:v>41852</c:v>
                </c:pt>
                <c:pt idx="1674">
                  <c:v>41853</c:v>
                </c:pt>
                <c:pt idx="1675">
                  <c:v>41854</c:v>
                </c:pt>
                <c:pt idx="1676">
                  <c:v>41855</c:v>
                </c:pt>
                <c:pt idx="1677">
                  <c:v>41856</c:v>
                </c:pt>
                <c:pt idx="1678">
                  <c:v>41857</c:v>
                </c:pt>
                <c:pt idx="1679">
                  <c:v>41858</c:v>
                </c:pt>
                <c:pt idx="1680">
                  <c:v>41859</c:v>
                </c:pt>
                <c:pt idx="1681">
                  <c:v>41860</c:v>
                </c:pt>
                <c:pt idx="1682">
                  <c:v>41861</c:v>
                </c:pt>
                <c:pt idx="1683">
                  <c:v>41862</c:v>
                </c:pt>
                <c:pt idx="1684">
                  <c:v>41863</c:v>
                </c:pt>
                <c:pt idx="1685">
                  <c:v>41864</c:v>
                </c:pt>
                <c:pt idx="1686">
                  <c:v>41865</c:v>
                </c:pt>
                <c:pt idx="1687">
                  <c:v>41866</c:v>
                </c:pt>
                <c:pt idx="1688">
                  <c:v>41867</c:v>
                </c:pt>
                <c:pt idx="1689">
                  <c:v>41868</c:v>
                </c:pt>
                <c:pt idx="1690">
                  <c:v>41869</c:v>
                </c:pt>
                <c:pt idx="1691">
                  <c:v>41870</c:v>
                </c:pt>
                <c:pt idx="1692">
                  <c:v>41871</c:v>
                </c:pt>
                <c:pt idx="1693">
                  <c:v>41872</c:v>
                </c:pt>
                <c:pt idx="1694">
                  <c:v>41873</c:v>
                </c:pt>
                <c:pt idx="1695">
                  <c:v>41874</c:v>
                </c:pt>
                <c:pt idx="1696">
                  <c:v>41875</c:v>
                </c:pt>
                <c:pt idx="1697">
                  <c:v>41876</c:v>
                </c:pt>
                <c:pt idx="1698">
                  <c:v>41877</c:v>
                </c:pt>
                <c:pt idx="1699">
                  <c:v>41878</c:v>
                </c:pt>
                <c:pt idx="1700">
                  <c:v>41879</c:v>
                </c:pt>
                <c:pt idx="1701">
                  <c:v>41880</c:v>
                </c:pt>
                <c:pt idx="1702">
                  <c:v>41881</c:v>
                </c:pt>
                <c:pt idx="1703">
                  <c:v>41882</c:v>
                </c:pt>
                <c:pt idx="1704">
                  <c:v>41883</c:v>
                </c:pt>
                <c:pt idx="1705">
                  <c:v>41884</c:v>
                </c:pt>
                <c:pt idx="1706">
                  <c:v>41885</c:v>
                </c:pt>
                <c:pt idx="1707">
                  <c:v>41886</c:v>
                </c:pt>
                <c:pt idx="1708">
                  <c:v>41887</c:v>
                </c:pt>
                <c:pt idx="1709">
                  <c:v>41888</c:v>
                </c:pt>
                <c:pt idx="1710">
                  <c:v>41889</c:v>
                </c:pt>
                <c:pt idx="1711">
                  <c:v>41890</c:v>
                </c:pt>
                <c:pt idx="1712">
                  <c:v>41891</c:v>
                </c:pt>
                <c:pt idx="1713">
                  <c:v>41892</c:v>
                </c:pt>
                <c:pt idx="1714">
                  <c:v>41893</c:v>
                </c:pt>
                <c:pt idx="1715">
                  <c:v>41894</c:v>
                </c:pt>
                <c:pt idx="1716">
                  <c:v>41895</c:v>
                </c:pt>
                <c:pt idx="1717">
                  <c:v>41896</c:v>
                </c:pt>
                <c:pt idx="1718">
                  <c:v>41897</c:v>
                </c:pt>
                <c:pt idx="1719">
                  <c:v>41898</c:v>
                </c:pt>
                <c:pt idx="1720">
                  <c:v>41899</c:v>
                </c:pt>
                <c:pt idx="1721">
                  <c:v>41900</c:v>
                </c:pt>
                <c:pt idx="1722">
                  <c:v>41901</c:v>
                </c:pt>
                <c:pt idx="1723">
                  <c:v>41902</c:v>
                </c:pt>
                <c:pt idx="1724">
                  <c:v>41903</c:v>
                </c:pt>
                <c:pt idx="1725">
                  <c:v>41904</c:v>
                </c:pt>
                <c:pt idx="1726">
                  <c:v>41905</c:v>
                </c:pt>
                <c:pt idx="1727">
                  <c:v>41906</c:v>
                </c:pt>
                <c:pt idx="1728">
                  <c:v>41907</c:v>
                </c:pt>
                <c:pt idx="1729">
                  <c:v>41908</c:v>
                </c:pt>
                <c:pt idx="1730">
                  <c:v>41909</c:v>
                </c:pt>
                <c:pt idx="1731">
                  <c:v>41910</c:v>
                </c:pt>
                <c:pt idx="1732">
                  <c:v>41911</c:v>
                </c:pt>
                <c:pt idx="1733">
                  <c:v>41912</c:v>
                </c:pt>
                <c:pt idx="1734">
                  <c:v>41913</c:v>
                </c:pt>
                <c:pt idx="1735">
                  <c:v>41914</c:v>
                </c:pt>
                <c:pt idx="1736">
                  <c:v>41915</c:v>
                </c:pt>
                <c:pt idx="1737">
                  <c:v>41916</c:v>
                </c:pt>
                <c:pt idx="1738">
                  <c:v>41917</c:v>
                </c:pt>
                <c:pt idx="1739">
                  <c:v>41918</c:v>
                </c:pt>
                <c:pt idx="1740">
                  <c:v>41919</c:v>
                </c:pt>
                <c:pt idx="1741">
                  <c:v>41920</c:v>
                </c:pt>
                <c:pt idx="1742">
                  <c:v>41921</c:v>
                </c:pt>
                <c:pt idx="1743">
                  <c:v>41922</c:v>
                </c:pt>
                <c:pt idx="1744">
                  <c:v>41923</c:v>
                </c:pt>
                <c:pt idx="1745">
                  <c:v>41924</c:v>
                </c:pt>
                <c:pt idx="1746">
                  <c:v>41925</c:v>
                </c:pt>
                <c:pt idx="1747">
                  <c:v>41926</c:v>
                </c:pt>
                <c:pt idx="1748">
                  <c:v>41927</c:v>
                </c:pt>
                <c:pt idx="1749">
                  <c:v>41928</c:v>
                </c:pt>
                <c:pt idx="1750">
                  <c:v>41929</c:v>
                </c:pt>
                <c:pt idx="1751">
                  <c:v>41930</c:v>
                </c:pt>
                <c:pt idx="1752">
                  <c:v>41931</c:v>
                </c:pt>
                <c:pt idx="1753">
                  <c:v>41932</c:v>
                </c:pt>
                <c:pt idx="1754">
                  <c:v>41933</c:v>
                </c:pt>
                <c:pt idx="1755">
                  <c:v>41934</c:v>
                </c:pt>
                <c:pt idx="1756">
                  <c:v>41935</c:v>
                </c:pt>
                <c:pt idx="1757">
                  <c:v>41936</c:v>
                </c:pt>
                <c:pt idx="1758">
                  <c:v>41937</c:v>
                </c:pt>
                <c:pt idx="1759">
                  <c:v>41938</c:v>
                </c:pt>
                <c:pt idx="1760">
                  <c:v>41939</c:v>
                </c:pt>
                <c:pt idx="1761">
                  <c:v>41940</c:v>
                </c:pt>
                <c:pt idx="1762">
                  <c:v>41941</c:v>
                </c:pt>
                <c:pt idx="1763">
                  <c:v>41942</c:v>
                </c:pt>
                <c:pt idx="1764">
                  <c:v>41943</c:v>
                </c:pt>
                <c:pt idx="1765">
                  <c:v>41944</c:v>
                </c:pt>
                <c:pt idx="1766">
                  <c:v>41945</c:v>
                </c:pt>
                <c:pt idx="1767">
                  <c:v>41946</c:v>
                </c:pt>
                <c:pt idx="1768">
                  <c:v>41947</c:v>
                </c:pt>
                <c:pt idx="1769">
                  <c:v>41948</c:v>
                </c:pt>
                <c:pt idx="1770">
                  <c:v>41949</c:v>
                </c:pt>
                <c:pt idx="1771">
                  <c:v>41950</c:v>
                </c:pt>
                <c:pt idx="1772">
                  <c:v>41951</c:v>
                </c:pt>
                <c:pt idx="1773">
                  <c:v>41952</c:v>
                </c:pt>
                <c:pt idx="1774">
                  <c:v>41953</c:v>
                </c:pt>
                <c:pt idx="1775">
                  <c:v>41954</c:v>
                </c:pt>
                <c:pt idx="1776">
                  <c:v>41955</c:v>
                </c:pt>
                <c:pt idx="1777">
                  <c:v>41956</c:v>
                </c:pt>
                <c:pt idx="1778">
                  <c:v>41957</c:v>
                </c:pt>
                <c:pt idx="1779">
                  <c:v>41958</c:v>
                </c:pt>
                <c:pt idx="1780">
                  <c:v>41959</c:v>
                </c:pt>
                <c:pt idx="1781">
                  <c:v>41960</c:v>
                </c:pt>
                <c:pt idx="1782">
                  <c:v>41961</c:v>
                </c:pt>
                <c:pt idx="1783">
                  <c:v>41962</c:v>
                </c:pt>
                <c:pt idx="1784">
                  <c:v>41963</c:v>
                </c:pt>
                <c:pt idx="1785">
                  <c:v>41964</c:v>
                </c:pt>
                <c:pt idx="1786">
                  <c:v>41965</c:v>
                </c:pt>
                <c:pt idx="1787">
                  <c:v>41966</c:v>
                </c:pt>
                <c:pt idx="1788">
                  <c:v>41967</c:v>
                </c:pt>
                <c:pt idx="1789">
                  <c:v>41968</c:v>
                </c:pt>
                <c:pt idx="1790">
                  <c:v>41969</c:v>
                </c:pt>
                <c:pt idx="1791">
                  <c:v>41970</c:v>
                </c:pt>
                <c:pt idx="1792">
                  <c:v>41971</c:v>
                </c:pt>
                <c:pt idx="1793">
                  <c:v>41972</c:v>
                </c:pt>
                <c:pt idx="1794">
                  <c:v>41973</c:v>
                </c:pt>
                <c:pt idx="1795">
                  <c:v>41974</c:v>
                </c:pt>
                <c:pt idx="1796">
                  <c:v>41975</c:v>
                </c:pt>
                <c:pt idx="1797">
                  <c:v>41976</c:v>
                </c:pt>
                <c:pt idx="1798">
                  <c:v>41977</c:v>
                </c:pt>
                <c:pt idx="1799">
                  <c:v>41978</c:v>
                </c:pt>
                <c:pt idx="1800">
                  <c:v>41979</c:v>
                </c:pt>
                <c:pt idx="1801">
                  <c:v>41980</c:v>
                </c:pt>
                <c:pt idx="1802">
                  <c:v>41981</c:v>
                </c:pt>
                <c:pt idx="1803">
                  <c:v>41982</c:v>
                </c:pt>
                <c:pt idx="1804">
                  <c:v>41983</c:v>
                </c:pt>
                <c:pt idx="1805">
                  <c:v>41984</c:v>
                </c:pt>
                <c:pt idx="1806">
                  <c:v>41985</c:v>
                </c:pt>
                <c:pt idx="1807">
                  <c:v>41986</c:v>
                </c:pt>
                <c:pt idx="1808">
                  <c:v>41987</c:v>
                </c:pt>
                <c:pt idx="1809">
                  <c:v>41988</c:v>
                </c:pt>
                <c:pt idx="1810">
                  <c:v>41989</c:v>
                </c:pt>
                <c:pt idx="1811">
                  <c:v>41990</c:v>
                </c:pt>
                <c:pt idx="1812">
                  <c:v>41991</c:v>
                </c:pt>
                <c:pt idx="1813">
                  <c:v>41992</c:v>
                </c:pt>
                <c:pt idx="1814">
                  <c:v>41993</c:v>
                </c:pt>
                <c:pt idx="1815">
                  <c:v>41994</c:v>
                </c:pt>
                <c:pt idx="1816">
                  <c:v>41995</c:v>
                </c:pt>
                <c:pt idx="1817">
                  <c:v>41996</c:v>
                </c:pt>
                <c:pt idx="1818">
                  <c:v>41997</c:v>
                </c:pt>
                <c:pt idx="1819">
                  <c:v>41998</c:v>
                </c:pt>
                <c:pt idx="1820">
                  <c:v>41999</c:v>
                </c:pt>
                <c:pt idx="1821">
                  <c:v>42000</c:v>
                </c:pt>
                <c:pt idx="1822">
                  <c:v>42001</c:v>
                </c:pt>
                <c:pt idx="1823">
                  <c:v>42002</c:v>
                </c:pt>
                <c:pt idx="1824">
                  <c:v>42003</c:v>
                </c:pt>
                <c:pt idx="1825">
                  <c:v>42004</c:v>
                </c:pt>
                <c:pt idx="1826">
                  <c:v>42005</c:v>
                </c:pt>
                <c:pt idx="1827">
                  <c:v>42006</c:v>
                </c:pt>
                <c:pt idx="1828">
                  <c:v>42007</c:v>
                </c:pt>
                <c:pt idx="1829">
                  <c:v>42008</c:v>
                </c:pt>
                <c:pt idx="1830">
                  <c:v>42009</c:v>
                </c:pt>
                <c:pt idx="1831">
                  <c:v>42010</c:v>
                </c:pt>
                <c:pt idx="1832">
                  <c:v>42011</c:v>
                </c:pt>
                <c:pt idx="1833">
                  <c:v>42012</c:v>
                </c:pt>
                <c:pt idx="1834">
                  <c:v>42013</c:v>
                </c:pt>
                <c:pt idx="1835">
                  <c:v>42014</c:v>
                </c:pt>
                <c:pt idx="1836">
                  <c:v>42015</c:v>
                </c:pt>
                <c:pt idx="1837">
                  <c:v>42016</c:v>
                </c:pt>
                <c:pt idx="1838">
                  <c:v>42017</c:v>
                </c:pt>
                <c:pt idx="1839">
                  <c:v>42018</c:v>
                </c:pt>
                <c:pt idx="1840">
                  <c:v>42019</c:v>
                </c:pt>
                <c:pt idx="1841">
                  <c:v>42020</c:v>
                </c:pt>
                <c:pt idx="1842">
                  <c:v>42021</c:v>
                </c:pt>
                <c:pt idx="1843">
                  <c:v>42022</c:v>
                </c:pt>
                <c:pt idx="1844">
                  <c:v>42023</c:v>
                </c:pt>
                <c:pt idx="1845">
                  <c:v>42024</c:v>
                </c:pt>
                <c:pt idx="1846">
                  <c:v>42025</c:v>
                </c:pt>
                <c:pt idx="1847">
                  <c:v>42026</c:v>
                </c:pt>
                <c:pt idx="1848">
                  <c:v>42027</c:v>
                </c:pt>
                <c:pt idx="1849">
                  <c:v>42028</c:v>
                </c:pt>
                <c:pt idx="1850">
                  <c:v>42029</c:v>
                </c:pt>
                <c:pt idx="1851">
                  <c:v>42030</c:v>
                </c:pt>
                <c:pt idx="1852">
                  <c:v>42031</c:v>
                </c:pt>
                <c:pt idx="1853">
                  <c:v>42032</c:v>
                </c:pt>
                <c:pt idx="1854">
                  <c:v>42033</c:v>
                </c:pt>
                <c:pt idx="1855">
                  <c:v>42034</c:v>
                </c:pt>
                <c:pt idx="1856">
                  <c:v>42035</c:v>
                </c:pt>
                <c:pt idx="1857">
                  <c:v>42036</c:v>
                </c:pt>
                <c:pt idx="1858">
                  <c:v>42037</c:v>
                </c:pt>
                <c:pt idx="1859">
                  <c:v>42038</c:v>
                </c:pt>
                <c:pt idx="1860">
                  <c:v>42039</c:v>
                </c:pt>
                <c:pt idx="1861">
                  <c:v>42040</c:v>
                </c:pt>
                <c:pt idx="1862">
                  <c:v>42041</c:v>
                </c:pt>
                <c:pt idx="1863">
                  <c:v>42042</c:v>
                </c:pt>
                <c:pt idx="1864">
                  <c:v>42043</c:v>
                </c:pt>
                <c:pt idx="1865">
                  <c:v>42044</c:v>
                </c:pt>
                <c:pt idx="1866">
                  <c:v>42045</c:v>
                </c:pt>
                <c:pt idx="1867">
                  <c:v>42046</c:v>
                </c:pt>
                <c:pt idx="1868">
                  <c:v>42047</c:v>
                </c:pt>
                <c:pt idx="1869">
                  <c:v>42048</c:v>
                </c:pt>
                <c:pt idx="1870">
                  <c:v>42049</c:v>
                </c:pt>
                <c:pt idx="1871">
                  <c:v>42050</c:v>
                </c:pt>
                <c:pt idx="1872">
                  <c:v>42051</c:v>
                </c:pt>
                <c:pt idx="1873">
                  <c:v>42052</c:v>
                </c:pt>
                <c:pt idx="1874">
                  <c:v>42053</c:v>
                </c:pt>
                <c:pt idx="1875">
                  <c:v>42054</c:v>
                </c:pt>
                <c:pt idx="1876">
                  <c:v>42055</c:v>
                </c:pt>
                <c:pt idx="1877">
                  <c:v>42056</c:v>
                </c:pt>
                <c:pt idx="1878">
                  <c:v>42057</c:v>
                </c:pt>
                <c:pt idx="1879">
                  <c:v>42058</c:v>
                </c:pt>
                <c:pt idx="1880">
                  <c:v>42059</c:v>
                </c:pt>
                <c:pt idx="1881">
                  <c:v>42060</c:v>
                </c:pt>
                <c:pt idx="1882">
                  <c:v>42061</c:v>
                </c:pt>
                <c:pt idx="1883">
                  <c:v>42062</c:v>
                </c:pt>
                <c:pt idx="1884">
                  <c:v>42063</c:v>
                </c:pt>
                <c:pt idx="1885">
                  <c:v>42064</c:v>
                </c:pt>
                <c:pt idx="1886">
                  <c:v>42065</c:v>
                </c:pt>
                <c:pt idx="1887">
                  <c:v>42066</c:v>
                </c:pt>
                <c:pt idx="1888">
                  <c:v>42067</c:v>
                </c:pt>
                <c:pt idx="1889">
                  <c:v>42068</c:v>
                </c:pt>
                <c:pt idx="1890">
                  <c:v>42069</c:v>
                </c:pt>
                <c:pt idx="1891">
                  <c:v>42070</c:v>
                </c:pt>
                <c:pt idx="1892">
                  <c:v>42071</c:v>
                </c:pt>
                <c:pt idx="1893">
                  <c:v>42072</c:v>
                </c:pt>
                <c:pt idx="1894">
                  <c:v>42073</c:v>
                </c:pt>
                <c:pt idx="1895">
                  <c:v>42074</c:v>
                </c:pt>
                <c:pt idx="1896">
                  <c:v>42075</c:v>
                </c:pt>
                <c:pt idx="1897">
                  <c:v>42076</c:v>
                </c:pt>
                <c:pt idx="1898">
                  <c:v>42077</c:v>
                </c:pt>
                <c:pt idx="1899">
                  <c:v>42078</c:v>
                </c:pt>
                <c:pt idx="1900">
                  <c:v>42079</c:v>
                </c:pt>
                <c:pt idx="1901">
                  <c:v>42080</c:v>
                </c:pt>
                <c:pt idx="1902">
                  <c:v>42081</c:v>
                </c:pt>
                <c:pt idx="1903">
                  <c:v>42082</c:v>
                </c:pt>
                <c:pt idx="1904">
                  <c:v>42083</c:v>
                </c:pt>
                <c:pt idx="1905">
                  <c:v>42084</c:v>
                </c:pt>
                <c:pt idx="1906">
                  <c:v>42085</c:v>
                </c:pt>
                <c:pt idx="1907">
                  <c:v>42086</c:v>
                </c:pt>
                <c:pt idx="1908">
                  <c:v>42087</c:v>
                </c:pt>
                <c:pt idx="1909">
                  <c:v>42088</c:v>
                </c:pt>
                <c:pt idx="1910">
                  <c:v>42089</c:v>
                </c:pt>
                <c:pt idx="1911">
                  <c:v>42090</c:v>
                </c:pt>
                <c:pt idx="1912">
                  <c:v>42091</c:v>
                </c:pt>
                <c:pt idx="1913">
                  <c:v>42092</c:v>
                </c:pt>
                <c:pt idx="1914">
                  <c:v>42093</c:v>
                </c:pt>
                <c:pt idx="1915">
                  <c:v>42094</c:v>
                </c:pt>
                <c:pt idx="1916">
                  <c:v>42095</c:v>
                </c:pt>
                <c:pt idx="1917">
                  <c:v>42096</c:v>
                </c:pt>
                <c:pt idx="1918">
                  <c:v>42097</c:v>
                </c:pt>
                <c:pt idx="1919">
                  <c:v>42098</c:v>
                </c:pt>
                <c:pt idx="1920">
                  <c:v>42099</c:v>
                </c:pt>
                <c:pt idx="1921">
                  <c:v>42100</c:v>
                </c:pt>
                <c:pt idx="1922">
                  <c:v>42101</c:v>
                </c:pt>
                <c:pt idx="1923">
                  <c:v>42102</c:v>
                </c:pt>
                <c:pt idx="1924">
                  <c:v>42103</c:v>
                </c:pt>
                <c:pt idx="1925">
                  <c:v>42104</c:v>
                </c:pt>
                <c:pt idx="1926">
                  <c:v>42105</c:v>
                </c:pt>
                <c:pt idx="1927">
                  <c:v>42106</c:v>
                </c:pt>
                <c:pt idx="1928">
                  <c:v>42107</c:v>
                </c:pt>
                <c:pt idx="1929">
                  <c:v>42108</c:v>
                </c:pt>
                <c:pt idx="1930">
                  <c:v>42109</c:v>
                </c:pt>
                <c:pt idx="1931">
                  <c:v>42110</c:v>
                </c:pt>
                <c:pt idx="1932">
                  <c:v>42111</c:v>
                </c:pt>
                <c:pt idx="1933">
                  <c:v>42112</c:v>
                </c:pt>
                <c:pt idx="1934">
                  <c:v>42113</c:v>
                </c:pt>
                <c:pt idx="1935">
                  <c:v>42114</c:v>
                </c:pt>
                <c:pt idx="1936">
                  <c:v>42115</c:v>
                </c:pt>
                <c:pt idx="1937">
                  <c:v>42116</c:v>
                </c:pt>
                <c:pt idx="1938">
                  <c:v>42117</c:v>
                </c:pt>
                <c:pt idx="1939">
                  <c:v>42118</c:v>
                </c:pt>
                <c:pt idx="1940">
                  <c:v>42119</c:v>
                </c:pt>
                <c:pt idx="1941">
                  <c:v>42120</c:v>
                </c:pt>
                <c:pt idx="1942">
                  <c:v>42121</c:v>
                </c:pt>
                <c:pt idx="1943">
                  <c:v>42122</c:v>
                </c:pt>
                <c:pt idx="1944">
                  <c:v>42123</c:v>
                </c:pt>
                <c:pt idx="1945">
                  <c:v>42124</c:v>
                </c:pt>
                <c:pt idx="1946">
                  <c:v>42125</c:v>
                </c:pt>
                <c:pt idx="1947">
                  <c:v>42126</c:v>
                </c:pt>
                <c:pt idx="1948">
                  <c:v>42127</c:v>
                </c:pt>
                <c:pt idx="1949">
                  <c:v>42128</c:v>
                </c:pt>
                <c:pt idx="1950">
                  <c:v>42129</c:v>
                </c:pt>
                <c:pt idx="1951">
                  <c:v>42130</c:v>
                </c:pt>
                <c:pt idx="1952">
                  <c:v>42131</c:v>
                </c:pt>
                <c:pt idx="1953">
                  <c:v>42132</c:v>
                </c:pt>
                <c:pt idx="1954">
                  <c:v>42133</c:v>
                </c:pt>
                <c:pt idx="1955">
                  <c:v>42134</c:v>
                </c:pt>
                <c:pt idx="1956">
                  <c:v>42135</c:v>
                </c:pt>
                <c:pt idx="1957">
                  <c:v>42136</c:v>
                </c:pt>
                <c:pt idx="1958">
                  <c:v>42137</c:v>
                </c:pt>
                <c:pt idx="1959">
                  <c:v>42138</c:v>
                </c:pt>
                <c:pt idx="1960">
                  <c:v>42139</c:v>
                </c:pt>
                <c:pt idx="1961">
                  <c:v>42140</c:v>
                </c:pt>
                <c:pt idx="1962">
                  <c:v>42141</c:v>
                </c:pt>
                <c:pt idx="1963">
                  <c:v>42142</c:v>
                </c:pt>
                <c:pt idx="1964">
                  <c:v>42143</c:v>
                </c:pt>
                <c:pt idx="1965">
                  <c:v>42144</c:v>
                </c:pt>
                <c:pt idx="1966">
                  <c:v>42145</c:v>
                </c:pt>
                <c:pt idx="1967">
                  <c:v>42146</c:v>
                </c:pt>
                <c:pt idx="1968">
                  <c:v>42147</c:v>
                </c:pt>
                <c:pt idx="1969">
                  <c:v>42148</c:v>
                </c:pt>
                <c:pt idx="1970">
                  <c:v>42149</c:v>
                </c:pt>
                <c:pt idx="1971">
                  <c:v>42150</c:v>
                </c:pt>
                <c:pt idx="1972">
                  <c:v>42151</c:v>
                </c:pt>
                <c:pt idx="1973">
                  <c:v>42152</c:v>
                </c:pt>
                <c:pt idx="1974">
                  <c:v>42153</c:v>
                </c:pt>
                <c:pt idx="1975">
                  <c:v>42154</c:v>
                </c:pt>
                <c:pt idx="1976">
                  <c:v>42155</c:v>
                </c:pt>
                <c:pt idx="1977">
                  <c:v>42156</c:v>
                </c:pt>
                <c:pt idx="1978">
                  <c:v>42157</c:v>
                </c:pt>
                <c:pt idx="1979">
                  <c:v>42158</c:v>
                </c:pt>
                <c:pt idx="1980">
                  <c:v>42159</c:v>
                </c:pt>
                <c:pt idx="1981">
                  <c:v>42160</c:v>
                </c:pt>
                <c:pt idx="1982">
                  <c:v>42161</c:v>
                </c:pt>
                <c:pt idx="1983">
                  <c:v>42162</c:v>
                </c:pt>
                <c:pt idx="1984">
                  <c:v>42163</c:v>
                </c:pt>
                <c:pt idx="1985">
                  <c:v>42164</c:v>
                </c:pt>
                <c:pt idx="1986">
                  <c:v>42165</c:v>
                </c:pt>
                <c:pt idx="1987">
                  <c:v>42166</c:v>
                </c:pt>
                <c:pt idx="1988">
                  <c:v>42167</c:v>
                </c:pt>
                <c:pt idx="1989">
                  <c:v>42168</c:v>
                </c:pt>
                <c:pt idx="1990">
                  <c:v>42169</c:v>
                </c:pt>
                <c:pt idx="1991">
                  <c:v>42170</c:v>
                </c:pt>
                <c:pt idx="1992">
                  <c:v>42171</c:v>
                </c:pt>
                <c:pt idx="1993">
                  <c:v>42172</c:v>
                </c:pt>
                <c:pt idx="1994">
                  <c:v>42173</c:v>
                </c:pt>
                <c:pt idx="1995">
                  <c:v>42174</c:v>
                </c:pt>
                <c:pt idx="1996">
                  <c:v>42175</c:v>
                </c:pt>
                <c:pt idx="1997">
                  <c:v>42176</c:v>
                </c:pt>
                <c:pt idx="1998">
                  <c:v>42177</c:v>
                </c:pt>
                <c:pt idx="1999">
                  <c:v>42178</c:v>
                </c:pt>
                <c:pt idx="2000">
                  <c:v>42179</c:v>
                </c:pt>
                <c:pt idx="2001">
                  <c:v>42180</c:v>
                </c:pt>
                <c:pt idx="2002">
                  <c:v>42181</c:v>
                </c:pt>
                <c:pt idx="2003">
                  <c:v>42182</c:v>
                </c:pt>
                <c:pt idx="2004">
                  <c:v>42183</c:v>
                </c:pt>
                <c:pt idx="2005">
                  <c:v>42184</c:v>
                </c:pt>
                <c:pt idx="2006">
                  <c:v>42185</c:v>
                </c:pt>
                <c:pt idx="2007">
                  <c:v>42186</c:v>
                </c:pt>
                <c:pt idx="2008">
                  <c:v>42187</c:v>
                </c:pt>
                <c:pt idx="2009">
                  <c:v>42188</c:v>
                </c:pt>
                <c:pt idx="2010">
                  <c:v>42189</c:v>
                </c:pt>
                <c:pt idx="2011">
                  <c:v>42190</c:v>
                </c:pt>
                <c:pt idx="2012">
                  <c:v>42191</c:v>
                </c:pt>
                <c:pt idx="2013">
                  <c:v>42192</c:v>
                </c:pt>
                <c:pt idx="2014">
                  <c:v>42193</c:v>
                </c:pt>
                <c:pt idx="2015">
                  <c:v>42194</c:v>
                </c:pt>
                <c:pt idx="2016">
                  <c:v>42195</c:v>
                </c:pt>
                <c:pt idx="2017">
                  <c:v>42196</c:v>
                </c:pt>
                <c:pt idx="2018">
                  <c:v>42197</c:v>
                </c:pt>
                <c:pt idx="2019">
                  <c:v>42198</c:v>
                </c:pt>
                <c:pt idx="2020">
                  <c:v>42199</c:v>
                </c:pt>
                <c:pt idx="2021">
                  <c:v>42200</c:v>
                </c:pt>
                <c:pt idx="2022">
                  <c:v>42201</c:v>
                </c:pt>
                <c:pt idx="2023">
                  <c:v>42202</c:v>
                </c:pt>
                <c:pt idx="2024">
                  <c:v>42203</c:v>
                </c:pt>
                <c:pt idx="2025">
                  <c:v>42204</c:v>
                </c:pt>
                <c:pt idx="2026">
                  <c:v>42205</c:v>
                </c:pt>
                <c:pt idx="2027">
                  <c:v>42206</c:v>
                </c:pt>
                <c:pt idx="2028">
                  <c:v>42207</c:v>
                </c:pt>
                <c:pt idx="2029">
                  <c:v>42208</c:v>
                </c:pt>
                <c:pt idx="2030">
                  <c:v>42209</c:v>
                </c:pt>
                <c:pt idx="2031">
                  <c:v>42210</c:v>
                </c:pt>
                <c:pt idx="2032">
                  <c:v>42211</c:v>
                </c:pt>
                <c:pt idx="2033">
                  <c:v>42212</c:v>
                </c:pt>
                <c:pt idx="2034">
                  <c:v>42213</c:v>
                </c:pt>
                <c:pt idx="2035">
                  <c:v>42214</c:v>
                </c:pt>
                <c:pt idx="2036">
                  <c:v>42215</c:v>
                </c:pt>
                <c:pt idx="2037">
                  <c:v>42216</c:v>
                </c:pt>
                <c:pt idx="2038">
                  <c:v>42217</c:v>
                </c:pt>
                <c:pt idx="2039">
                  <c:v>42218</c:v>
                </c:pt>
                <c:pt idx="2040">
                  <c:v>42219</c:v>
                </c:pt>
                <c:pt idx="2041">
                  <c:v>42220</c:v>
                </c:pt>
                <c:pt idx="2042">
                  <c:v>42221</c:v>
                </c:pt>
                <c:pt idx="2043">
                  <c:v>42222</c:v>
                </c:pt>
                <c:pt idx="2044">
                  <c:v>42223</c:v>
                </c:pt>
                <c:pt idx="2045">
                  <c:v>42224</c:v>
                </c:pt>
                <c:pt idx="2046">
                  <c:v>42225</c:v>
                </c:pt>
                <c:pt idx="2047">
                  <c:v>42226</c:v>
                </c:pt>
                <c:pt idx="2048">
                  <c:v>42227</c:v>
                </c:pt>
                <c:pt idx="2049">
                  <c:v>42228</c:v>
                </c:pt>
                <c:pt idx="2050">
                  <c:v>42229</c:v>
                </c:pt>
                <c:pt idx="2051">
                  <c:v>42230</c:v>
                </c:pt>
                <c:pt idx="2052">
                  <c:v>42231</c:v>
                </c:pt>
                <c:pt idx="2053">
                  <c:v>42232</c:v>
                </c:pt>
                <c:pt idx="2054">
                  <c:v>42233</c:v>
                </c:pt>
                <c:pt idx="2055">
                  <c:v>42234</c:v>
                </c:pt>
                <c:pt idx="2056">
                  <c:v>42235</c:v>
                </c:pt>
                <c:pt idx="2057">
                  <c:v>42236</c:v>
                </c:pt>
                <c:pt idx="2058">
                  <c:v>42237</c:v>
                </c:pt>
                <c:pt idx="2059">
                  <c:v>42238</c:v>
                </c:pt>
                <c:pt idx="2060">
                  <c:v>42239</c:v>
                </c:pt>
                <c:pt idx="2061">
                  <c:v>42240</c:v>
                </c:pt>
                <c:pt idx="2062">
                  <c:v>42241</c:v>
                </c:pt>
                <c:pt idx="2063">
                  <c:v>42242</c:v>
                </c:pt>
                <c:pt idx="2064">
                  <c:v>42243</c:v>
                </c:pt>
                <c:pt idx="2065">
                  <c:v>42244</c:v>
                </c:pt>
                <c:pt idx="2066">
                  <c:v>42245</c:v>
                </c:pt>
                <c:pt idx="2067">
                  <c:v>42246</c:v>
                </c:pt>
                <c:pt idx="2068">
                  <c:v>42247</c:v>
                </c:pt>
                <c:pt idx="2069">
                  <c:v>42248</c:v>
                </c:pt>
                <c:pt idx="2070">
                  <c:v>42249</c:v>
                </c:pt>
                <c:pt idx="2071">
                  <c:v>42250</c:v>
                </c:pt>
                <c:pt idx="2072">
                  <c:v>42251</c:v>
                </c:pt>
                <c:pt idx="2073">
                  <c:v>42252</c:v>
                </c:pt>
                <c:pt idx="2074">
                  <c:v>42253</c:v>
                </c:pt>
                <c:pt idx="2075">
                  <c:v>42254</c:v>
                </c:pt>
                <c:pt idx="2076">
                  <c:v>42255</c:v>
                </c:pt>
                <c:pt idx="2077">
                  <c:v>42256</c:v>
                </c:pt>
                <c:pt idx="2078">
                  <c:v>42257</c:v>
                </c:pt>
                <c:pt idx="2079">
                  <c:v>42258</c:v>
                </c:pt>
                <c:pt idx="2080">
                  <c:v>42259</c:v>
                </c:pt>
                <c:pt idx="2081">
                  <c:v>42260</c:v>
                </c:pt>
                <c:pt idx="2082">
                  <c:v>42261</c:v>
                </c:pt>
                <c:pt idx="2083">
                  <c:v>42262</c:v>
                </c:pt>
                <c:pt idx="2084">
                  <c:v>42263</c:v>
                </c:pt>
                <c:pt idx="2085">
                  <c:v>42264</c:v>
                </c:pt>
                <c:pt idx="2086">
                  <c:v>42265</c:v>
                </c:pt>
                <c:pt idx="2087">
                  <c:v>42266</c:v>
                </c:pt>
                <c:pt idx="2088">
                  <c:v>42267</c:v>
                </c:pt>
                <c:pt idx="2089">
                  <c:v>42268</c:v>
                </c:pt>
                <c:pt idx="2090">
                  <c:v>42269</c:v>
                </c:pt>
                <c:pt idx="2091">
                  <c:v>42270</c:v>
                </c:pt>
                <c:pt idx="2092">
                  <c:v>42271</c:v>
                </c:pt>
                <c:pt idx="2093">
                  <c:v>42272</c:v>
                </c:pt>
                <c:pt idx="2094">
                  <c:v>42273</c:v>
                </c:pt>
                <c:pt idx="2095">
                  <c:v>42274</c:v>
                </c:pt>
                <c:pt idx="2096">
                  <c:v>42275</c:v>
                </c:pt>
                <c:pt idx="2097">
                  <c:v>42276</c:v>
                </c:pt>
                <c:pt idx="2098">
                  <c:v>42277</c:v>
                </c:pt>
                <c:pt idx="2099">
                  <c:v>42278</c:v>
                </c:pt>
                <c:pt idx="2100">
                  <c:v>42279</c:v>
                </c:pt>
                <c:pt idx="2101">
                  <c:v>42280</c:v>
                </c:pt>
                <c:pt idx="2102">
                  <c:v>42281</c:v>
                </c:pt>
                <c:pt idx="2103">
                  <c:v>42282</c:v>
                </c:pt>
                <c:pt idx="2104">
                  <c:v>42283</c:v>
                </c:pt>
                <c:pt idx="2105">
                  <c:v>42284</c:v>
                </c:pt>
                <c:pt idx="2106">
                  <c:v>42285</c:v>
                </c:pt>
                <c:pt idx="2107">
                  <c:v>42286</c:v>
                </c:pt>
                <c:pt idx="2108">
                  <c:v>42287</c:v>
                </c:pt>
                <c:pt idx="2109">
                  <c:v>42288</c:v>
                </c:pt>
                <c:pt idx="2110">
                  <c:v>42289</c:v>
                </c:pt>
                <c:pt idx="2111">
                  <c:v>42290</c:v>
                </c:pt>
                <c:pt idx="2112">
                  <c:v>42291</c:v>
                </c:pt>
                <c:pt idx="2113">
                  <c:v>42292</c:v>
                </c:pt>
                <c:pt idx="2114">
                  <c:v>42293</c:v>
                </c:pt>
                <c:pt idx="2115">
                  <c:v>42294</c:v>
                </c:pt>
                <c:pt idx="2116">
                  <c:v>42295</c:v>
                </c:pt>
                <c:pt idx="2117">
                  <c:v>42296</c:v>
                </c:pt>
                <c:pt idx="2118">
                  <c:v>42297</c:v>
                </c:pt>
                <c:pt idx="2119">
                  <c:v>42298</c:v>
                </c:pt>
                <c:pt idx="2120">
                  <c:v>42299</c:v>
                </c:pt>
                <c:pt idx="2121">
                  <c:v>42300</c:v>
                </c:pt>
                <c:pt idx="2122">
                  <c:v>42301</c:v>
                </c:pt>
                <c:pt idx="2123">
                  <c:v>42302</c:v>
                </c:pt>
                <c:pt idx="2124">
                  <c:v>42303</c:v>
                </c:pt>
                <c:pt idx="2125">
                  <c:v>42304</c:v>
                </c:pt>
                <c:pt idx="2126">
                  <c:v>42305</c:v>
                </c:pt>
                <c:pt idx="2127">
                  <c:v>42306</c:v>
                </c:pt>
                <c:pt idx="2128">
                  <c:v>42307</c:v>
                </c:pt>
                <c:pt idx="2129">
                  <c:v>42308</c:v>
                </c:pt>
                <c:pt idx="2130">
                  <c:v>42309</c:v>
                </c:pt>
                <c:pt idx="2131">
                  <c:v>42310</c:v>
                </c:pt>
                <c:pt idx="2132">
                  <c:v>42311</c:v>
                </c:pt>
                <c:pt idx="2133">
                  <c:v>42312</c:v>
                </c:pt>
                <c:pt idx="2134">
                  <c:v>42313</c:v>
                </c:pt>
                <c:pt idx="2135">
                  <c:v>42314</c:v>
                </c:pt>
                <c:pt idx="2136">
                  <c:v>42315</c:v>
                </c:pt>
                <c:pt idx="2137">
                  <c:v>42316</c:v>
                </c:pt>
                <c:pt idx="2138">
                  <c:v>42317</c:v>
                </c:pt>
                <c:pt idx="2139">
                  <c:v>42318</c:v>
                </c:pt>
                <c:pt idx="2140">
                  <c:v>42319</c:v>
                </c:pt>
                <c:pt idx="2141">
                  <c:v>42320</c:v>
                </c:pt>
                <c:pt idx="2142">
                  <c:v>42321</c:v>
                </c:pt>
                <c:pt idx="2143">
                  <c:v>42322</c:v>
                </c:pt>
                <c:pt idx="2144">
                  <c:v>42323</c:v>
                </c:pt>
                <c:pt idx="2145">
                  <c:v>42324</c:v>
                </c:pt>
                <c:pt idx="2146">
                  <c:v>42325</c:v>
                </c:pt>
                <c:pt idx="2147">
                  <c:v>42326</c:v>
                </c:pt>
                <c:pt idx="2148">
                  <c:v>42327</c:v>
                </c:pt>
                <c:pt idx="2149">
                  <c:v>42328</c:v>
                </c:pt>
                <c:pt idx="2150">
                  <c:v>42329</c:v>
                </c:pt>
                <c:pt idx="2151">
                  <c:v>42330</c:v>
                </c:pt>
                <c:pt idx="2152">
                  <c:v>42331</c:v>
                </c:pt>
                <c:pt idx="2153">
                  <c:v>42332</c:v>
                </c:pt>
                <c:pt idx="2154">
                  <c:v>42333</c:v>
                </c:pt>
                <c:pt idx="2155">
                  <c:v>42334</c:v>
                </c:pt>
                <c:pt idx="2156">
                  <c:v>42335</c:v>
                </c:pt>
                <c:pt idx="2157">
                  <c:v>42336</c:v>
                </c:pt>
                <c:pt idx="2158">
                  <c:v>42337</c:v>
                </c:pt>
                <c:pt idx="2159">
                  <c:v>42338</c:v>
                </c:pt>
                <c:pt idx="2160">
                  <c:v>42339</c:v>
                </c:pt>
                <c:pt idx="2161">
                  <c:v>42340</c:v>
                </c:pt>
                <c:pt idx="2162">
                  <c:v>42341</c:v>
                </c:pt>
                <c:pt idx="2163">
                  <c:v>42342</c:v>
                </c:pt>
                <c:pt idx="2164">
                  <c:v>42343</c:v>
                </c:pt>
                <c:pt idx="2165">
                  <c:v>42344</c:v>
                </c:pt>
                <c:pt idx="2166">
                  <c:v>42345</c:v>
                </c:pt>
                <c:pt idx="2167">
                  <c:v>42346</c:v>
                </c:pt>
                <c:pt idx="2168">
                  <c:v>42347</c:v>
                </c:pt>
                <c:pt idx="2169">
                  <c:v>42348</c:v>
                </c:pt>
                <c:pt idx="2170">
                  <c:v>42349</c:v>
                </c:pt>
                <c:pt idx="2171">
                  <c:v>42350</c:v>
                </c:pt>
                <c:pt idx="2172">
                  <c:v>42351</c:v>
                </c:pt>
                <c:pt idx="2173">
                  <c:v>42352</c:v>
                </c:pt>
                <c:pt idx="2174">
                  <c:v>42353</c:v>
                </c:pt>
                <c:pt idx="2175">
                  <c:v>42354</c:v>
                </c:pt>
                <c:pt idx="2176">
                  <c:v>42355</c:v>
                </c:pt>
                <c:pt idx="2177">
                  <c:v>42356</c:v>
                </c:pt>
                <c:pt idx="2178">
                  <c:v>42357</c:v>
                </c:pt>
                <c:pt idx="2179">
                  <c:v>42358</c:v>
                </c:pt>
                <c:pt idx="2180">
                  <c:v>42359</c:v>
                </c:pt>
                <c:pt idx="2181">
                  <c:v>42360</c:v>
                </c:pt>
                <c:pt idx="2182">
                  <c:v>42361</c:v>
                </c:pt>
                <c:pt idx="2183">
                  <c:v>42362</c:v>
                </c:pt>
                <c:pt idx="2184">
                  <c:v>42363</c:v>
                </c:pt>
                <c:pt idx="2185">
                  <c:v>42364</c:v>
                </c:pt>
                <c:pt idx="2186">
                  <c:v>42365</c:v>
                </c:pt>
                <c:pt idx="2187">
                  <c:v>42366</c:v>
                </c:pt>
                <c:pt idx="2188">
                  <c:v>42367</c:v>
                </c:pt>
                <c:pt idx="2189">
                  <c:v>42368</c:v>
                </c:pt>
                <c:pt idx="2190">
                  <c:v>42369</c:v>
                </c:pt>
                <c:pt idx="2191">
                  <c:v>42370</c:v>
                </c:pt>
                <c:pt idx="2192">
                  <c:v>42371</c:v>
                </c:pt>
                <c:pt idx="2193">
                  <c:v>42372</c:v>
                </c:pt>
                <c:pt idx="2194">
                  <c:v>42373</c:v>
                </c:pt>
                <c:pt idx="2195">
                  <c:v>42374</c:v>
                </c:pt>
                <c:pt idx="2196">
                  <c:v>42375</c:v>
                </c:pt>
                <c:pt idx="2197">
                  <c:v>42376</c:v>
                </c:pt>
                <c:pt idx="2198">
                  <c:v>42377</c:v>
                </c:pt>
              </c:numCache>
            </c:numRef>
          </c:xVal>
          <c:yVal>
            <c:numRef>
              <c:f>Sheet1!$C$2:$C$2200</c:f>
              <c:numCache>
                <c:formatCode>General</c:formatCode>
                <c:ptCount val="2199"/>
                <c:pt idx="0">
                  <c:v>1365</c:v>
                </c:pt>
                <c:pt idx="1">
                  <c:v>1365</c:v>
                </c:pt>
                <c:pt idx="2">
                  <c:v>1365</c:v>
                </c:pt>
                <c:pt idx="3">
                  <c:v>1405</c:v>
                </c:pt>
                <c:pt idx="4">
                  <c:v>1405</c:v>
                </c:pt>
                <c:pt idx="5">
                  <c:v>1405</c:v>
                </c:pt>
                <c:pt idx="6">
                  <c:v>1405</c:v>
                </c:pt>
                <c:pt idx="7">
                  <c:v>1405</c:v>
                </c:pt>
                <c:pt idx="8">
                  <c:v>1405</c:v>
                </c:pt>
                <c:pt idx="9">
                  <c:v>1405</c:v>
                </c:pt>
                <c:pt idx="10">
                  <c:v>1390</c:v>
                </c:pt>
                <c:pt idx="11">
                  <c:v>1390</c:v>
                </c:pt>
                <c:pt idx="12">
                  <c:v>1390</c:v>
                </c:pt>
                <c:pt idx="13">
                  <c:v>1390</c:v>
                </c:pt>
                <c:pt idx="14">
                  <c:v>1390</c:v>
                </c:pt>
                <c:pt idx="15">
                  <c:v>1390</c:v>
                </c:pt>
                <c:pt idx="16">
                  <c:v>1390</c:v>
                </c:pt>
                <c:pt idx="17">
                  <c:v>1390</c:v>
                </c:pt>
                <c:pt idx="18">
                  <c:v>1390</c:v>
                </c:pt>
                <c:pt idx="19">
                  <c:v>1390</c:v>
                </c:pt>
                <c:pt idx="20">
                  <c:v>1440</c:v>
                </c:pt>
                <c:pt idx="21">
                  <c:v>1440</c:v>
                </c:pt>
                <c:pt idx="22">
                  <c:v>1440</c:v>
                </c:pt>
                <c:pt idx="23">
                  <c:v>1440</c:v>
                </c:pt>
                <c:pt idx="24">
                  <c:v>1440</c:v>
                </c:pt>
                <c:pt idx="25">
                  <c:v>1440</c:v>
                </c:pt>
                <c:pt idx="26">
                  <c:v>1440</c:v>
                </c:pt>
                <c:pt idx="27">
                  <c:v>1440</c:v>
                </c:pt>
                <c:pt idx="28">
                  <c:v>1440</c:v>
                </c:pt>
                <c:pt idx="29">
                  <c:v>1440</c:v>
                </c:pt>
                <c:pt idx="30">
                  <c:v>1440</c:v>
                </c:pt>
                <c:pt idx="31">
                  <c:v>1440</c:v>
                </c:pt>
                <c:pt idx="32">
                  <c:v>1440</c:v>
                </c:pt>
                <c:pt idx="33">
                  <c:v>1440</c:v>
                </c:pt>
                <c:pt idx="34">
                  <c:v>1575</c:v>
                </c:pt>
                <c:pt idx="35">
                  <c:v>1575</c:v>
                </c:pt>
                <c:pt idx="36">
                  <c:v>1575</c:v>
                </c:pt>
                <c:pt idx="37">
                  <c:v>1575</c:v>
                </c:pt>
                <c:pt idx="38">
                  <c:v>1575</c:v>
                </c:pt>
                <c:pt idx="39">
                  <c:v>1575</c:v>
                </c:pt>
                <c:pt idx="40">
                  <c:v>1575</c:v>
                </c:pt>
                <c:pt idx="41">
                  <c:v>1575</c:v>
                </c:pt>
                <c:pt idx="42">
                  <c:v>1575</c:v>
                </c:pt>
                <c:pt idx="43">
                  <c:v>1575</c:v>
                </c:pt>
                <c:pt idx="44">
                  <c:v>1575</c:v>
                </c:pt>
                <c:pt idx="45">
                  <c:v>1575</c:v>
                </c:pt>
                <c:pt idx="46">
                  <c:v>1575</c:v>
                </c:pt>
                <c:pt idx="47">
                  <c:v>1575</c:v>
                </c:pt>
                <c:pt idx="48">
                  <c:v>1575</c:v>
                </c:pt>
                <c:pt idx="49">
                  <c:v>1575</c:v>
                </c:pt>
                <c:pt idx="50">
                  <c:v>1575</c:v>
                </c:pt>
                <c:pt idx="51">
                  <c:v>1575</c:v>
                </c:pt>
                <c:pt idx="52">
                  <c:v>1575</c:v>
                </c:pt>
                <c:pt idx="53">
                  <c:v>1575</c:v>
                </c:pt>
                <c:pt idx="54">
                  <c:v>1575</c:v>
                </c:pt>
                <c:pt idx="55">
                  <c:v>1575</c:v>
                </c:pt>
                <c:pt idx="56">
                  <c:v>1575</c:v>
                </c:pt>
                <c:pt idx="57">
                  <c:v>1575</c:v>
                </c:pt>
                <c:pt idx="58">
                  <c:v>1575</c:v>
                </c:pt>
                <c:pt idx="59">
                  <c:v>1575</c:v>
                </c:pt>
                <c:pt idx="60">
                  <c:v>1625</c:v>
                </c:pt>
                <c:pt idx="61">
                  <c:v>1625</c:v>
                </c:pt>
                <c:pt idx="62">
                  <c:v>1625</c:v>
                </c:pt>
                <c:pt idx="63">
                  <c:v>1625</c:v>
                </c:pt>
                <c:pt idx="64">
                  <c:v>1625</c:v>
                </c:pt>
                <c:pt idx="65">
                  <c:v>1625</c:v>
                </c:pt>
                <c:pt idx="66">
                  <c:v>1625</c:v>
                </c:pt>
                <c:pt idx="67">
                  <c:v>1625</c:v>
                </c:pt>
                <c:pt idx="68">
                  <c:v>1625</c:v>
                </c:pt>
                <c:pt idx="69">
                  <c:v>1600</c:v>
                </c:pt>
                <c:pt idx="70">
                  <c:v>1600</c:v>
                </c:pt>
                <c:pt idx="71">
                  <c:v>1500</c:v>
                </c:pt>
                <c:pt idx="72">
                  <c:v>1500</c:v>
                </c:pt>
                <c:pt idx="73">
                  <c:v>1500</c:v>
                </c:pt>
                <c:pt idx="74">
                  <c:v>1525</c:v>
                </c:pt>
                <c:pt idx="75">
                  <c:v>1525</c:v>
                </c:pt>
                <c:pt idx="76">
                  <c:v>1500</c:v>
                </c:pt>
                <c:pt idx="77">
                  <c:v>1500</c:v>
                </c:pt>
                <c:pt idx="78">
                  <c:v>1500</c:v>
                </c:pt>
                <c:pt idx="79">
                  <c:v>1500</c:v>
                </c:pt>
                <c:pt idx="80">
                  <c:v>1500</c:v>
                </c:pt>
                <c:pt idx="81">
                  <c:v>1500</c:v>
                </c:pt>
                <c:pt idx="82">
                  <c:v>1500</c:v>
                </c:pt>
                <c:pt idx="83">
                  <c:v>1500</c:v>
                </c:pt>
                <c:pt idx="84">
                  <c:v>1500</c:v>
                </c:pt>
                <c:pt idx="85">
                  <c:v>1500</c:v>
                </c:pt>
                <c:pt idx="86">
                  <c:v>1500</c:v>
                </c:pt>
                <c:pt idx="87">
                  <c:v>1475</c:v>
                </c:pt>
                <c:pt idx="88">
                  <c:v>1475</c:v>
                </c:pt>
                <c:pt idx="89">
                  <c:v>1475</c:v>
                </c:pt>
                <c:pt idx="90">
                  <c:v>1475</c:v>
                </c:pt>
                <c:pt idx="91">
                  <c:v>1475</c:v>
                </c:pt>
                <c:pt idx="92">
                  <c:v>1475</c:v>
                </c:pt>
                <c:pt idx="93">
                  <c:v>1475</c:v>
                </c:pt>
                <c:pt idx="94">
                  <c:v>1475</c:v>
                </c:pt>
                <c:pt idx="95">
                  <c:v>1475</c:v>
                </c:pt>
                <c:pt idx="96">
                  <c:v>1475</c:v>
                </c:pt>
                <c:pt idx="97">
                  <c:v>1475</c:v>
                </c:pt>
                <c:pt idx="98">
                  <c:v>1475</c:v>
                </c:pt>
                <c:pt idx="99">
                  <c:v>1475</c:v>
                </c:pt>
                <c:pt idx="100">
                  <c:v>1475</c:v>
                </c:pt>
                <c:pt idx="101">
                  <c:v>1475</c:v>
                </c:pt>
                <c:pt idx="102">
                  <c:v>1475</c:v>
                </c:pt>
                <c:pt idx="103">
                  <c:v>1475</c:v>
                </c:pt>
                <c:pt idx="104">
                  <c:v>1475</c:v>
                </c:pt>
                <c:pt idx="105">
                  <c:v>1475</c:v>
                </c:pt>
                <c:pt idx="106">
                  <c:v>1475</c:v>
                </c:pt>
                <c:pt idx="107">
                  <c:v>1475</c:v>
                </c:pt>
                <c:pt idx="108">
                  <c:v>1475</c:v>
                </c:pt>
                <c:pt idx="109">
                  <c:v>1475</c:v>
                </c:pt>
                <c:pt idx="110">
                  <c:v>1475</c:v>
                </c:pt>
                <c:pt idx="111">
                  <c:v>1475</c:v>
                </c:pt>
                <c:pt idx="112">
                  <c:v>1475</c:v>
                </c:pt>
                <c:pt idx="113">
                  <c:v>1475</c:v>
                </c:pt>
                <c:pt idx="114">
                  <c:v>1475</c:v>
                </c:pt>
                <c:pt idx="115">
                  <c:v>1475</c:v>
                </c:pt>
                <c:pt idx="116">
                  <c:v>1475</c:v>
                </c:pt>
                <c:pt idx="117">
                  <c:v>1475</c:v>
                </c:pt>
                <c:pt idx="118">
                  <c:v>1475</c:v>
                </c:pt>
                <c:pt idx="119">
                  <c:v>1475</c:v>
                </c:pt>
                <c:pt idx="120">
                  <c:v>1475</c:v>
                </c:pt>
                <c:pt idx="121">
                  <c:v>1475</c:v>
                </c:pt>
                <c:pt idx="122">
                  <c:v>1475</c:v>
                </c:pt>
                <c:pt idx="123">
                  <c:v>1410</c:v>
                </c:pt>
                <c:pt idx="124">
                  <c:v>1425</c:v>
                </c:pt>
                <c:pt idx="125">
                  <c:v>1425</c:v>
                </c:pt>
                <c:pt idx="126">
                  <c:v>1425</c:v>
                </c:pt>
                <c:pt idx="127">
                  <c:v>1425</c:v>
                </c:pt>
                <c:pt idx="128">
                  <c:v>1425</c:v>
                </c:pt>
                <c:pt idx="129">
                  <c:v>1425</c:v>
                </c:pt>
                <c:pt idx="130">
                  <c:v>1450</c:v>
                </c:pt>
                <c:pt idx="131">
                  <c:v>1450</c:v>
                </c:pt>
                <c:pt idx="132">
                  <c:v>1450</c:v>
                </c:pt>
                <c:pt idx="133">
                  <c:v>1450</c:v>
                </c:pt>
                <c:pt idx="134">
                  <c:v>1450</c:v>
                </c:pt>
                <c:pt idx="135">
                  <c:v>1450</c:v>
                </c:pt>
                <c:pt idx="136">
                  <c:v>1450</c:v>
                </c:pt>
                <c:pt idx="137">
                  <c:v>1450</c:v>
                </c:pt>
                <c:pt idx="138">
                  <c:v>1450</c:v>
                </c:pt>
                <c:pt idx="139">
                  <c:v>1450</c:v>
                </c:pt>
                <c:pt idx="140">
                  <c:v>1450</c:v>
                </c:pt>
                <c:pt idx="141">
                  <c:v>1450</c:v>
                </c:pt>
                <c:pt idx="142">
                  <c:v>1450</c:v>
                </c:pt>
                <c:pt idx="143">
                  <c:v>1450</c:v>
                </c:pt>
                <c:pt idx="144">
                  <c:v>1450</c:v>
                </c:pt>
                <c:pt idx="145">
                  <c:v>1450</c:v>
                </c:pt>
                <c:pt idx="146">
                  <c:v>1450</c:v>
                </c:pt>
                <c:pt idx="147">
                  <c:v>1450</c:v>
                </c:pt>
                <c:pt idx="148">
                  <c:v>1450</c:v>
                </c:pt>
                <c:pt idx="149">
                  <c:v>1450</c:v>
                </c:pt>
                <c:pt idx="150">
                  <c:v>1450</c:v>
                </c:pt>
                <c:pt idx="151">
                  <c:v>1450</c:v>
                </c:pt>
                <c:pt idx="152">
                  <c:v>1450</c:v>
                </c:pt>
                <c:pt idx="153">
                  <c:v>1450</c:v>
                </c:pt>
                <c:pt idx="154">
                  <c:v>1450</c:v>
                </c:pt>
                <c:pt idx="155">
                  <c:v>1450</c:v>
                </c:pt>
                <c:pt idx="156">
                  <c:v>1450</c:v>
                </c:pt>
                <c:pt idx="157">
                  <c:v>1450</c:v>
                </c:pt>
                <c:pt idx="158">
                  <c:v>1450</c:v>
                </c:pt>
                <c:pt idx="159">
                  <c:v>1450</c:v>
                </c:pt>
                <c:pt idx="160">
                  <c:v>1450</c:v>
                </c:pt>
                <c:pt idx="161">
                  <c:v>1450</c:v>
                </c:pt>
                <c:pt idx="162">
                  <c:v>1450</c:v>
                </c:pt>
                <c:pt idx="163">
                  <c:v>1450</c:v>
                </c:pt>
                <c:pt idx="164">
                  <c:v>1450</c:v>
                </c:pt>
                <c:pt idx="165">
                  <c:v>1450</c:v>
                </c:pt>
                <c:pt idx="166">
                  <c:v>1450</c:v>
                </c:pt>
                <c:pt idx="167">
                  <c:v>1450</c:v>
                </c:pt>
                <c:pt idx="168">
                  <c:v>1450</c:v>
                </c:pt>
                <c:pt idx="169">
                  <c:v>1450</c:v>
                </c:pt>
                <c:pt idx="170">
                  <c:v>1450</c:v>
                </c:pt>
                <c:pt idx="171">
                  <c:v>1450</c:v>
                </c:pt>
                <c:pt idx="172">
                  <c:v>1450</c:v>
                </c:pt>
                <c:pt idx="173">
                  <c:v>1450</c:v>
                </c:pt>
                <c:pt idx="174">
                  <c:v>1450</c:v>
                </c:pt>
                <c:pt idx="175">
                  <c:v>1450</c:v>
                </c:pt>
                <c:pt idx="176">
                  <c:v>1450</c:v>
                </c:pt>
                <c:pt idx="177">
                  <c:v>1450</c:v>
                </c:pt>
                <c:pt idx="178">
                  <c:v>1450</c:v>
                </c:pt>
                <c:pt idx="179">
                  <c:v>1450</c:v>
                </c:pt>
                <c:pt idx="180">
                  <c:v>1350</c:v>
                </c:pt>
                <c:pt idx="181">
                  <c:v>1350</c:v>
                </c:pt>
                <c:pt idx="182">
                  <c:v>1350</c:v>
                </c:pt>
                <c:pt idx="183">
                  <c:v>1350</c:v>
                </c:pt>
                <c:pt idx="184">
                  <c:v>1350</c:v>
                </c:pt>
                <c:pt idx="185">
                  <c:v>1350</c:v>
                </c:pt>
                <c:pt idx="186">
                  <c:v>1350</c:v>
                </c:pt>
                <c:pt idx="187">
                  <c:v>1350</c:v>
                </c:pt>
                <c:pt idx="188">
                  <c:v>1350</c:v>
                </c:pt>
                <c:pt idx="189">
                  <c:v>1350</c:v>
                </c:pt>
                <c:pt idx="190">
                  <c:v>1350</c:v>
                </c:pt>
                <c:pt idx="191">
                  <c:v>1350</c:v>
                </c:pt>
                <c:pt idx="192">
                  <c:v>1350</c:v>
                </c:pt>
                <c:pt idx="193">
                  <c:v>1350</c:v>
                </c:pt>
                <c:pt idx="194">
                  <c:v>1350</c:v>
                </c:pt>
                <c:pt idx="195">
                  <c:v>1350</c:v>
                </c:pt>
                <c:pt idx="196">
                  <c:v>1350</c:v>
                </c:pt>
                <c:pt idx="197">
                  <c:v>1350</c:v>
                </c:pt>
                <c:pt idx="198">
                  <c:v>1350</c:v>
                </c:pt>
                <c:pt idx="199">
                  <c:v>1350</c:v>
                </c:pt>
                <c:pt idx="200">
                  <c:v>1350</c:v>
                </c:pt>
                <c:pt idx="201">
                  <c:v>1350</c:v>
                </c:pt>
                <c:pt idx="202">
                  <c:v>1350</c:v>
                </c:pt>
                <c:pt idx="203">
                  <c:v>1375</c:v>
                </c:pt>
                <c:pt idx="204">
                  <c:v>1375</c:v>
                </c:pt>
                <c:pt idx="205">
                  <c:v>1375</c:v>
                </c:pt>
                <c:pt idx="206">
                  <c:v>1375</c:v>
                </c:pt>
                <c:pt idx="207">
                  <c:v>1375</c:v>
                </c:pt>
                <c:pt idx="208">
                  <c:v>1400</c:v>
                </c:pt>
                <c:pt idx="209">
                  <c:v>1400</c:v>
                </c:pt>
                <c:pt idx="210">
                  <c:v>1400</c:v>
                </c:pt>
                <c:pt idx="211">
                  <c:v>1400</c:v>
                </c:pt>
                <c:pt idx="212">
                  <c:v>1400</c:v>
                </c:pt>
                <c:pt idx="213">
                  <c:v>1430</c:v>
                </c:pt>
                <c:pt idx="214">
                  <c:v>1430</c:v>
                </c:pt>
                <c:pt idx="215">
                  <c:v>1430</c:v>
                </c:pt>
                <c:pt idx="216">
                  <c:v>1430</c:v>
                </c:pt>
                <c:pt idx="217">
                  <c:v>1430</c:v>
                </c:pt>
                <c:pt idx="218">
                  <c:v>1430</c:v>
                </c:pt>
                <c:pt idx="219">
                  <c:v>1430</c:v>
                </c:pt>
                <c:pt idx="220">
                  <c:v>1430</c:v>
                </c:pt>
                <c:pt idx="221">
                  <c:v>1340</c:v>
                </c:pt>
                <c:pt idx="222">
                  <c:v>1340</c:v>
                </c:pt>
                <c:pt idx="223">
                  <c:v>1340</c:v>
                </c:pt>
                <c:pt idx="224">
                  <c:v>1340</c:v>
                </c:pt>
                <c:pt idx="225">
                  <c:v>1340</c:v>
                </c:pt>
                <c:pt idx="226">
                  <c:v>1340</c:v>
                </c:pt>
                <c:pt idx="227">
                  <c:v>1340</c:v>
                </c:pt>
                <c:pt idx="228">
                  <c:v>1340</c:v>
                </c:pt>
                <c:pt idx="229">
                  <c:v>1300</c:v>
                </c:pt>
                <c:pt idx="230">
                  <c:v>1300</c:v>
                </c:pt>
                <c:pt idx="231">
                  <c:v>1300</c:v>
                </c:pt>
                <c:pt idx="232">
                  <c:v>1300</c:v>
                </c:pt>
                <c:pt idx="233">
                  <c:v>1300</c:v>
                </c:pt>
                <c:pt idx="234">
                  <c:v>1300</c:v>
                </c:pt>
                <c:pt idx="235">
                  <c:v>1300</c:v>
                </c:pt>
                <c:pt idx="236">
                  <c:v>1300</c:v>
                </c:pt>
                <c:pt idx="237">
                  <c:v>1315</c:v>
                </c:pt>
                <c:pt idx="238">
                  <c:v>1315</c:v>
                </c:pt>
                <c:pt idx="239">
                  <c:v>1315</c:v>
                </c:pt>
                <c:pt idx="240">
                  <c:v>1315</c:v>
                </c:pt>
                <c:pt idx="241">
                  <c:v>1400</c:v>
                </c:pt>
                <c:pt idx="242">
                  <c:v>1400</c:v>
                </c:pt>
                <c:pt idx="243">
                  <c:v>1400</c:v>
                </c:pt>
                <c:pt idx="244">
                  <c:v>1400</c:v>
                </c:pt>
                <c:pt idx="245">
                  <c:v>1400</c:v>
                </c:pt>
                <c:pt idx="246">
                  <c:v>1400</c:v>
                </c:pt>
                <c:pt idx="247">
                  <c:v>1400</c:v>
                </c:pt>
                <c:pt idx="248">
                  <c:v>1400</c:v>
                </c:pt>
                <c:pt idx="249">
                  <c:v>1400</c:v>
                </c:pt>
                <c:pt idx="250">
                  <c:v>1400</c:v>
                </c:pt>
                <c:pt idx="251">
                  <c:v>1405</c:v>
                </c:pt>
                <c:pt idx="252">
                  <c:v>1405</c:v>
                </c:pt>
                <c:pt idx="253">
                  <c:v>1405</c:v>
                </c:pt>
                <c:pt idx="254">
                  <c:v>1405</c:v>
                </c:pt>
                <c:pt idx="255">
                  <c:v>1405</c:v>
                </c:pt>
                <c:pt idx="256">
                  <c:v>1405</c:v>
                </c:pt>
                <c:pt idx="257">
                  <c:v>1405</c:v>
                </c:pt>
                <c:pt idx="258">
                  <c:v>1405</c:v>
                </c:pt>
                <c:pt idx="259">
                  <c:v>1405</c:v>
                </c:pt>
                <c:pt idx="260">
                  <c:v>1405</c:v>
                </c:pt>
                <c:pt idx="261">
                  <c:v>1405</c:v>
                </c:pt>
                <c:pt idx="262">
                  <c:v>1405</c:v>
                </c:pt>
                <c:pt idx="263">
                  <c:v>1405</c:v>
                </c:pt>
                <c:pt idx="264">
                  <c:v>1405</c:v>
                </c:pt>
                <c:pt idx="265">
                  <c:v>1405</c:v>
                </c:pt>
                <c:pt idx="266">
                  <c:v>1405</c:v>
                </c:pt>
                <c:pt idx="267">
                  <c:v>1405</c:v>
                </c:pt>
                <c:pt idx="268">
                  <c:v>1405</c:v>
                </c:pt>
                <c:pt idx="269">
                  <c:v>1405</c:v>
                </c:pt>
                <c:pt idx="270">
                  <c:v>1550</c:v>
                </c:pt>
                <c:pt idx="271">
                  <c:v>1550</c:v>
                </c:pt>
                <c:pt idx="272">
                  <c:v>1550</c:v>
                </c:pt>
                <c:pt idx="273">
                  <c:v>1550</c:v>
                </c:pt>
                <c:pt idx="274">
                  <c:v>1550</c:v>
                </c:pt>
                <c:pt idx="275">
                  <c:v>1550</c:v>
                </c:pt>
                <c:pt idx="276">
                  <c:v>1550</c:v>
                </c:pt>
                <c:pt idx="277">
                  <c:v>1550</c:v>
                </c:pt>
                <c:pt idx="278">
                  <c:v>1550</c:v>
                </c:pt>
                <c:pt idx="279">
                  <c:v>1550</c:v>
                </c:pt>
                <c:pt idx="280">
                  <c:v>1550</c:v>
                </c:pt>
                <c:pt idx="281">
                  <c:v>1550</c:v>
                </c:pt>
                <c:pt idx="282">
                  <c:v>1550</c:v>
                </c:pt>
                <c:pt idx="283">
                  <c:v>1550</c:v>
                </c:pt>
                <c:pt idx="284">
                  <c:v>1550</c:v>
                </c:pt>
                <c:pt idx="285">
                  <c:v>1550</c:v>
                </c:pt>
                <c:pt idx="286">
                  <c:v>1665</c:v>
                </c:pt>
                <c:pt idx="287">
                  <c:v>1665</c:v>
                </c:pt>
                <c:pt idx="288">
                  <c:v>1665</c:v>
                </c:pt>
                <c:pt idx="289">
                  <c:v>1665</c:v>
                </c:pt>
                <c:pt idx="290">
                  <c:v>1725</c:v>
                </c:pt>
                <c:pt idx="291">
                  <c:v>1725</c:v>
                </c:pt>
                <c:pt idx="292">
                  <c:v>2050</c:v>
                </c:pt>
                <c:pt idx="293">
                  <c:v>2050</c:v>
                </c:pt>
                <c:pt idx="294">
                  <c:v>2050</c:v>
                </c:pt>
                <c:pt idx="295">
                  <c:v>2050</c:v>
                </c:pt>
                <c:pt idx="296">
                  <c:v>2050</c:v>
                </c:pt>
                <c:pt idx="297">
                  <c:v>2250</c:v>
                </c:pt>
                <c:pt idx="298">
                  <c:v>2450</c:v>
                </c:pt>
                <c:pt idx="299">
                  <c:v>2550</c:v>
                </c:pt>
                <c:pt idx="300">
                  <c:v>2600</c:v>
                </c:pt>
                <c:pt idx="301">
                  <c:v>2600</c:v>
                </c:pt>
                <c:pt idx="302">
                  <c:v>2600</c:v>
                </c:pt>
                <c:pt idx="303">
                  <c:v>2600</c:v>
                </c:pt>
                <c:pt idx="304">
                  <c:v>2600</c:v>
                </c:pt>
                <c:pt idx="305">
                  <c:v>2600</c:v>
                </c:pt>
                <c:pt idx="306">
                  <c:v>2600</c:v>
                </c:pt>
                <c:pt idx="307">
                  <c:v>2600</c:v>
                </c:pt>
                <c:pt idx="308">
                  <c:v>2600</c:v>
                </c:pt>
                <c:pt idx="309">
                  <c:v>2600</c:v>
                </c:pt>
                <c:pt idx="310">
                  <c:v>2600</c:v>
                </c:pt>
                <c:pt idx="311">
                  <c:v>2600</c:v>
                </c:pt>
                <c:pt idx="312">
                  <c:v>2600</c:v>
                </c:pt>
                <c:pt idx="313">
                  <c:v>2600</c:v>
                </c:pt>
                <c:pt idx="314">
                  <c:v>2550</c:v>
                </c:pt>
                <c:pt idx="315">
                  <c:v>2550</c:v>
                </c:pt>
                <c:pt idx="316">
                  <c:v>2550</c:v>
                </c:pt>
                <c:pt idx="317">
                  <c:v>2550</c:v>
                </c:pt>
                <c:pt idx="318">
                  <c:v>2550</c:v>
                </c:pt>
                <c:pt idx="319">
                  <c:v>2550</c:v>
                </c:pt>
                <c:pt idx="320">
                  <c:v>2550</c:v>
                </c:pt>
                <c:pt idx="321">
                  <c:v>2550</c:v>
                </c:pt>
                <c:pt idx="322">
                  <c:v>2550</c:v>
                </c:pt>
                <c:pt idx="323">
                  <c:v>2550</c:v>
                </c:pt>
                <c:pt idx="324">
                  <c:v>2550</c:v>
                </c:pt>
                <c:pt idx="325">
                  <c:v>2550</c:v>
                </c:pt>
                <c:pt idx="326">
                  <c:v>2550</c:v>
                </c:pt>
                <c:pt idx="327">
                  <c:v>2550</c:v>
                </c:pt>
                <c:pt idx="328">
                  <c:v>2450</c:v>
                </c:pt>
                <c:pt idx="329">
                  <c:v>2450</c:v>
                </c:pt>
                <c:pt idx="330">
                  <c:v>2450</c:v>
                </c:pt>
                <c:pt idx="331">
                  <c:v>2450</c:v>
                </c:pt>
                <c:pt idx="332">
                  <c:v>2450</c:v>
                </c:pt>
                <c:pt idx="333">
                  <c:v>2450</c:v>
                </c:pt>
                <c:pt idx="334">
                  <c:v>2450</c:v>
                </c:pt>
                <c:pt idx="335">
                  <c:v>2400</c:v>
                </c:pt>
                <c:pt idx="336">
                  <c:v>2400</c:v>
                </c:pt>
                <c:pt idx="337">
                  <c:v>2400</c:v>
                </c:pt>
                <c:pt idx="338">
                  <c:v>2400</c:v>
                </c:pt>
                <c:pt idx="339">
                  <c:v>2400</c:v>
                </c:pt>
                <c:pt idx="340">
                  <c:v>2400</c:v>
                </c:pt>
                <c:pt idx="341">
                  <c:v>2400</c:v>
                </c:pt>
                <c:pt idx="342">
                  <c:v>2250</c:v>
                </c:pt>
                <c:pt idx="343">
                  <c:v>2250</c:v>
                </c:pt>
                <c:pt idx="344">
                  <c:v>2250</c:v>
                </c:pt>
                <c:pt idx="345">
                  <c:v>2250</c:v>
                </c:pt>
                <c:pt idx="346">
                  <c:v>2250</c:v>
                </c:pt>
                <c:pt idx="347">
                  <c:v>2200</c:v>
                </c:pt>
                <c:pt idx="348">
                  <c:v>2200</c:v>
                </c:pt>
                <c:pt idx="349">
                  <c:v>2200</c:v>
                </c:pt>
                <c:pt idx="350">
                  <c:v>2200</c:v>
                </c:pt>
                <c:pt idx="351">
                  <c:v>2200</c:v>
                </c:pt>
                <c:pt idx="352">
                  <c:v>2200</c:v>
                </c:pt>
                <c:pt idx="353">
                  <c:v>2200</c:v>
                </c:pt>
                <c:pt idx="354">
                  <c:v>2200</c:v>
                </c:pt>
                <c:pt idx="355">
                  <c:v>2200</c:v>
                </c:pt>
                <c:pt idx="356">
                  <c:v>2150</c:v>
                </c:pt>
                <c:pt idx="357">
                  <c:v>2150</c:v>
                </c:pt>
                <c:pt idx="358">
                  <c:v>2150</c:v>
                </c:pt>
                <c:pt idx="359">
                  <c:v>2150</c:v>
                </c:pt>
                <c:pt idx="360">
                  <c:v>2150</c:v>
                </c:pt>
                <c:pt idx="361">
                  <c:v>2150</c:v>
                </c:pt>
                <c:pt idx="362">
                  <c:v>2150</c:v>
                </c:pt>
                <c:pt idx="363">
                  <c:v>2100</c:v>
                </c:pt>
                <c:pt idx="364">
                  <c:v>2100</c:v>
                </c:pt>
                <c:pt idx="365">
                  <c:v>2100</c:v>
                </c:pt>
                <c:pt idx="366">
                  <c:v>2100</c:v>
                </c:pt>
                <c:pt idx="367">
                  <c:v>2100</c:v>
                </c:pt>
                <c:pt idx="368">
                  <c:v>2100</c:v>
                </c:pt>
                <c:pt idx="369">
                  <c:v>2100</c:v>
                </c:pt>
                <c:pt idx="370">
                  <c:v>2100</c:v>
                </c:pt>
                <c:pt idx="371">
                  <c:v>2100</c:v>
                </c:pt>
                <c:pt idx="372">
                  <c:v>2100</c:v>
                </c:pt>
                <c:pt idx="373">
                  <c:v>2100</c:v>
                </c:pt>
                <c:pt idx="374">
                  <c:v>2100</c:v>
                </c:pt>
                <c:pt idx="375">
                  <c:v>2100</c:v>
                </c:pt>
                <c:pt idx="376">
                  <c:v>2100</c:v>
                </c:pt>
                <c:pt idx="377">
                  <c:v>2100</c:v>
                </c:pt>
                <c:pt idx="378">
                  <c:v>2100</c:v>
                </c:pt>
                <c:pt idx="379">
                  <c:v>2100</c:v>
                </c:pt>
                <c:pt idx="380">
                  <c:v>2100</c:v>
                </c:pt>
                <c:pt idx="381">
                  <c:v>2100</c:v>
                </c:pt>
                <c:pt idx="382">
                  <c:v>2100</c:v>
                </c:pt>
                <c:pt idx="383">
                  <c:v>2100</c:v>
                </c:pt>
                <c:pt idx="384">
                  <c:v>2100</c:v>
                </c:pt>
                <c:pt idx="385">
                  <c:v>2100</c:v>
                </c:pt>
                <c:pt idx="386">
                  <c:v>2100</c:v>
                </c:pt>
                <c:pt idx="387">
                  <c:v>2100</c:v>
                </c:pt>
                <c:pt idx="388">
                  <c:v>2100</c:v>
                </c:pt>
                <c:pt idx="389">
                  <c:v>2100</c:v>
                </c:pt>
                <c:pt idx="390">
                  <c:v>2100</c:v>
                </c:pt>
                <c:pt idx="391">
                  <c:v>2100</c:v>
                </c:pt>
                <c:pt idx="392">
                  <c:v>2100</c:v>
                </c:pt>
                <c:pt idx="393">
                  <c:v>2100</c:v>
                </c:pt>
                <c:pt idx="394">
                  <c:v>2100</c:v>
                </c:pt>
                <c:pt idx="395">
                  <c:v>2100</c:v>
                </c:pt>
                <c:pt idx="396">
                  <c:v>2100</c:v>
                </c:pt>
                <c:pt idx="397">
                  <c:v>2100</c:v>
                </c:pt>
                <c:pt idx="398">
                  <c:v>2100</c:v>
                </c:pt>
                <c:pt idx="399">
                  <c:v>2100</c:v>
                </c:pt>
                <c:pt idx="400">
                  <c:v>2100</c:v>
                </c:pt>
                <c:pt idx="401">
                  <c:v>2100</c:v>
                </c:pt>
                <c:pt idx="402">
                  <c:v>2100</c:v>
                </c:pt>
                <c:pt idx="403">
                  <c:v>2100</c:v>
                </c:pt>
                <c:pt idx="404">
                  <c:v>2100</c:v>
                </c:pt>
                <c:pt idx="405">
                  <c:v>2100</c:v>
                </c:pt>
                <c:pt idx="406">
                  <c:v>2100</c:v>
                </c:pt>
                <c:pt idx="407">
                  <c:v>2100</c:v>
                </c:pt>
                <c:pt idx="408">
                  <c:v>2100</c:v>
                </c:pt>
                <c:pt idx="409">
                  <c:v>2100</c:v>
                </c:pt>
                <c:pt idx="410">
                  <c:v>2100</c:v>
                </c:pt>
                <c:pt idx="411">
                  <c:v>2100</c:v>
                </c:pt>
                <c:pt idx="412">
                  <c:v>1900</c:v>
                </c:pt>
                <c:pt idx="413">
                  <c:v>1900</c:v>
                </c:pt>
                <c:pt idx="414">
                  <c:v>1900</c:v>
                </c:pt>
                <c:pt idx="415">
                  <c:v>1900</c:v>
                </c:pt>
                <c:pt idx="416">
                  <c:v>1850</c:v>
                </c:pt>
                <c:pt idx="417">
                  <c:v>1850</c:v>
                </c:pt>
                <c:pt idx="418">
                  <c:v>1850</c:v>
                </c:pt>
                <c:pt idx="419">
                  <c:v>1850</c:v>
                </c:pt>
                <c:pt idx="420">
                  <c:v>1850</c:v>
                </c:pt>
                <c:pt idx="421">
                  <c:v>1850</c:v>
                </c:pt>
                <c:pt idx="422">
                  <c:v>1850</c:v>
                </c:pt>
                <c:pt idx="423">
                  <c:v>1825</c:v>
                </c:pt>
                <c:pt idx="424">
                  <c:v>1825</c:v>
                </c:pt>
                <c:pt idx="425">
                  <c:v>1825</c:v>
                </c:pt>
                <c:pt idx="426">
                  <c:v>1825</c:v>
                </c:pt>
                <c:pt idx="427">
                  <c:v>1825</c:v>
                </c:pt>
                <c:pt idx="428">
                  <c:v>1825</c:v>
                </c:pt>
                <c:pt idx="429">
                  <c:v>1825</c:v>
                </c:pt>
                <c:pt idx="430">
                  <c:v>1825</c:v>
                </c:pt>
                <c:pt idx="431">
                  <c:v>1825</c:v>
                </c:pt>
                <c:pt idx="432">
                  <c:v>1825</c:v>
                </c:pt>
                <c:pt idx="433">
                  <c:v>1825</c:v>
                </c:pt>
                <c:pt idx="434">
                  <c:v>1825</c:v>
                </c:pt>
                <c:pt idx="435">
                  <c:v>1825</c:v>
                </c:pt>
                <c:pt idx="436">
                  <c:v>1825</c:v>
                </c:pt>
                <c:pt idx="437">
                  <c:v>1750</c:v>
                </c:pt>
                <c:pt idx="438">
                  <c:v>1750</c:v>
                </c:pt>
                <c:pt idx="439">
                  <c:v>1750</c:v>
                </c:pt>
                <c:pt idx="440">
                  <c:v>1750</c:v>
                </c:pt>
                <c:pt idx="441">
                  <c:v>1750</c:v>
                </c:pt>
                <c:pt idx="442">
                  <c:v>1750</c:v>
                </c:pt>
                <c:pt idx="443">
                  <c:v>1750</c:v>
                </c:pt>
                <c:pt idx="444">
                  <c:v>1750</c:v>
                </c:pt>
                <c:pt idx="445">
                  <c:v>1750</c:v>
                </c:pt>
                <c:pt idx="446">
                  <c:v>1775</c:v>
                </c:pt>
                <c:pt idx="447">
                  <c:v>1750</c:v>
                </c:pt>
                <c:pt idx="448">
                  <c:v>1750</c:v>
                </c:pt>
                <c:pt idx="449">
                  <c:v>1750</c:v>
                </c:pt>
                <c:pt idx="450">
                  <c:v>1750</c:v>
                </c:pt>
                <c:pt idx="451">
                  <c:v>1750</c:v>
                </c:pt>
                <c:pt idx="452">
                  <c:v>1750</c:v>
                </c:pt>
                <c:pt idx="453">
                  <c:v>1800</c:v>
                </c:pt>
                <c:pt idx="454">
                  <c:v>1800</c:v>
                </c:pt>
                <c:pt idx="455">
                  <c:v>1800</c:v>
                </c:pt>
                <c:pt idx="456">
                  <c:v>1800</c:v>
                </c:pt>
                <c:pt idx="457">
                  <c:v>1800</c:v>
                </c:pt>
                <c:pt idx="458">
                  <c:v>1800</c:v>
                </c:pt>
                <c:pt idx="459">
                  <c:v>1800</c:v>
                </c:pt>
                <c:pt idx="460">
                  <c:v>1800</c:v>
                </c:pt>
                <c:pt idx="461">
                  <c:v>1800</c:v>
                </c:pt>
                <c:pt idx="462">
                  <c:v>1800</c:v>
                </c:pt>
                <c:pt idx="463">
                  <c:v>1800</c:v>
                </c:pt>
                <c:pt idx="464">
                  <c:v>1800</c:v>
                </c:pt>
                <c:pt idx="465">
                  <c:v>1800</c:v>
                </c:pt>
                <c:pt idx="466">
                  <c:v>1800</c:v>
                </c:pt>
                <c:pt idx="467">
                  <c:v>1800</c:v>
                </c:pt>
                <c:pt idx="468">
                  <c:v>1775</c:v>
                </c:pt>
                <c:pt idx="469">
                  <c:v>1775</c:v>
                </c:pt>
                <c:pt idx="470">
                  <c:v>1775</c:v>
                </c:pt>
                <c:pt idx="471">
                  <c:v>1775</c:v>
                </c:pt>
                <c:pt idx="472">
                  <c:v>1775</c:v>
                </c:pt>
                <c:pt idx="473">
                  <c:v>1775</c:v>
                </c:pt>
                <c:pt idx="474">
                  <c:v>1800</c:v>
                </c:pt>
                <c:pt idx="475">
                  <c:v>1800</c:v>
                </c:pt>
                <c:pt idx="476">
                  <c:v>1800</c:v>
                </c:pt>
                <c:pt idx="477">
                  <c:v>1800</c:v>
                </c:pt>
                <c:pt idx="478">
                  <c:v>1800</c:v>
                </c:pt>
                <c:pt idx="479">
                  <c:v>1815</c:v>
                </c:pt>
                <c:pt idx="480">
                  <c:v>1815</c:v>
                </c:pt>
                <c:pt idx="481">
                  <c:v>1815</c:v>
                </c:pt>
                <c:pt idx="482">
                  <c:v>1850</c:v>
                </c:pt>
                <c:pt idx="483">
                  <c:v>1850</c:v>
                </c:pt>
                <c:pt idx="484">
                  <c:v>1850</c:v>
                </c:pt>
                <c:pt idx="485">
                  <c:v>1850</c:v>
                </c:pt>
                <c:pt idx="486">
                  <c:v>1850</c:v>
                </c:pt>
                <c:pt idx="487">
                  <c:v>1850</c:v>
                </c:pt>
                <c:pt idx="488">
                  <c:v>1850</c:v>
                </c:pt>
                <c:pt idx="489">
                  <c:v>1875</c:v>
                </c:pt>
                <c:pt idx="490">
                  <c:v>1875</c:v>
                </c:pt>
                <c:pt idx="491">
                  <c:v>1875</c:v>
                </c:pt>
                <c:pt idx="492">
                  <c:v>1875</c:v>
                </c:pt>
                <c:pt idx="493">
                  <c:v>1875</c:v>
                </c:pt>
                <c:pt idx="494">
                  <c:v>1875</c:v>
                </c:pt>
                <c:pt idx="495">
                  <c:v>1875</c:v>
                </c:pt>
                <c:pt idx="496">
                  <c:v>1875</c:v>
                </c:pt>
                <c:pt idx="497">
                  <c:v>1875</c:v>
                </c:pt>
                <c:pt idx="498">
                  <c:v>1875</c:v>
                </c:pt>
                <c:pt idx="499">
                  <c:v>1875</c:v>
                </c:pt>
                <c:pt idx="500">
                  <c:v>1900</c:v>
                </c:pt>
                <c:pt idx="501">
                  <c:v>1925</c:v>
                </c:pt>
                <c:pt idx="502">
                  <c:v>1925</c:v>
                </c:pt>
                <c:pt idx="503">
                  <c:v>2000</c:v>
                </c:pt>
                <c:pt idx="504">
                  <c:v>2100</c:v>
                </c:pt>
                <c:pt idx="505">
                  <c:v>2100</c:v>
                </c:pt>
                <c:pt idx="506">
                  <c:v>2100</c:v>
                </c:pt>
                <c:pt idx="507">
                  <c:v>2100</c:v>
                </c:pt>
                <c:pt idx="508">
                  <c:v>2100</c:v>
                </c:pt>
                <c:pt idx="509">
                  <c:v>2100</c:v>
                </c:pt>
                <c:pt idx="510">
                  <c:v>2100</c:v>
                </c:pt>
                <c:pt idx="511">
                  <c:v>2100</c:v>
                </c:pt>
                <c:pt idx="512">
                  <c:v>2100</c:v>
                </c:pt>
                <c:pt idx="513">
                  <c:v>2100</c:v>
                </c:pt>
                <c:pt idx="514">
                  <c:v>2100</c:v>
                </c:pt>
                <c:pt idx="515">
                  <c:v>2100</c:v>
                </c:pt>
                <c:pt idx="516">
                  <c:v>2100</c:v>
                </c:pt>
                <c:pt idx="517">
                  <c:v>2100</c:v>
                </c:pt>
                <c:pt idx="518">
                  <c:v>2100</c:v>
                </c:pt>
                <c:pt idx="519">
                  <c:v>2100</c:v>
                </c:pt>
                <c:pt idx="520">
                  <c:v>2100</c:v>
                </c:pt>
                <c:pt idx="521">
                  <c:v>2100</c:v>
                </c:pt>
                <c:pt idx="522">
                  <c:v>2100</c:v>
                </c:pt>
                <c:pt idx="523">
                  <c:v>2100</c:v>
                </c:pt>
                <c:pt idx="524">
                  <c:v>2100</c:v>
                </c:pt>
                <c:pt idx="525">
                  <c:v>2100</c:v>
                </c:pt>
                <c:pt idx="526">
                  <c:v>2100</c:v>
                </c:pt>
                <c:pt idx="527">
                  <c:v>2100</c:v>
                </c:pt>
                <c:pt idx="528">
                  <c:v>2100</c:v>
                </c:pt>
                <c:pt idx="529">
                  <c:v>2100</c:v>
                </c:pt>
                <c:pt idx="530">
                  <c:v>2100</c:v>
                </c:pt>
                <c:pt idx="531">
                  <c:v>2100</c:v>
                </c:pt>
                <c:pt idx="532">
                  <c:v>2100</c:v>
                </c:pt>
                <c:pt idx="533">
                  <c:v>2100</c:v>
                </c:pt>
                <c:pt idx="534">
                  <c:v>2100</c:v>
                </c:pt>
                <c:pt idx="535">
                  <c:v>2100</c:v>
                </c:pt>
                <c:pt idx="536">
                  <c:v>2100</c:v>
                </c:pt>
                <c:pt idx="537">
                  <c:v>2100</c:v>
                </c:pt>
                <c:pt idx="538">
                  <c:v>2100</c:v>
                </c:pt>
                <c:pt idx="539">
                  <c:v>2075</c:v>
                </c:pt>
                <c:pt idx="540">
                  <c:v>2075</c:v>
                </c:pt>
                <c:pt idx="541">
                  <c:v>2075</c:v>
                </c:pt>
                <c:pt idx="542">
                  <c:v>2075</c:v>
                </c:pt>
                <c:pt idx="543">
                  <c:v>2075</c:v>
                </c:pt>
                <c:pt idx="544">
                  <c:v>2075</c:v>
                </c:pt>
                <c:pt idx="545">
                  <c:v>2075</c:v>
                </c:pt>
                <c:pt idx="546">
                  <c:v>2075</c:v>
                </c:pt>
                <c:pt idx="547">
                  <c:v>2075</c:v>
                </c:pt>
                <c:pt idx="548">
                  <c:v>2075</c:v>
                </c:pt>
                <c:pt idx="549">
                  <c:v>2025</c:v>
                </c:pt>
                <c:pt idx="550">
                  <c:v>2025</c:v>
                </c:pt>
                <c:pt idx="551">
                  <c:v>2025</c:v>
                </c:pt>
                <c:pt idx="552">
                  <c:v>2025</c:v>
                </c:pt>
                <c:pt idx="553">
                  <c:v>2025</c:v>
                </c:pt>
                <c:pt idx="554">
                  <c:v>2025</c:v>
                </c:pt>
                <c:pt idx="555">
                  <c:v>2025</c:v>
                </c:pt>
                <c:pt idx="556">
                  <c:v>2025</c:v>
                </c:pt>
                <c:pt idx="557">
                  <c:v>2025</c:v>
                </c:pt>
                <c:pt idx="558">
                  <c:v>2025</c:v>
                </c:pt>
                <c:pt idx="559">
                  <c:v>2025</c:v>
                </c:pt>
                <c:pt idx="560">
                  <c:v>2025</c:v>
                </c:pt>
                <c:pt idx="561">
                  <c:v>2025</c:v>
                </c:pt>
                <c:pt idx="562">
                  <c:v>2025</c:v>
                </c:pt>
                <c:pt idx="563">
                  <c:v>2025</c:v>
                </c:pt>
                <c:pt idx="564">
                  <c:v>2025</c:v>
                </c:pt>
                <c:pt idx="565">
                  <c:v>2025</c:v>
                </c:pt>
                <c:pt idx="566">
                  <c:v>2025</c:v>
                </c:pt>
                <c:pt idx="567">
                  <c:v>2025</c:v>
                </c:pt>
                <c:pt idx="568">
                  <c:v>2025</c:v>
                </c:pt>
                <c:pt idx="569">
                  <c:v>2025</c:v>
                </c:pt>
                <c:pt idx="570">
                  <c:v>2025</c:v>
                </c:pt>
                <c:pt idx="571">
                  <c:v>2025</c:v>
                </c:pt>
                <c:pt idx="572">
                  <c:v>2025</c:v>
                </c:pt>
                <c:pt idx="573">
                  <c:v>2025</c:v>
                </c:pt>
                <c:pt idx="574">
                  <c:v>2025</c:v>
                </c:pt>
                <c:pt idx="575">
                  <c:v>2025</c:v>
                </c:pt>
                <c:pt idx="576">
                  <c:v>2025</c:v>
                </c:pt>
                <c:pt idx="577">
                  <c:v>2025</c:v>
                </c:pt>
                <c:pt idx="578">
                  <c:v>2025</c:v>
                </c:pt>
                <c:pt idx="579">
                  <c:v>2025</c:v>
                </c:pt>
                <c:pt idx="580">
                  <c:v>2025</c:v>
                </c:pt>
                <c:pt idx="581">
                  <c:v>2025</c:v>
                </c:pt>
                <c:pt idx="582">
                  <c:v>2025</c:v>
                </c:pt>
                <c:pt idx="583">
                  <c:v>2025</c:v>
                </c:pt>
                <c:pt idx="584">
                  <c:v>2025</c:v>
                </c:pt>
                <c:pt idx="585">
                  <c:v>2025</c:v>
                </c:pt>
                <c:pt idx="586">
                  <c:v>2025</c:v>
                </c:pt>
                <c:pt idx="587">
                  <c:v>2025</c:v>
                </c:pt>
                <c:pt idx="588">
                  <c:v>2025</c:v>
                </c:pt>
                <c:pt idx="589">
                  <c:v>2025</c:v>
                </c:pt>
                <c:pt idx="590">
                  <c:v>2025</c:v>
                </c:pt>
                <c:pt idx="591">
                  <c:v>2025</c:v>
                </c:pt>
                <c:pt idx="592">
                  <c:v>2025</c:v>
                </c:pt>
                <c:pt idx="593">
                  <c:v>2025</c:v>
                </c:pt>
                <c:pt idx="594">
                  <c:v>2025</c:v>
                </c:pt>
                <c:pt idx="595">
                  <c:v>2025</c:v>
                </c:pt>
                <c:pt idx="596">
                  <c:v>2025</c:v>
                </c:pt>
                <c:pt idx="597">
                  <c:v>2025</c:v>
                </c:pt>
                <c:pt idx="598">
                  <c:v>2025</c:v>
                </c:pt>
                <c:pt idx="599">
                  <c:v>2025</c:v>
                </c:pt>
                <c:pt idx="600">
                  <c:v>2025</c:v>
                </c:pt>
                <c:pt idx="601">
                  <c:v>2025</c:v>
                </c:pt>
                <c:pt idx="602">
                  <c:v>2025</c:v>
                </c:pt>
                <c:pt idx="603">
                  <c:v>2025</c:v>
                </c:pt>
                <c:pt idx="604">
                  <c:v>2025</c:v>
                </c:pt>
                <c:pt idx="605">
                  <c:v>2025</c:v>
                </c:pt>
                <c:pt idx="606">
                  <c:v>2025</c:v>
                </c:pt>
                <c:pt idx="607">
                  <c:v>2025</c:v>
                </c:pt>
                <c:pt idx="608">
                  <c:v>2025</c:v>
                </c:pt>
                <c:pt idx="609">
                  <c:v>2025</c:v>
                </c:pt>
                <c:pt idx="610">
                  <c:v>2025</c:v>
                </c:pt>
                <c:pt idx="611">
                  <c:v>2025</c:v>
                </c:pt>
                <c:pt idx="612">
                  <c:v>2025</c:v>
                </c:pt>
                <c:pt idx="613">
                  <c:v>2025</c:v>
                </c:pt>
                <c:pt idx="614">
                  <c:v>2025</c:v>
                </c:pt>
                <c:pt idx="615">
                  <c:v>2025</c:v>
                </c:pt>
                <c:pt idx="616">
                  <c:v>2025</c:v>
                </c:pt>
                <c:pt idx="617">
                  <c:v>2025</c:v>
                </c:pt>
                <c:pt idx="618">
                  <c:v>2025</c:v>
                </c:pt>
                <c:pt idx="619">
                  <c:v>2025</c:v>
                </c:pt>
                <c:pt idx="620">
                  <c:v>2025</c:v>
                </c:pt>
                <c:pt idx="621">
                  <c:v>2025</c:v>
                </c:pt>
                <c:pt idx="622">
                  <c:v>2025</c:v>
                </c:pt>
                <c:pt idx="623">
                  <c:v>2025</c:v>
                </c:pt>
                <c:pt idx="624">
                  <c:v>2025</c:v>
                </c:pt>
                <c:pt idx="625">
                  <c:v>2025</c:v>
                </c:pt>
                <c:pt idx="626">
                  <c:v>2025</c:v>
                </c:pt>
                <c:pt idx="627">
                  <c:v>2025</c:v>
                </c:pt>
                <c:pt idx="628">
                  <c:v>2025</c:v>
                </c:pt>
                <c:pt idx="629">
                  <c:v>2025</c:v>
                </c:pt>
                <c:pt idx="630">
                  <c:v>2025</c:v>
                </c:pt>
                <c:pt idx="631">
                  <c:v>2025</c:v>
                </c:pt>
                <c:pt idx="632">
                  <c:v>2025</c:v>
                </c:pt>
                <c:pt idx="633">
                  <c:v>2025</c:v>
                </c:pt>
                <c:pt idx="634">
                  <c:v>2025</c:v>
                </c:pt>
                <c:pt idx="635">
                  <c:v>2025</c:v>
                </c:pt>
                <c:pt idx="636">
                  <c:v>2025</c:v>
                </c:pt>
                <c:pt idx="637">
                  <c:v>2025</c:v>
                </c:pt>
                <c:pt idx="638">
                  <c:v>2025</c:v>
                </c:pt>
                <c:pt idx="639">
                  <c:v>2025</c:v>
                </c:pt>
                <c:pt idx="640">
                  <c:v>2025</c:v>
                </c:pt>
                <c:pt idx="641">
                  <c:v>2025</c:v>
                </c:pt>
                <c:pt idx="642">
                  <c:v>2025</c:v>
                </c:pt>
                <c:pt idx="643">
                  <c:v>2025</c:v>
                </c:pt>
                <c:pt idx="644">
                  <c:v>2025</c:v>
                </c:pt>
                <c:pt idx="645">
                  <c:v>2025</c:v>
                </c:pt>
                <c:pt idx="646">
                  <c:v>2025</c:v>
                </c:pt>
                <c:pt idx="647">
                  <c:v>2025</c:v>
                </c:pt>
                <c:pt idx="648">
                  <c:v>2025</c:v>
                </c:pt>
                <c:pt idx="649">
                  <c:v>2025</c:v>
                </c:pt>
                <c:pt idx="650">
                  <c:v>1975</c:v>
                </c:pt>
                <c:pt idx="651">
                  <c:v>1975</c:v>
                </c:pt>
                <c:pt idx="652">
                  <c:v>1975</c:v>
                </c:pt>
                <c:pt idx="653">
                  <c:v>1975</c:v>
                </c:pt>
                <c:pt idx="654">
                  <c:v>1975</c:v>
                </c:pt>
                <c:pt idx="655">
                  <c:v>1975</c:v>
                </c:pt>
                <c:pt idx="656">
                  <c:v>1975</c:v>
                </c:pt>
                <c:pt idx="657">
                  <c:v>1975</c:v>
                </c:pt>
                <c:pt idx="658">
                  <c:v>1975</c:v>
                </c:pt>
                <c:pt idx="659">
                  <c:v>1975</c:v>
                </c:pt>
                <c:pt idx="660">
                  <c:v>1975</c:v>
                </c:pt>
                <c:pt idx="661">
                  <c:v>1975</c:v>
                </c:pt>
                <c:pt idx="662">
                  <c:v>1975</c:v>
                </c:pt>
                <c:pt idx="663">
                  <c:v>1975</c:v>
                </c:pt>
                <c:pt idx="664">
                  <c:v>1975</c:v>
                </c:pt>
                <c:pt idx="665">
                  <c:v>1975</c:v>
                </c:pt>
                <c:pt idx="666">
                  <c:v>1975</c:v>
                </c:pt>
                <c:pt idx="667">
                  <c:v>1975</c:v>
                </c:pt>
                <c:pt idx="668">
                  <c:v>1975</c:v>
                </c:pt>
                <c:pt idx="669">
                  <c:v>1975</c:v>
                </c:pt>
                <c:pt idx="670">
                  <c:v>1925</c:v>
                </c:pt>
                <c:pt idx="671">
                  <c:v>1925</c:v>
                </c:pt>
                <c:pt idx="672">
                  <c:v>1925</c:v>
                </c:pt>
                <c:pt idx="673">
                  <c:v>1925</c:v>
                </c:pt>
                <c:pt idx="674">
                  <c:v>1925</c:v>
                </c:pt>
                <c:pt idx="675">
                  <c:v>1925</c:v>
                </c:pt>
                <c:pt idx="676">
                  <c:v>1925</c:v>
                </c:pt>
                <c:pt idx="677">
                  <c:v>1925</c:v>
                </c:pt>
                <c:pt idx="678">
                  <c:v>1925</c:v>
                </c:pt>
                <c:pt idx="679">
                  <c:v>1925</c:v>
                </c:pt>
                <c:pt idx="680">
                  <c:v>1925</c:v>
                </c:pt>
                <c:pt idx="681">
                  <c:v>1925</c:v>
                </c:pt>
                <c:pt idx="682">
                  <c:v>1925</c:v>
                </c:pt>
                <c:pt idx="683">
                  <c:v>1925</c:v>
                </c:pt>
                <c:pt idx="684">
                  <c:v>1925</c:v>
                </c:pt>
                <c:pt idx="685">
                  <c:v>1925</c:v>
                </c:pt>
                <c:pt idx="686">
                  <c:v>1925</c:v>
                </c:pt>
                <c:pt idx="687">
                  <c:v>1925</c:v>
                </c:pt>
                <c:pt idx="688">
                  <c:v>1925</c:v>
                </c:pt>
                <c:pt idx="689">
                  <c:v>1925</c:v>
                </c:pt>
                <c:pt idx="690">
                  <c:v>1925</c:v>
                </c:pt>
                <c:pt idx="691">
                  <c:v>1925</c:v>
                </c:pt>
                <c:pt idx="692">
                  <c:v>1925</c:v>
                </c:pt>
                <c:pt idx="693">
                  <c:v>1925</c:v>
                </c:pt>
                <c:pt idx="694">
                  <c:v>1925</c:v>
                </c:pt>
                <c:pt idx="695">
                  <c:v>1925</c:v>
                </c:pt>
                <c:pt idx="696">
                  <c:v>1925</c:v>
                </c:pt>
                <c:pt idx="697">
                  <c:v>1925</c:v>
                </c:pt>
                <c:pt idx="698">
                  <c:v>1925</c:v>
                </c:pt>
                <c:pt idx="699">
                  <c:v>1875</c:v>
                </c:pt>
                <c:pt idx="700">
                  <c:v>1875</c:v>
                </c:pt>
                <c:pt idx="701">
                  <c:v>1875</c:v>
                </c:pt>
                <c:pt idx="702">
                  <c:v>1875</c:v>
                </c:pt>
                <c:pt idx="703">
                  <c:v>1875</c:v>
                </c:pt>
                <c:pt idx="704">
                  <c:v>1875</c:v>
                </c:pt>
                <c:pt idx="705">
                  <c:v>1875</c:v>
                </c:pt>
                <c:pt idx="706">
                  <c:v>1775</c:v>
                </c:pt>
                <c:pt idx="707">
                  <c:v>1775</c:v>
                </c:pt>
                <c:pt idx="708">
                  <c:v>1775</c:v>
                </c:pt>
                <c:pt idx="709">
                  <c:v>1775</c:v>
                </c:pt>
                <c:pt idx="710">
                  <c:v>1775</c:v>
                </c:pt>
                <c:pt idx="711">
                  <c:v>1775</c:v>
                </c:pt>
                <c:pt idx="712">
                  <c:v>1775</c:v>
                </c:pt>
                <c:pt idx="713">
                  <c:v>1775</c:v>
                </c:pt>
                <c:pt idx="714">
                  <c:v>1775</c:v>
                </c:pt>
                <c:pt idx="715">
                  <c:v>1775</c:v>
                </c:pt>
                <c:pt idx="716">
                  <c:v>1775</c:v>
                </c:pt>
                <c:pt idx="717">
                  <c:v>1775</c:v>
                </c:pt>
                <c:pt idx="718">
                  <c:v>1775</c:v>
                </c:pt>
                <c:pt idx="719">
                  <c:v>1775</c:v>
                </c:pt>
                <c:pt idx="720">
                  <c:v>1775</c:v>
                </c:pt>
                <c:pt idx="721">
                  <c:v>1775</c:v>
                </c:pt>
                <c:pt idx="722">
                  <c:v>1775</c:v>
                </c:pt>
                <c:pt idx="723">
                  <c:v>1775</c:v>
                </c:pt>
                <c:pt idx="724">
                  <c:v>1775</c:v>
                </c:pt>
                <c:pt idx="725">
                  <c:v>1775</c:v>
                </c:pt>
                <c:pt idx="726">
                  <c:v>1775</c:v>
                </c:pt>
                <c:pt idx="727">
                  <c:v>1775</c:v>
                </c:pt>
                <c:pt idx="728">
                  <c:v>1775</c:v>
                </c:pt>
                <c:pt idx="729">
                  <c:v>1775</c:v>
                </c:pt>
                <c:pt idx="730">
                  <c:v>1775</c:v>
                </c:pt>
                <c:pt idx="731">
                  <c:v>1775</c:v>
                </c:pt>
                <c:pt idx="732">
                  <c:v>1775</c:v>
                </c:pt>
                <c:pt idx="733">
                  <c:v>1775</c:v>
                </c:pt>
                <c:pt idx="734">
                  <c:v>1775</c:v>
                </c:pt>
                <c:pt idx="735">
                  <c:v>1775</c:v>
                </c:pt>
                <c:pt idx="736">
                  <c:v>1775</c:v>
                </c:pt>
                <c:pt idx="737">
                  <c:v>1775</c:v>
                </c:pt>
                <c:pt idx="738">
                  <c:v>1775</c:v>
                </c:pt>
                <c:pt idx="739">
                  <c:v>1775</c:v>
                </c:pt>
                <c:pt idx="740">
                  <c:v>1775</c:v>
                </c:pt>
                <c:pt idx="741">
                  <c:v>1775</c:v>
                </c:pt>
                <c:pt idx="742">
                  <c:v>1775</c:v>
                </c:pt>
                <c:pt idx="743">
                  <c:v>1775</c:v>
                </c:pt>
                <c:pt idx="744">
                  <c:v>1775</c:v>
                </c:pt>
                <c:pt idx="745">
                  <c:v>1775</c:v>
                </c:pt>
                <c:pt idx="746">
                  <c:v>1775</c:v>
                </c:pt>
                <c:pt idx="747">
                  <c:v>1775</c:v>
                </c:pt>
                <c:pt idx="748">
                  <c:v>1775</c:v>
                </c:pt>
                <c:pt idx="749">
                  <c:v>1775</c:v>
                </c:pt>
                <c:pt idx="750">
                  <c:v>1775</c:v>
                </c:pt>
                <c:pt idx="751">
                  <c:v>1775</c:v>
                </c:pt>
                <c:pt idx="752">
                  <c:v>1775</c:v>
                </c:pt>
                <c:pt idx="753">
                  <c:v>1775</c:v>
                </c:pt>
                <c:pt idx="754">
                  <c:v>1775</c:v>
                </c:pt>
                <c:pt idx="755">
                  <c:v>1775</c:v>
                </c:pt>
                <c:pt idx="756">
                  <c:v>1775</c:v>
                </c:pt>
                <c:pt idx="757">
                  <c:v>1775</c:v>
                </c:pt>
                <c:pt idx="758">
                  <c:v>1775</c:v>
                </c:pt>
                <c:pt idx="759">
                  <c:v>1775</c:v>
                </c:pt>
                <c:pt idx="760">
                  <c:v>1775</c:v>
                </c:pt>
                <c:pt idx="761">
                  <c:v>1775</c:v>
                </c:pt>
                <c:pt idx="762">
                  <c:v>1775</c:v>
                </c:pt>
                <c:pt idx="763">
                  <c:v>1775</c:v>
                </c:pt>
                <c:pt idx="764">
                  <c:v>1775</c:v>
                </c:pt>
                <c:pt idx="765">
                  <c:v>1775</c:v>
                </c:pt>
                <c:pt idx="766">
                  <c:v>1700</c:v>
                </c:pt>
                <c:pt idx="767">
                  <c:v>1700</c:v>
                </c:pt>
                <c:pt idx="768">
                  <c:v>1700</c:v>
                </c:pt>
                <c:pt idx="769">
                  <c:v>1700</c:v>
                </c:pt>
                <c:pt idx="770">
                  <c:v>1700</c:v>
                </c:pt>
                <c:pt idx="771">
                  <c:v>1700</c:v>
                </c:pt>
                <c:pt idx="772">
                  <c:v>1700</c:v>
                </c:pt>
                <c:pt idx="773">
                  <c:v>1700</c:v>
                </c:pt>
                <c:pt idx="774">
                  <c:v>1700</c:v>
                </c:pt>
                <c:pt idx="775">
                  <c:v>1650</c:v>
                </c:pt>
                <c:pt idx="776">
                  <c:v>1650</c:v>
                </c:pt>
                <c:pt idx="777">
                  <c:v>1650</c:v>
                </c:pt>
                <c:pt idx="778">
                  <c:v>1650</c:v>
                </c:pt>
                <c:pt idx="779">
                  <c:v>1650</c:v>
                </c:pt>
                <c:pt idx="780">
                  <c:v>1650</c:v>
                </c:pt>
                <c:pt idx="781">
                  <c:v>1650</c:v>
                </c:pt>
                <c:pt idx="782">
                  <c:v>1600</c:v>
                </c:pt>
                <c:pt idx="783">
                  <c:v>1550</c:v>
                </c:pt>
                <c:pt idx="784">
                  <c:v>1550</c:v>
                </c:pt>
                <c:pt idx="785">
                  <c:v>1550</c:v>
                </c:pt>
                <c:pt idx="786">
                  <c:v>1550</c:v>
                </c:pt>
                <c:pt idx="787">
                  <c:v>1550</c:v>
                </c:pt>
                <c:pt idx="788">
                  <c:v>1550</c:v>
                </c:pt>
                <c:pt idx="789">
                  <c:v>1550</c:v>
                </c:pt>
                <c:pt idx="790">
                  <c:v>1550</c:v>
                </c:pt>
                <c:pt idx="791">
                  <c:v>1550</c:v>
                </c:pt>
                <c:pt idx="792">
                  <c:v>1550</c:v>
                </c:pt>
                <c:pt idx="793">
                  <c:v>1550</c:v>
                </c:pt>
                <c:pt idx="794">
                  <c:v>1525</c:v>
                </c:pt>
                <c:pt idx="795">
                  <c:v>1525</c:v>
                </c:pt>
                <c:pt idx="796">
                  <c:v>1525</c:v>
                </c:pt>
                <c:pt idx="797">
                  <c:v>1525</c:v>
                </c:pt>
                <c:pt idx="798">
                  <c:v>1525</c:v>
                </c:pt>
                <c:pt idx="799">
                  <c:v>1525</c:v>
                </c:pt>
                <c:pt idx="800">
                  <c:v>1525</c:v>
                </c:pt>
                <c:pt idx="801">
                  <c:v>1525</c:v>
                </c:pt>
                <c:pt idx="802">
                  <c:v>1525</c:v>
                </c:pt>
                <c:pt idx="803">
                  <c:v>1525</c:v>
                </c:pt>
                <c:pt idx="804">
                  <c:v>1525</c:v>
                </c:pt>
                <c:pt idx="805">
                  <c:v>1525</c:v>
                </c:pt>
                <c:pt idx="806">
                  <c:v>1525</c:v>
                </c:pt>
                <c:pt idx="807">
                  <c:v>1525</c:v>
                </c:pt>
                <c:pt idx="808">
                  <c:v>1525</c:v>
                </c:pt>
                <c:pt idx="809">
                  <c:v>1525</c:v>
                </c:pt>
                <c:pt idx="810">
                  <c:v>1525</c:v>
                </c:pt>
                <c:pt idx="811">
                  <c:v>1525</c:v>
                </c:pt>
                <c:pt idx="812">
                  <c:v>1525</c:v>
                </c:pt>
                <c:pt idx="813">
                  <c:v>1525</c:v>
                </c:pt>
                <c:pt idx="814">
                  <c:v>1525</c:v>
                </c:pt>
                <c:pt idx="815">
                  <c:v>1525</c:v>
                </c:pt>
                <c:pt idx="816">
                  <c:v>1525</c:v>
                </c:pt>
                <c:pt idx="817">
                  <c:v>1525</c:v>
                </c:pt>
                <c:pt idx="818">
                  <c:v>1525</c:v>
                </c:pt>
                <c:pt idx="819">
                  <c:v>1525</c:v>
                </c:pt>
                <c:pt idx="820">
                  <c:v>1525</c:v>
                </c:pt>
                <c:pt idx="821">
                  <c:v>1525</c:v>
                </c:pt>
                <c:pt idx="822">
                  <c:v>1525</c:v>
                </c:pt>
                <c:pt idx="823">
                  <c:v>1525</c:v>
                </c:pt>
                <c:pt idx="824">
                  <c:v>1525</c:v>
                </c:pt>
                <c:pt idx="825">
                  <c:v>1525</c:v>
                </c:pt>
                <c:pt idx="826">
                  <c:v>1525</c:v>
                </c:pt>
                <c:pt idx="827">
                  <c:v>1525</c:v>
                </c:pt>
                <c:pt idx="828">
                  <c:v>1525</c:v>
                </c:pt>
                <c:pt idx="829">
                  <c:v>1525</c:v>
                </c:pt>
                <c:pt idx="830">
                  <c:v>1525</c:v>
                </c:pt>
                <c:pt idx="831">
                  <c:v>1525</c:v>
                </c:pt>
                <c:pt idx="832">
                  <c:v>1525</c:v>
                </c:pt>
                <c:pt idx="833">
                  <c:v>1525</c:v>
                </c:pt>
                <c:pt idx="834">
                  <c:v>1525</c:v>
                </c:pt>
                <c:pt idx="835">
                  <c:v>1525</c:v>
                </c:pt>
                <c:pt idx="836">
                  <c:v>1525</c:v>
                </c:pt>
                <c:pt idx="837">
                  <c:v>1525</c:v>
                </c:pt>
                <c:pt idx="838">
                  <c:v>1525</c:v>
                </c:pt>
                <c:pt idx="839">
                  <c:v>1525</c:v>
                </c:pt>
                <c:pt idx="840">
                  <c:v>1525</c:v>
                </c:pt>
                <c:pt idx="841">
                  <c:v>1525</c:v>
                </c:pt>
                <c:pt idx="842">
                  <c:v>1525</c:v>
                </c:pt>
                <c:pt idx="843">
                  <c:v>1525</c:v>
                </c:pt>
                <c:pt idx="844">
                  <c:v>1525</c:v>
                </c:pt>
                <c:pt idx="845">
                  <c:v>1525</c:v>
                </c:pt>
                <c:pt idx="846">
                  <c:v>1525</c:v>
                </c:pt>
                <c:pt idx="847">
                  <c:v>1525</c:v>
                </c:pt>
                <c:pt idx="848">
                  <c:v>1525</c:v>
                </c:pt>
                <c:pt idx="849">
                  <c:v>1525</c:v>
                </c:pt>
                <c:pt idx="850">
                  <c:v>1525</c:v>
                </c:pt>
                <c:pt idx="851">
                  <c:v>1525</c:v>
                </c:pt>
                <c:pt idx="852">
                  <c:v>1525</c:v>
                </c:pt>
                <c:pt idx="853">
                  <c:v>1525</c:v>
                </c:pt>
                <c:pt idx="854">
                  <c:v>1525</c:v>
                </c:pt>
                <c:pt idx="855">
                  <c:v>1525</c:v>
                </c:pt>
                <c:pt idx="856">
                  <c:v>1525</c:v>
                </c:pt>
                <c:pt idx="857">
                  <c:v>1475</c:v>
                </c:pt>
                <c:pt idx="858">
                  <c:v>1475</c:v>
                </c:pt>
                <c:pt idx="859">
                  <c:v>1475</c:v>
                </c:pt>
                <c:pt idx="860">
                  <c:v>1475</c:v>
                </c:pt>
                <c:pt idx="861">
                  <c:v>1475</c:v>
                </c:pt>
                <c:pt idx="862">
                  <c:v>1475</c:v>
                </c:pt>
                <c:pt idx="863">
                  <c:v>1475</c:v>
                </c:pt>
                <c:pt idx="864">
                  <c:v>1475</c:v>
                </c:pt>
                <c:pt idx="865">
                  <c:v>1475</c:v>
                </c:pt>
                <c:pt idx="866">
                  <c:v>1475</c:v>
                </c:pt>
                <c:pt idx="867">
                  <c:v>1475</c:v>
                </c:pt>
                <c:pt idx="868">
                  <c:v>1475</c:v>
                </c:pt>
                <c:pt idx="869">
                  <c:v>1475</c:v>
                </c:pt>
                <c:pt idx="870">
                  <c:v>1475</c:v>
                </c:pt>
                <c:pt idx="871">
                  <c:v>1475</c:v>
                </c:pt>
                <c:pt idx="872">
                  <c:v>1475</c:v>
                </c:pt>
                <c:pt idx="873">
                  <c:v>1475</c:v>
                </c:pt>
                <c:pt idx="874">
                  <c:v>1475</c:v>
                </c:pt>
                <c:pt idx="875">
                  <c:v>1475</c:v>
                </c:pt>
                <c:pt idx="876">
                  <c:v>1475</c:v>
                </c:pt>
                <c:pt idx="877">
                  <c:v>1475</c:v>
                </c:pt>
                <c:pt idx="878">
                  <c:v>1475</c:v>
                </c:pt>
                <c:pt idx="879">
                  <c:v>1475</c:v>
                </c:pt>
                <c:pt idx="880">
                  <c:v>1475</c:v>
                </c:pt>
                <c:pt idx="881">
                  <c:v>1475</c:v>
                </c:pt>
                <c:pt idx="882">
                  <c:v>1475</c:v>
                </c:pt>
                <c:pt idx="883">
                  <c:v>1475</c:v>
                </c:pt>
                <c:pt idx="884">
                  <c:v>1475</c:v>
                </c:pt>
                <c:pt idx="885">
                  <c:v>1400</c:v>
                </c:pt>
                <c:pt idx="886">
                  <c:v>1400</c:v>
                </c:pt>
                <c:pt idx="887">
                  <c:v>1400</c:v>
                </c:pt>
                <c:pt idx="888">
                  <c:v>1400</c:v>
                </c:pt>
                <c:pt idx="889">
                  <c:v>1400</c:v>
                </c:pt>
                <c:pt idx="890">
                  <c:v>1400</c:v>
                </c:pt>
                <c:pt idx="891">
                  <c:v>1400</c:v>
                </c:pt>
                <c:pt idx="892">
                  <c:v>1400</c:v>
                </c:pt>
                <c:pt idx="893">
                  <c:v>1400</c:v>
                </c:pt>
                <c:pt idx="894">
                  <c:v>1400</c:v>
                </c:pt>
                <c:pt idx="895">
                  <c:v>1400</c:v>
                </c:pt>
                <c:pt idx="896">
                  <c:v>1400</c:v>
                </c:pt>
                <c:pt idx="897">
                  <c:v>1400</c:v>
                </c:pt>
                <c:pt idx="898">
                  <c:v>1400</c:v>
                </c:pt>
                <c:pt idx="899">
                  <c:v>1400</c:v>
                </c:pt>
                <c:pt idx="900">
                  <c:v>1400</c:v>
                </c:pt>
                <c:pt idx="901">
                  <c:v>1400</c:v>
                </c:pt>
                <c:pt idx="902">
                  <c:v>1400</c:v>
                </c:pt>
                <c:pt idx="903">
                  <c:v>1400</c:v>
                </c:pt>
                <c:pt idx="904">
                  <c:v>1400</c:v>
                </c:pt>
                <c:pt idx="905">
                  <c:v>1400</c:v>
                </c:pt>
                <c:pt idx="906">
                  <c:v>1400</c:v>
                </c:pt>
                <c:pt idx="907">
                  <c:v>1400</c:v>
                </c:pt>
                <c:pt idx="908">
                  <c:v>1400</c:v>
                </c:pt>
                <c:pt idx="909">
                  <c:v>1400</c:v>
                </c:pt>
                <c:pt idx="910">
                  <c:v>1400</c:v>
                </c:pt>
                <c:pt idx="911">
                  <c:v>1400</c:v>
                </c:pt>
                <c:pt idx="912">
                  <c:v>1400</c:v>
                </c:pt>
                <c:pt idx="913">
                  <c:v>1400</c:v>
                </c:pt>
                <c:pt idx="914">
                  <c:v>1400</c:v>
                </c:pt>
                <c:pt idx="915">
                  <c:v>1400</c:v>
                </c:pt>
                <c:pt idx="916">
                  <c:v>1400</c:v>
                </c:pt>
                <c:pt idx="917">
                  <c:v>1400</c:v>
                </c:pt>
                <c:pt idx="918">
                  <c:v>1400</c:v>
                </c:pt>
                <c:pt idx="919">
                  <c:v>1400</c:v>
                </c:pt>
                <c:pt idx="920">
                  <c:v>1400</c:v>
                </c:pt>
                <c:pt idx="921">
                  <c:v>1350</c:v>
                </c:pt>
                <c:pt idx="922">
                  <c:v>1350</c:v>
                </c:pt>
                <c:pt idx="923">
                  <c:v>1350</c:v>
                </c:pt>
                <c:pt idx="924">
                  <c:v>1350</c:v>
                </c:pt>
                <c:pt idx="925">
                  <c:v>1350</c:v>
                </c:pt>
                <c:pt idx="926">
                  <c:v>1350</c:v>
                </c:pt>
                <c:pt idx="927">
                  <c:v>1350</c:v>
                </c:pt>
                <c:pt idx="928">
                  <c:v>1350</c:v>
                </c:pt>
                <c:pt idx="929">
                  <c:v>1350</c:v>
                </c:pt>
                <c:pt idx="930">
                  <c:v>1350</c:v>
                </c:pt>
                <c:pt idx="931">
                  <c:v>1350</c:v>
                </c:pt>
                <c:pt idx="932">
                  <c:v>1350</c:v>
                </c:pt>
                <c:pt idx="933">
                  <c:v>1350</c:v>
                </c:pt>
                <c:pt idx="934">
                  <c:v>1350</c:v>
                </c:pt>
                <c:pt idx="935">
                  <c:v>1350</c:v>
                </c:pt>
                <c:pt idx="936">
                  <c:v>1350</c:v>
                </c:pt>
                <c:pt idx="937">
                  <c:v>1350</c:v>
                </c:pt>
                <c:pt idx="938">
                  <c:v>1350</c:v>
                </c:pt>
                <c:pt idx="939">
                  <c:v>1350</c:v>
                </c:pt>
                <c:pt idx="940">
                  <c:v>1350</c:v>
                </c:pt>
                <c:pt idx="941">
                  <c:v>1350</c:v>
                </c:pt>
                <c:pt idx="942">
                  <c:v>1350</c:v>
                </c:pt>
                <c:pt idx="943">
                  <c:v>1350</c:v>
                </c:pt>
                <c:pt idx="944">
                  <c:v>1350</c:v>
                </c:pt>
                <c:pt idx="945">
                  <c:v>1350</c:v>
                </c:pt>
                <c:pt idx="946">
                  <c:v>1350</c:v>
                </c:pt>
                <c:pt idx="947">
                  <c:v>1350</c:v>
                </c:pt>
                <c:pt idx="948">
                  <c:v>1350</c:v>
                </c:pt>
                <c:pt idx="949">
                  <c:v>1350</c:v>
                </c:pt>
                <c:pt idx="950">
                  <c:v>1350</c:v>
                </c:pt>
                <c:pt idx="951">
                  <c:v>1350</c:v>
                </c:pt>
                <c:pt idx="952">
                  <c:v>1350</c:v>
                </c:pt>
                <c:pt idx="953">
                  <c:v>1350</c:v>
                </c:pt>
                <c:pt idx="954">
                  <c:v>1350</c:v>
                </c:pt>
                <c:pt idx="955">
                  <c:v>1350</c:v>
                </c:pt>
                <c:pt idx="956">
                  <c:v>1350</c:v>
                </c:pt>
                <c:pt idx="957">
                  <c:v>1350</c:v>
                </c:pt>
                <c:pt idx="958">
                  <c:v>1350</c:v>
                </c:pt>
                <c:pt idx="959">
                  <c:v>1350</c:v>
                </c:pt>
                <c:pt idx="960">
                  <c:v>1350</c:v>
                </c:pt>
                <c:pt idx="961">
                  <c:v>1350</c:v>
                </c:pt>
                <c:pt idx="962">
                  <c:v>1350</c:v>
                </c:pt>
                <c:pt idx="963">
                  <c:v>1350</c:v>
                </c:pt>
                <c:pt idx="964">
                  <c:v>1350</c:v>
                </c:pt>
                <c:pt idx="965">
                  <c:v>1350</c:v>
                </c:pt>
                <c:pt idx="966">
                  <c:v>1350</c:v>
                </c:pt>
                <c:pt idx="967">
                  <c:v>1350</c:v>
                </c:pt>
                <c:pt idx="968">
                  <c:v>1350</c:v>
                </c:pt>
                <c:pt idx="969">
                  <c:v>1350</c:v>
                </c:pt>
                <c:pt idx="970">
                  <c:v>1350</c:v>
                </c:pt>
                <c:pt idx="971">
                  <c:v>1350</c:v>
                </c:pt>
                <c:pt idx="972">
                  <c:v>1350</c:v>
                </c:pt>
                <c:pt idx="973">
                  <c:v>1350</c:v>
                </c:pt>
                <c:pt idx="974">
                  <c:v>1350</c:v>
                </c:pt>
                <c:pt idx="975">
                  <c:v>1350</c:v>
                </c:pt>
                <c:pt idx="976">
                  <c:v>1350</c:v>
                </c:pt>
                <c:pt idx="977">
                  <c:v>1350</c:v>
                </c:pt>
                <c:pt idx="978">
                  <c:v>1325</c:v>
                </c:pt>
                <c:pt idx="979">
                  <c:v>1325</c:v>
                </c:pt>
                <c:pt idx="980">
                  <c:v>1325</c:v>
                </c:pt>
                <c:pt idx="981">
                  <c:v>1325</c:v>
                </c:pt>
                <c:pt idx="982">
                  <c:v>1325</c:v>
                </c:pt>
                <c:pt idx="983">
                  <c:v>1400</c:v>
                </c:pt>
                <c:pt idx="984">
                  <c:v>1400</c:v>
                </c:pt>
                <c:pt idx="985">
                  <c:v>1400</c:v>
                </c:pt>
                <c:pt idx="986">
                  <c:v>1400</c:v>
                </c:pt>
                <c:pt idx="987">
                  <c:v>1400</c:v>
                </c:pt>
                <c:pt idx="988">
                  <c:v>1400</c:v>
                </c:pt>
                <c:pt idx="989">
                  <c:v>1400</c:v>
                </c:pt>
                <c:pt idx="990">
                  <c:v>1400</c:v>
                </c:pt>
                <c:pt idx="991">
                  <c:v>1400</c:v>
                </c:pt>
                <c:pt idx="992">
                  <c:v>1400</c:v>
                </c:pt>
                <c:pt idx="993">
                  <c:v>1400</c:v>
                </c:pt>
                <c:pt idx="994">
                  <c:v>1400</c:v>
                </c:pt>
                <c:pt idx="995">
                  <c:v>1400</c:v>
                </c:pt>
                <c:pt idx="996">
                  <c:v>1400</c:v>
                </c:pt>
                <c:pt idx="997">
                  <c:v>1400</c:v>
                </c:pt>
                <c:pt idx="998">
                  <c:v>1400</c:v>
                </c:pt>
                <c:pt idx="999">
                  <c:v>1400</c:v>
                </c:pt>
                <c:pt idx="1000">
                  <c:v>1400</c:v>
                </c:pt>
                <c:pt idx="1001">
                  <c:v>1400</c:v>
                </c:pt>
                <c:pt idx="1002">
                  <c:v>1400</c:v>
                </c:pt>
                <c:pt idx="1003">
                  <c:v>1400</c:v>
                </c:pt>
                <c:pt idx="1004">
                  <c:v>1400</c:v>
                </c:pt>
                <c:pt idx="1005">
                  <c:v>1400</c:v>
                </c:pt>
                <c:pt idx="1006">
                  <c:v>1400</c:v>
                </c:pt>
                <c:pt idx="1007">
                  <c:v>1400</c:v>
                </c:pt>
                <c:pt idx="1008">
                  <c:v>1400</c:v>
                </c:pt>
                <c:pt idx="1009">
                  <c:v>1400</c:v>
                </c:pt>
                <c:pt idx="1010">
                  <c:v>1400</c:v>
                </c:pt>
                <c:pt idx="1011">
                  <c:v>1400</c:v>
                </c:pt>
                <c:pt idx="1012">
                  <c:v>1400</c:v>
                </c:pt>
                <c:pt idx="1013">
                  <c:v>1400</c:v>
                </c:pt>
                <c:pt idx="1014">
                  <c:v>1400</c:v>
                </c:pt>
                <c:pt idx="1015">
                  <c:v>1400</c:v>
                </c:pt>
                <c:pt idx="1016">
                  <c:v>1400</c:v>
                </c:pt>
                <c:pt idx="1017">
                  <c:v>1400</c:v>
                </c:pt>
                <c:pt idx="1018">
                  <c:v>1400</c:v>
                </c:pt>
                <c:pt idx="1019">
                  <c:v>1400</c:v>
                </c:pt>
                <c:pt idx="1020">
                  <c:v>1400</c:v>
                </c:pt>
                <c:pt idx="1021">
                  <c:v>1400</c:v>
                </c:pt>
                <c:pt idx="1022">
                  <c:v>1400</c:v>
                </c:pt>
                <c:pt idx="1023">
                  <c:v>1400</c:v>
                </c:pt>
                <c:pt idx="1024">
                  <c:v>1400</c:v>
                </c:pt>
                <c:pt idx="1025">
                  <c:v>1400</c:v>
                </c:pt>
                <c:pt idx="1026">
                  <c:v>1400</c:v>
                </c:pt>
                <c:pt idx="1027">
                  <c:v>1400</c:v>
                </c:pt>
                <c:pt idx="1028">
                  <c:v>1400</c:v>
                </c:pt>
                <c:pt idx="1029">
                  <c:v>1400</c:v>
                </c:pt>
                <c:pt idx="1030">
                  <c:v>1400</c:v>
                </c:pt>
                <c:pt idx="1031">
                  <c:v>1400</c:v>
                </c:pt>
                <c:pt idx="1032">
                  <c:v>1400</c:v>
                </c:pt>
                <c:pt idx="1033">
                  <c:v>1400</c:v>
                </c:pt>
                <c:pt idx="1034">
                  <c:v>1400</c:v>
                </c:pt>
                <c:pt idx="1035">
                  <c:v>1400</c:v>
                </c:pt>
                <c:pt idx="1036">
                  <c:v>1400</c:v>
                </c:pt>
                <c:pt idx="1037">
                  <c:v>1400</c:v>
                </c:pt>
                <c:pt idx="1038">
                  <c:v>1400</c:v>
                </c:pt>
                <c:pt idx="1039">
                  <c:v>1400</c:v>
                </c:pt>
                <c:pt idx="1040">
                  <c:v>1400</c:v>
                </c:pt>
                <c:pt idx="1041">
                  <c:v>1400</c:v>
                </c:pt>
                <c:pt idx="1042">
                  <c:v>1350</c:v>
                </c:pt>
                <c:pt idx="1043">
                  <c:v>1350</c:v>
                </c:pt>
                <c:pt idx="1044">
                  <c:v>1350</c:v>
                </c:pt>
                <c:pt idx="1045">
                  <c:v>1350</c:v>
                </c:pt>
                <c:pt idx="1046">
                  <c:v>1350</c:v>
                </c:pt>
                <c:pt idx="1047">
                  <c:v>1350</c:v>
                </c:pt>
                <c:pt idx="1048">
                  <c:v>1350</c:v>
                </c:pt>
                <c:pt idx="1049">
                  <c:v>1350</c:v>
                </c:pt>
                <c:pt idx="1050">
                  <c:v>1350</c:v>
                </c:pt>
                <c:pt idx="1051">
                  <c:v>1350</c:v>
                </c:pt>
                <c:pt idx="1052">
                  <c:v>1350</c:v>
                </c:pt>
                <c:pt idx="1053">
                  <c:v>1350</c:v>
                </c:pt>
                <c:pt idx="1054">
                  <c:v>1350</c:v>
                </c:pt>
                <c:pt idx="1055">
                  <c:v>1350</c:v>
                </c:pt>
                <c:pt idx="1056">
                  <c:v>1350</c:v>
                </c:pt>
                <c:pt idx="1057">
                  <c:v>1350</c:v>
                </c:pt>
                <c:pt idx="1058">
                  <c:v>1350</c:v>
                </c:pt>
                <c:pt idx="1059">
                  <c:v>1350</c:v>
                </c:pt>
                <c:pt idx="1060">
                  <c:v>1350</c:v>
                </c:pt>
                <c:pt idx="1061">
                  <c:v>1350</c:v>
                </c:pt>
                <c:pt idx="1062">
                  <c:v>1350</c:v>
                </c:pt>
                <c:pt idx="1063">
                  <c:v>1350</c:v>
                </c:pt>
                <c:pt idx="1064">
                  <c:v>1350</c:v>
                </c:pt>
                <c:pt idx="1065">
                  <c:v>1350</c:v>
                </c:pt>
                <c:pt idx="1066">
                  <c:v>1350</c:v>
                </c:pt>
                <c:pt idx="1067">
                  <c:v>1350</c:v>
                </c:pt>
                <c:pt idx="1068">
                  <c:v>1350</c:v>
                </c:pt>
                <c:pt idx="1069">
                  <c:v>1350</c:v>
                </c:pt>
                <c:pt idx="1070">
                  <c:v>1350</c:v>
                </c:pt>
                <c:pt idx="1071">
                  <c:v>1350</c:v>
                </c:pt>
                <c:pt idx="1072">
                  <c:v>1350</c:v>
                </c:pt>
                <c:pt idx="1073">
                  <c:v>1350</c:v>
                </c:pt>
                <c:pt idx="1074">
                  <c:v>1350</c:v>
                </c:pt>
                <c:pt idx="1075">
                  <c:v>1350</c:v>
                </c:pt>
                <c:pt idx="1076">
                  <c:v>1350</c:v>
                </c:pt>
                <c:pt idx="1077">
                  <c:v>1350</c:v>
                </c:pt>
                <c:pt idx="1078">
                  <c:v>1350</c:v>
                </c:pt>
                <c:pt idx="1079">
                  <c:v>1350</c:v>
                </c:pt>
                <c:pt idx="1080">
                  <c:v>1350</c:v>
                </c:pt>
                <c:pt idx="1081">
                  <c:v>1350</c:v>
                </c:pt>
                <c:pt idx="1082">
                  <c:v>1350</c:v>
                </c:pt>
                <c:pt idx="1083">
                  <c:v>1350</c:v>
                </c:pt>
                <c:pt idx="1084">
                  <c:v>1350</c:v>
                </c:pt>
                <c:pt idx="1085">
                  <c:v>1350</c:v>
                </c:pt>
                <c:pt idx="1086">
                  <c:v>1350</c:v>
                </c:pt>
                <c:pt idx="1087">
                  <c:v>1350</c:v>
                </c:pt>
                <c:pt idx="1088">
                  <c:v>1350</c:v>
                </c:pt>
                <c:pt idx="1089">
                  <c:v>1350</c:v>
                </c:pt>
                <c:pt idx="1090">
                  <c:v>1350</c:v>
                </c:pt>
                <c:pt idx="1091">
                  <c:v>1350</c:v>
                </c:pt>
                <c:pt idx="1092">
                  <c:v>1350</c:v>
                </c:pt>
                <c:pt idx="1093">
                  <c:v>1350</c:v>
                </c:pt>
                <c:pt idx="1094">
                  <c:v>1350</c:v>
                </c:pt>
                <c:pt idx="1095">
                  <c:v>1350</c:v>
                </c:pt>
                <c:pt idx="1096">
                  <c:v>1350</c:v>
                </c:pt>
                <c:pt idx="1097">
                  <c:v>1350</c:v>
                </c:pt>
                <c:pt idx="1098">
                  <c:v>1350</c:v>
                </c:pt>
                <c:pt idx="1099">
                  <c:v>1350</c:v>
                </c:pt>
                <c:pt idx="1100">
                  <c:v>1350</c:v>
                </c:pt>
                <c:pt idx="1101">
                  <c:v>1350</c:v>
                </c:pt>
                <c:pt idx="1102">
                  <c:v>1350</c:v>
                </c:pt>
                <c:pt idx="1103">
                  <c:v>1350</c:v>
                </c:pt>
                <c:pt idx="1104">
                  <c:v>1350</c:v>
                </c:pt>
                <c:pt idx="1105">
                  <c:v>1350</c:v>
                </c:pt>
                <c:pt idx="1106">
                  <c:v>1350</c:v>
                </c:pt>
                <c:pt idx="1107">
                  <c:v>1350</c:v>
                </c:pt>
                <c:pt idx="1108">
                  <c:v>1350</c:v>
                </c:pt>
                <c:pt idx="1109">
                  <c:v>1350</c:v>
                </c:pt>
                <c:pt idx="1110">
                  <c:v>1350</c:v>
                </c:pt>
                <c:pt idx="1111">
                  <c:v>1350</c:v>
                </c:pt>
                <c:pt idx="1112">
                  <c:v>1350</c:v>
                </c:pt>
                <c:pt idx="1113">
                  <c:v>1350</c:v>
                </c:pt>
                <c:pt idx="1114">
                  <c:v>1350</c:v>
                </c:pt>
                <c:pt idx="1115">
                  <c:v>1350</c:v>
                </c:pt>
                <c:pt idx="1116">
                  <c:v>1350</c:v>
                </c:pt>
                <c:pt idx="1117">
                  <c:v>1350</c:v>
                </c:pt>
                <c:pt idx="1118">
                  <c:v>1350</c:v>
                </c:pt>
                <c:pt idx="1119">
                  <c:v>1350</c:v>
                </c:pt>
                <c:pt idx="1120">
                  <c:v>1350</c:v>
                </c:pt>
                <c:pt idx="1121">
                  <c:v>1350</c:v>
                </c:pt>
                <c:pt idx="1122">
                  <c:v>1350</c:v>
                </c:pt>
                <c:pt idx="1123">
                  <c:v>1350</c:v>
                </c:pt>
                <c:pt idx="1124">
                  <c:v>1350</c:v>
                </c:pt>
                <c:pt idx="1125">
                  <c:v>1350</c:v>
                </c:pt>
                <c:pt idx="1126">
                  <c:v>1350</c:v>
                </c:pt>
                <c:pt idx="1127">
                  <c:v>1350</c:v>
                </c:pt>
                <c:pt idx="1128">
                  <c:v>1350</c:v>
                </c:pt>
                <c:pt idx="1129">
                  <c:v>1350</c:v>
                </c:pt>
                <c:pt idx="1130">
                  <c:v>1350</c:v>
                </c:pt>
                <c:pt idx="1131">
                  <c:v>1350</c:v>
                </c:pt>
                <c:pt idx="1132">
                  <c:v>1350</c:v>
                </c:pt>
                <c:pt idx="1133">
                  <c:v>1350</c:v>
                </c:pt>
                <c:pt idx="1134">
                  <c:v>1350</c:v>
                </c:pt>
                <c:pt idx="1135">
                  <c:v>1350</c:v>
                </c:pt>
                <c:pt idx="1136">
                  <c:v>1350</c:v>
                </c:pt>
                <c:pt idx="1137">
                  <c:v>1350</c:v>
                </c:pt>
                <c:pt idx="1138">
                  <c:v>1350</c:v>
                </c:pt>
                <c:pt idx="1139">
                  <c:v>1350</c:v>
                </c:pt>
                <c:pt idx="1140">
                  <c:v>1350</c:v>
                </c:pt>
                <c:pt idx="1141">
                  <c:v>1350</c:v>
                </c:pt>
                <c:pt idx="1142">
                  <c:v>1350</c:v>
                </c:pt>
                <c:pt idx="1143">
                  <c:v>1350</c:v>
                </c:pt>
                <c:pt idx="1144">
                  <c:v>1350</c:v>
                </c:pt>
                <c:pt idx="1145">
                  <c:v>1350</c:v>
                </c:pt>
                <c:pt idx="1146">
                  <c:v>1350</c:v>
                </c:pt>
                <c:pt idx="1147">
                  <c:v>1350</c:v>
                </c:pt>
                <c:pt idx="1148">
                  <c:v>1350</c:v>
                </c:pt>
                <c:pt idx="1149">
                  <c:v>1350</c:v>
                </c:pt>
                <c:pt idx="1150">
                  <c:v>1350</c:v>
                </c:pt>
                <c:pt idx="1151">
                  <c:v>1350</c:v>
                </c:pt>
                <c:pt idx="1152">
                  <c:v>1350</c:v>
                </c:pt>
                <c:pt idx="1153">
                  <c:v>1350</c:v>
                </c:pt>
                <c:pt idx="1154">
                  <c:v>1350</c:v>
                </c:pt>
                <c:pt idx="1155">
                  <c:v>1350</c:v>
                </c:pt>
                <c:pt idx="1156">
                  <c:v>1350</c:v>
                </c:pt>
                <c:pt idx="1157">
                  <c:v>1350</c:v>
                </c:pt>
                <c:pt idx="1158">
                  <c:v>1350</c:v>
                </c:pt>
                <c:pt idx="1159">
                  <c:v>1350</c:v>
                </c:pt>
                <c:pt idx="1160">
                  <c:v>1350</c:v>
                </c:pt>
                <c:pt idx="1161">
                  <c:v>1350</c:v>
                </c:pt>
                <c:pt idx="1162">
                  <c:v>1350</c:v>
                </c:pt>
                <c:pt idx="1163">
                  <c:v>1350</c:v>
                </c:pt>
                <c:pt idx="1164">
                  <c:v>1350</c:v>
                </c:pt>
                <c:pt idx="1165">
                  <c:v>1350</c:v>
                </c:pt>
                <c:pt idx="1166">
                  <c:v>1350</c:v>
                </c:pt>
                <c:pt idx="1167">
                  <c:v>1350</c:v>
                </c:pt>
                <c:pt idx="1168">
                  <c:v>1350</c:v>
                </c:pt>
                <c:pt idx="1169">
                  <c:v>1350</c:v>
                </c:pt>
                <c:pt idx="1170">
                  <c:v>1350</c:v>
                </c:pt>
                <c:pt idx="1171">
                  <c:v>1350</c:v>
                </c:pt>
                <c:pt idx="1172">
                  <c:v>1350</c:v>
                </c:pt>
                <c:pt idx="1173">
                  <c:v>1350</c:v>
                </c:pt>
                <c:pt idx="1174">
                  <c:v>1350</c:v>
                </c:pt>
                <c:pt idx="1175">
                  <c:v>1350</c:v>
                </c:pt>
                <c:pt idx="1176">
                  <c:v>1350</c:v>
                </c:pt>
                <c:pt idx="1177">
                  <c:v>1350</c:v>
                </c:pt>
                <c:pt idx="1178">
                  <c:v>1350</c:v>
                </c:pt>
                <c:pt idx="1179">
                  <c:v>1350</c:v>
                </c:pt>
                <c:pt idx="1180">
                  <c:v>1350</c:v>
                </c:pt>
                <c:pt idx="1181">
                  <c:v>1350</c:v>
                </c:pt>
                <c:pt idx="1182">
                  <c:v>1350</c:v>
                </c:pt>
                <c:pt idx="1183">
                  <c:v>1350</c:v>
                </c:pt>
                <c:pt idx="1184">
                  <c:v>1350</c:v>
                </c:pt>
                <c:pt idx="1185">
                  <c:v>1350</c:v>
                </c:pt>
                <c:pt idx="1186">
                  <c:v>1350</c:v>
                </c:pt>
                <c:pt idx="1187">
                  <c:v>1350</c:v>
                </c:pt>
                <c:pt idx="1188">
                  <c:v>1350</c:v>
                </c:pt>
                <c:pt idx="1189">
                  <c:v>1350</c:v>
                </c:pt>
                <c:pt idx="1190">
                  <c:v>1350</c:v>
                </c:pt>
                <c:pt idx="1191">
                  <c:v>1350</c:v>
                </c:pt>
                <c:pt idx="1192">
                  <c:v>1350</c:v>
                </c:pt>
                <c:pt idx="1193">
                  <c:v>1350</c:v>
                </c:pt>
                <c:pt idx="1194">
                  <c:v>1350</c:v>
                </c:pt>
                <c:pt idx="1195">
                  <c:v>1350</c:v>
                </c:pt>
                <c:pt idx="1196">
                  <c:v>1350</c:v>
                </c:pt>
                <c:pt idx="1197">
                  <c:v>1350</c:v>
                </c:pt>
                <c:pt idx="1198">
                  <c:v>1350</c:v>
                </c:pt>
                <c:pt idx="1199">
                  <c:v>1350</c:v>
                </c:pt>
                <c:pt idx="1200">
                  <c:v>1350</c:v>
                </c:pt>
                <c:pt idx="1201">
                  <c:v>1350</c:v>
                </c:pt>
                <c:pt idx="1202">
                  <c:v>1350</c:v>
                </c:pt>
                <c:pt idx="1203">
                  <c:v>1350</c:v>
                </c:pt>
                <c:pt idx="1204">
                  <c:v>1350</c:v>
                </c:pt>
                <c:pt idx="1205">
                  <c:v>1350</c:v>
                </c:pt>
                <c:pt idx="1206">
                  <c:v>1350</c:v>
                </c:pt>
                <c:pt idx="1207">
                  <c:v>1350</c:v>
                </c:pt>
                <c:pt idx="1208">
                  <c:v>1350</c:v>
                </c:pt>
                <c:pt idx="1209">
                  <c:v>1350</c:v>
                </c:pt>
                <c:pt idx="1210">
                  <c:v>1350</c:v>
                </c:pt>
                <c:pt idx="1211">
                  <c:v>1350</c:v>
                </c:pt>
                <c:pt idx="1212">
                  <c:v>1350</c:v>
                </c:pt>
                <c:pt idx="1213">
                  <c:v>1350</c:v>
                </c:pt>
                <c:pt idx="1214">
                  <c:v>1350</c:v>
                </c:pt>
                <c:pt idx="1215">
                  <c:v>1350</c:v>
                </c:pt>
                <c:pt idx="1216">
                  <c:v>1350</c:v>
                </c:pt>
                <c:pt idx="1217">
                  <c:v>1350</c:v>
                </c:pt>
                <c:pt idx="1218">
                  <c:v>1350</c:v>
                </c:pt>
                <c:pt idx="1219">
                  <c:v>1350</c:v>
                </c:pt>
                <c:pt idx="1220">
                  <c:v>1350</c:v>
                </c:pt>
                <c:pt idx="1221">
                  <c:v>1350</c:v>
                </c:pt>
                <c:pt idx="1222">
                  <c:v>1350</c:v>
                </c:pt>
                <c:pt idx="1223">
                  <c:v>1350</c:v>
                </c:pt>
                <c:pt idx="1224">
                  <c:v>1350</c:v>
                </c:pt>
                <c:pt idx="1225">
                  <c:v>1350</c:v>
                </c:pt>
                <c:pt idx="1226">
                  <c:v>1350</c:v>
                </c:pt>
                <c:pt idx="1227">
                  <c:v>1350</c:v>
                </c:pt>
                <c:pt idx="1228">
                  <c:v>1350</c:v>
                </c:pt>
                <c:pt idx="1229">
                  <c:v>1350</c:v>
                </c:pt>
                <c:pt idx="1230">
                  <c:v>1350</c:v>
                </c:pt>
                <c:pt idx="1231">
                  <c:v>1350</c:v>
                </c:pt>
                <c:pt idx="1232">
                  <c:v>1350</c:v>
                </c:pt>
                <c:pt idx="1233">
                  <c:v>1350</c:v>
                </c:pt>
                <c:pt idx="1234">
                  <c:v>1350</c:v>
                </c:pt>
                <c:pt idx="1235">
                  <c:v>1350</c:v>
                </c:pt>
                <c:pt idx="1236">
                  <c:v>1350</c:v>
                </c:pt>
                <c:pt idx="1237">
                  <c:v>1350</c:v>
                </c:pt>
                <c:pt idx="1238">
                  <c:v>1350</c:v>
                </c:pt>
                <c:pt idx="1239">
                  <c:v>1350</c:v>
                </c:pt>
                <c:pt idx="1240">
                  <c:v>1350</c:v>
                </c:pt>
                <c:pt idx="1241">
                  <c:v>1350</c:v>
                </c:pt>
                <c:pt idx="1242">
                  <c:v>1350</c:v>
                </c:pt>
                <c:pt idx="1243">
                  <c:v>1350</c:v>
                </c:pt>
                <c:pt idx="1244">
                  <c:v>1350</c:v>
                </c:pt>
                <c:pt idx="1245">
                  <c:v>1350</c:v>
                </c:pt>
                <c:pt idx="1246">
                  <c:v>1350</c:v>
                </c:pt>
                <c:pt idx="1247">
                  <c:v>1350</c:v>
                </c:pt>
                <c:pt idx="1248">
                  <c:v>1350</c:v>
                </c:pt>
                <c:pt idx="1249">
                  <c:v>1350</c:v>
                </c:pt>
                <c:pt idx="1250">
                  <c:v>1350</c:v>
                </c:pt>
                <c:pt idx="1251">
                  <c:v>1350</c:v>
                </c:pt>
                <c:pt idx="1252">
                  <c:v>1350</c:v>
                </c:pt>
                <c:pt idx="1253">
                  <c:v>1350</c:v>
                </c:pt>
                <c:pt idx="1254">
                  <c:v>1350</c:v>
                </c:pt>
                <c:pt idx="1255">
                  <c:v>1350</c:v>
                </c:pt>
                <c:pt idx="1256">
                  <c:v>1350</c:v>
                </c:pt>
                <c:pt idx="1257">
                  <c:v>1350</c:v>
                </c:pt>
                <c:pt idx="1258">
                  <c:v>1350</c:v>
                </c:pt>
                <c:pt idx="1259">
                  <c:v>1350</c:v>
                </c:pt>
                <c:pt idx="1260">
                  <c:v>1350</c:v>
                </c:pt>
                <c:pt idx="1261">
                  <c:v>1350</c:v>
                </c:pt>
                <c:pt idx="1262">
                  <c:v>1350</c:v>
                </c:pt>
                <c:pt idx="1263">
                  <c:v>1350</c:v>
                </c:pt>
                <c:pt idx="1264">
                  <c:v>1350</c:v>
                </c:pt>
                <c:pt idx="1265">
                  <c:v>1350</c:v>
                </c:pt>
                <c:pt idx="1266">
                  <c:v>1350</c:v>
                </c:pt>
                <c:pt idx="1267">
                  <c:v>1350</c:v>
                </c:pt>
                <c:pt idx="1268">
                  <c:v>1350</c:v>
                </c:pt>
                <c:pt idx="1269">
                  <c:v>1350</c:v>
                </c:pt>
                <c:pt idx="1270">
                  <c:v>1350</c:v>
                </c:pt>
                <c:pt idx="1271">
                  <c:v>1350</c:v>
                </c:pt>
                <c:pt idx="1272">
                  <c:v>1350</c:v>
                </c:pt>
                <c:pt idx="1273">
                  <c:v>1350</c:v>
                </c:pt>
                <c:pt idx="1274">
                  <c:v>1350</c:v>
                </c:pt>
                <c:pt idx="1275">
                  <c:v>1350</c:v>
                </c:pt>
                <c:pt idx="1276">
                  <c:v>1350</c:v>
                </c:pt>
                <c:pt idx="1277">
                  <c:v>1350</c:v>
                </c:pt>
                <c:pt idx="1278">
                  <c:v>1350</c:v>
                </c:pt>
                <c:pt idx="1279">
                  <c:v>1350</c:v>
                </c:pt>
                <c:pt idx="1280">
                  <c:v>1350</c:v>
                </c:pt>
                <c:pt idx="1281">
                  <c:v>1350</c:v>
                </c:pt>
                <c:pt idx="1282">
                  <c:v>1350</c:v>
                </c:pt>
                <c:pt idx="1283">
                  <c:v>1350</c:v>
                </c:pt>
                <c:pt idx="1284">
                  <c:v>1350</c:v>
                </c:pt>
                <c:pt idx="1285">
                  <c:v>1350</c:v>
                </c:pt>
                <c:pt idx="1286">
                  <c:v>1350</c:v>
                </c:pt>
                <c:pt idx="1287">
                  <c:v>1350</c:v>
                </c:pt>
                <c:pt idx="1288">
                  <c:v>1350</c:v>
                </c:pt>
                <c:pt idx="1289">
                  <c:v>1350</c:v>
                </c:pt>
                <c:pt idx="1290">
                  <c:v>1350</c:v>
                </c:pt>
                <c:pt idx="1291">
                  <c:v>1350</c:v>
                </c:pt>
                <c:pt idx="1292">
                  <c:v>1350</c:v>
                </c:pt>
                <c:pt idx="1293">
                  <c:v>1350</c:v>
                </c:pt>
                <c:pt idx="1294">
                  <c:v>1350</c:v>
                </c:pt>
                <c:pt idx="1295">
                  <c:v>1350</c:v>
                </c:pt>
                <c:pt idx="1296">
                  <c:v>1350</c:v>
                </c:pt>
                <c:pt idx="1297">
                  <c:v>1350</c:v>
                </c:pt>
                <c:pt idx="1298">
                  <c:v>1350</c:v>
                </c:pt>
                <c:pt idx="1299">
                  <c:v>1350</c:v>
                </c:pt>
                <c:pt idx="1300">
                  <c:v>1350</c:v>
                </c:pt>
                <c:pt idx="1301">
                  <c:v>1350</c:v>
                </c:pt>
                <c:pt idx="1302">
                  <c:v>1350</c:v>
                </c:pt>
                <c:pt idx="1303">
                  <c:v>1350</c:v>
                </c:pt>
                <c:pt idx="1304">
                  <c:v>1350</c:v>
                </c:pt>
                <c:pt idx="1305">
                  <c:v>1350</c:v>
                </c:pt>
                <c:pt idx="1306">
                  <c:v>1350</c:v>
                </c:pt>
                <c:pt idx="1307">
                  <c:v>1350</c:v>
                </c:pt>
                <c:pt idx="1308">
                  <c:v>1290</c:v>
                </c:pt>
                <c:pt idx="1309">
                  <c:v>1290</c:v>
                </c:pt>
                <c:pt idx="1310">
                  <c:v>1290</c:v>
                </c:pt>
                <c:pt idx="1311">
                  <c:v>1290</c:v>
                </c:pt>
                <c:pt idx="1312">
                  <c:v>1290</c:v>
                </c:pt>
                <c:pt idx="1313">
                  <c:v>1290</c:v>
                </c:pt>
                <c:pt idx="1314">
                  <c:v>1290</c:v>
                </c:pt>
                <c:pt idx="1315">
                  <c:v>1290</c:v>
                </c:pt>
                <c:pt idx="1316">
                  <c:v>1290</c:v>
                </c:pt>
                <c:pt idx="1317">
                  <c:v>1290</c:v>
                </c:pt>
                <c:pt idx="1318">
                  <c:v>1290</c:v>
                </c:pt>
                <c:pt idx="1319">
                  <c:v>1290</c:v>
                </c:pt>
                <c:pt idx="1320">
                  <c:v>1290</c:v>
                </c:pt>
                <c:pt idx="1321">
                  <c:v>1290</c:v>
                </c:pt>
                <c:pt idx="1322">
                  <c:v>1290</c:v>
                </c:pt>
                <c:pt idx="1323">
                  <c:v>1290</c:v>
                </c:pt>
                <c:pt idx="1324">
                  <c:v>1290</c:v>
                </c:pt>
                <c:pt idx="1325">
                  <c:v>1290</c:v>
                </c:pt>
                <c:pt idx="1326">
                  <c:v>1290</c:v>
                </c:pt>
                <c:pt idx="1327">
                  <c:v>1315</c:v>
                </c:pt>
                <c:pt idx="1328">
                  <c:v>1315</c:v>
                </c:pt>
                <c:pt idx="1329">
                  <c:v>1315</c:v>
                </c:pt>
                <c:pt idx="1330">
                  <c:v>1315</c:v>
                </c:pt>
                <c:pt idx="1331">
                  <c:v>1315</c:v>
                </c:pt>
                <c:pt idx="1332">
                  <c:v>1315</c:v>
                </c:pt>
                <c:pt idx="1333">
                  <c:v>1315</c:v>
                </c:pt>
                <c:pt idx="1334">
                  <c:v>1315</c:v>
                </c:pt>
                <c:pt idx="1335">
                  <c:v>1315</c:v>
                </c:pt>
                <c:pt idx="1336">
                  <c:v>1315</c:v>
                </c:pt>
                <c:pt idx="1337">
                  <c:v>1315</c:v>
                </c:pt>
                <c:pt idx="1338">
                  <c:v>1315</c:v>
                </c:pt>
                <c:pt idx="1339">
                  <c:v>1315</c:v>
                </c:pt>
                <c:pt idx="1340">
                  <c:v>1315</c:v>
                </c:pt>
                <c:pt idx="1341">
                  <c:v>1315</c:v>
                </c:pt>
                <c:pt idx="1342">
                  <c:v>1325</c:v>
                </c:pt>
                <c:pt idx="1343">
                  <c:v>1325</c:v>
                </c:pt>
                <c:pt idx="1344">
                  <c:v>1325</c:v>
                </c:pt>
                <c:pt idx="1345">
                  <c:v>1325</c:v>
                </c:pt>
                <c:pt idx="1346">
                  <c:v>1325</c:v>
                </c:pt>
                <c:pt idx="1347">
                  <c:v>1325</c:v>
                </c:pt>
                <c:pt idx="1348">
                  <c:v>1325</c:v>
                </c:pt>
                <c:pt idx="1349">
                  <c:v>1325</c:v>
                </c:pt>
                <c:pt idx="1350">
                  <c:v>1325</c:v>
                </c:pt>
                <c:pt idx="1351">
                  <c:v>1425</c:v>
                </c:pt>
                <c:pt idx="1352">
                  <c:v>1425</c:v>
                </c:pt>
                <c:pt idx="1353">
                  <c:v>1425</c:v>
                </c:pt>
                <c:pt idx="1354">
                  <c:v>1425</c:v>
                </c:pt>
                <c:pt idx="1355">
                  <c:v>1425</c:v>
                </c:pt>
                <c:pt idx="1356">
                  <c:v>1425</c:v>
                </c:pt>
                <c:pt idx="1357">
                  <c:v>1425</c:v>
                </c:pt>
                <c:pt idx="1358">
                  <c:v>1425</c:v>
                </c:pt>
                <c:pt idx="1359">
                  <c:v>1425</c:v>
                </c:pt>
                <c:pt idx="1360">
                  <c:v>1425</c:v>
                </c:pt>
                <c:pt idx="1361">
                  <c:v>1425</c:v>
                </c:pt>
                <c:pt idx="1362">
                  <c:v>1450</c:v>
                </c:pt>
                <c:pt idx="1363">
                  <c:v>1500</c:v>
                </c:pt>
                <c:pt idx="1364">
                  <c:v>1500</c:v>
                </c:pt>
                <c:pt idx="1365">
                  <c:v>1500</c:v>
                </c:pt>
                <c:pt idx="1366">
                  <c:v>1500</c:v>
                </c:pt>
                <c:pt idx="1367">
                  <c:v>1500</c:v>
                </c:pt>
                <c:pt idx="1368">
                  <c:v>1500</c:v>
                </c:pt>
                <c:pt idx="1369">
                  <c:v>1500</c:v>
                </c:pt>
                <c:pt idx="1370">
                  <c:v>1500</c:v>
                </c:pt>
                <c:pt idx="1371">
                  <c:v>1500</c:v>
                </c:pt>
                <c:pt idx="1372">
                  <c:v>1500</c:v>
                </c:pt>
                <c:pt idx="1373">
                  <c:v>1500</c:v>
                </c:pt>
                <c:pt idx="1374">
                  <c:v>1500</c:v>
                </c:pt>
                <c:pt idx="1375">
                  <c:v>1500</c:v>
                </c:pt>
                <c:pt idx="1376">
                  <c:v>1500</c:v>
                </c:pt>
                <c:pt idx="1377">
                  <c:v>1500</c:v>
                </c:pt>
                <c:pt idx="1378">
                  <c:v>1500</c:v>
                </c:pt>
                <c:pt idx="1379">
                  <c:v>1525</c:v>
                </c:pt>
                <c:pt idx="1380">
                  <c:v>1525</c:v>
                </c:pt>
                <c:pt idx="1381">
                  <c:v>1525</c:v>
                </c:pt>
                <c:pt idx="1382">
                  <c:v>1525</c:v>
                </c:pt>
                <c:pt idx="1383">
                  <c:v>1525</c:v>
                </c:pt>
                <c:pt idx="1384">
                  <c:v>1525</c:v>
                </c:pt>
                <c:pt idx="1385">
                  <c:v>1525</c:v>
                </c:pt>
                <c:pt idx="1386">
                  <c:v>1525</c:v>
                </c:pt>
                <c:pt idx="1387">
                  <c:v>1525</c:v>
                </c:pt>
                <c:pt idx="1388">
                  <c:v>1525</c:v>
                </c:pt>
                <c:pt idx="1389">
                  <c:v>1525</c:v>
                </c:pt>
                <c:pt idx="1390">
                  <c:v>1525</c:v>
                </c:pt>
                <c:pt idx="1391">
                  <c:v>1525</c:v>
                </c:pt>
                <c:pt idx="1392">
                  <c:v>1525</c:v>
                </c:pt>
                <c:pt idx="1393">
                  <c:v>1525</c:v>
                </c:pt>
                <c:pt idx="1394">
                  <c:v>1525</c:v>
                </c:pt>
                <c:pt idx="1395">
                  <c:v>1525</c:v>
                </c:pt>
                <c:pt idx="1396">
                  <c:v>1525</c:v>
                </c:pt>
                <c:pt idx="1397">
                  <c:v>1525</c:v>
                </c:pt>
                <c:pt idx="1398">
                  <c:v>1525</c:v>
                </c:pt>
                <c:pt idx="1399">
                  <c:v>1525</c:v>
                </c:pt>
                <c:pt idx="1400">
                  <c:v>1575</c:v>
                </c:pt>
                <c:pt idx="1401">
                  <c:v>1575</c:v>
                </c:pt>
                <c:pt idx="1402">
                  <c:v>1575</c:v>
                </c:pt>
                <c:pt idx="1403">
                  <c:v>1575</c:v>
                </c:pt>
                <c:pt idx="1404">
                  <c:v>1575</c:v>
                </c:pt>
                <c:pt idx="1405">
                  <c:v>1575</c:v>
                </c:pt>
                <c:pt idx="1406">
                  <c:v>1575</c:v>
                </c:pt>
                <c:pt idx="1407">
                  <c:v>1575</c:v>
                </c:pt>
                <c:pt idx="1408">
                  <c:v>1575</c:v>
                </c:pt>
                <c:pt idx="1409">
                  <c:v>1575</c:v>
                </c:pt>
                <c:pt idx="1410">
                  <c:v>1575</c:v>
                </c:pt>
                <c:pt idx="1411">
                  <c:v>1575</c:v>
                </c:pt>
                <c:pt idx="1412">
                  <c:v>1575</c:v>
                </c:pt>
                <c:pt idx="1413">
                  <c:v>1575</c:v>
                </c:pt>
                <c:pt idx="1414">
                  <c:v>1575</c:v>
                </c:pt>
                <c:pt idx="1415">
                  <c:v>1575</c:v>
                </c:pt>
                <c:pt idx="1416">
                  <c:v>1575</c:v>
                </c:pt>
                <c:pt idx="1417">
                  <c:v>1575</c:v>
                </c:pt>
                <c:pt idx="1418">
                  <c:v>1575</c:v>
                </c:pt>
                <c:pt idx="1419">
                  <c:v>1575</c:v>
                </c:pt>
                <c:pt idx="1420">
                  <c:v>1575</c:v>
                </c:pt>
                <c:pt idx="1421">
                  <c:v>1575</c:v>
                </c:pt>
                <c:pt idx="1422">
                  <c:v>1575</c:v>
                </c:pt>
                <c:pt idx="1423">
                  <c:v>1575</c:v>
                </c:pt>
                <c:pt idx="1424">
                  <c:v>1575</c:v>
                </c:pt>
                <c:pt idx="1425">
                  <c:v>1575</c:v>
                </c:pt>
                <c:pt idx="1426">
                  <c:v>1575</c:v>
                </c:pt>
                <c:pt idx="1427">
                  <c:v>1575</c:v>
                </c:pt>
                <c:pt idx="1428">
                  <c:v>1575</c:v>
                </c:pt>
                <c:pt idx="1429">
                  <c:v>1575</c:v>
                </c:pt>
                <c:pt idx="1430">
                  <c:v>1575</c:v>
                </c:pt>
                <c:pt idx="1431">
                  <c:v>1575</c:v>
                </c:pt>
                <c:pt idx="1432">
                  <c:v>1575</c:v>
                </c:pt>
                <c:pt idx="1433">
                  <c:v>1600</c:v>
                </c:pt>
                <c:pt idx="1434">
                  <c:v>1600</c:v>
                </c:pt>
                <c:pt idx="1435">
                  <c:v>1600</c:v>
                </c:pt>
                <c:pt idx="1436">
                  <c:v>1600</c:v>
                </c:pt>
                <c:pt idx="1437">
                  <c:v>1600</c:v>
                </c:pt>
                <c:pt idx="1438">
                  <c:v>1600</c:v>
                </c:pt>
                <c:pt idx="1439">
                  <c:v>1600</c:v>
                </c:pt>
                <c:pt idx="1440">
                  <c:v>1600</c:v>
                </c:pt>
                <c:pt idx="1441">
                  <c:v>1600</c:v>
                </c:pt>
                <c:pt idx="1442">
                  <c:v>1600</c:v>
                </c:pt>
                <c:pt idx="1443">
                  <c:v>1600</c:v>
                </c:pt>
                <c:pt idx="1444">
                  <c:v>1600</c:v>
                </c:pt>
                <c:pt idx="1445">
                  <c:v>1600</c:v>
                </c:pt>
                <c:pt idx="1446">
                  <c:v>1600</c:v>
                </c:pt>
                <c:pt idx="1447">
                  <c:v>1600</c:v>
                </c:pt>
                <c:pt idx="1448">
                  <c:v>1600</c:v>
                </c:pt>
                <c:pt idx="1449">
                  <c:v>1600</c:v>
                </c:pt>
                <c:pt idx="1450">
                  <c:v>1600</c:v>
                </c:pt>
                <c:pt idx="1451">
                  <c:v>1600</c:v>
                </c:pt>
                <c:pt idx="1452">
                  <c:v>1600</c:v>
                </c:pt>
                <c:pt idx="1453">
                  <c:v>1600</c:v>
                </c:pt>
                <c:pt idx="1454">
                  <c:v>1600</c:v>
                </c:pt>
                <c:pt idx="1455">
                  <c:v>1600</c:v>
                </c:pt>
                <c:pt idx="1456">
                  <c:v>1600</c:v>
                </c:pt>
                <c:pt idx="1457">
                  <c:v>1600</c:v>
                </c:pt>
                <c:pt idx="1458">
                  <c:v>1600</c:v>
                </c:pt>
                <c:pt idx="1459">
                  <c:v>1600</c:v>
                </c:pt>
                <c:pt idx="1460">
                  <c:v>1600</c:v>
                </c:pt>
                <c:pt idx="1461">
                  <c:v>1600</c:v>
                </c:pt>
                <c:pt idx="1462">
                  <c:v>1600</c:v>
                </c:pt>
                <c:pt idx="1463">
                  <c:v>1600</c:v>
                </c:pt>
                <c:pt idx="1464">
                  <c:v>1600</c:v>
                </c:pt>
                <c:pt idx="1465">
                  <c:v>1600</c:v>
                </c:pt>
                <c:pt idx="1466">
                  <c:v>1600</c:v>
                </c:pt>
                <c:pt idx="1467">
                  <c:v>1600</c:v>
                </c:pt>
                <c:pt idx="1468">
                  <c:v>1600</c:v>
                </c:pt>
                <c:pt idx="1469">
                  <c:v>1600</c:v>
                </c:pt>
                <c:pt idx="1470">
                  <c:v>1600</c:v>
                </c:pt>
                <c:pt idx="1471">
                  <c:v>1600</c:v>
                </c:pt>
                <c:pt idx="1472">
                  <c:v>1600</c:v>
                </c:pt>
                <c:pt idx="1473">
                  <c:v>1600</c:v>
                </c:pt>
                <c:pt idx="1474">
                  <c:v>1600</c:v>
                </c:pt>
                <c:pt idx="1475">
                  <c:v>1600</c:v>
                </c:pt>
                <c:pt idx="1476">
                  <c:v>1600</c:v>
                </c:pt>
                <c:pt idx="1477">
                  <c:v>1600</c:v>
                </c:pt>
                <c:pt idx="1478">
                  <c:v>1600</c:v>
                </c:pt>
                <c:pt idx="1479">
                  <c:v>1600</c:v>
                </c:pt>
                <c:pt idx="1480">
                  <c:v>1600</c:v>
                </c:pt>
                <c:pt idx="1481">
                  <c:v>1600</c:v>
                </c:pt>
                <c:pt idx="1482">
                  <c:v>1600</c:v>
                </c:pt>
                <c:pt idx="1483">
                  <c:v>1600</c:v>
                </c:pt>
                <c:pt idx="1484">
                  <c:v>1600</c:v>
                </c:pt>
                <c:pt idx="1485">
                  <c:v>1600</c:v>
                </c:pt>
                <c:pt idx="1486">
                  <c:v>1600</c:v>
                </c:pt>
                <c:pt idx="1487">
                  <c:v>1600</c:v>
                </c:pt>
                <c:pt idx="1488">
                  <c:v>1600</c:v>
                </c:pt>
                <c:pt idx="1489">
                  <c:v>1600</c:v>
                </c:pt>
                <c:pt idx="1490">
                  <c:v>1600</c:v>
                </c:pt>
                <c:pt idx="1491">
                  <c:v>1600</c:v>
                </c:pt>
                <c:pt idx="1492">
                  <c:v>1600</c:v>
                </c:pt>
                <c:pt idx="1493">
                  <c:v>1600</c:v>
                </c:pt>
                <c:pt idx="1494">
                  <c:v>1600</c:v>
                </c:pt>
                <c:pt idx="1495">
                  <c:v>1600</c:v>
                </c:pt>
                <c:pt idx="1496">
                  <c:v>1600</c:v>
                </c:pt>
                <c:pt idx="1497">
                  <c:v>1600</c:v>
                </c:pt>
                <c:pt idx="1498">
                  <c:v>1600</c:v>
                </c:pt>
                <c:pt idx="1499">
                  <c:v>1600</c:v>
                </c:pt>
                <c:pt idx="1500">
                  <c:v>1600</c:v>
                </c:pt>
                <c:pt idx="1501">
                  <c:v>1600</c:v>
                </c:pt>
                <c:pt idx="1502">
                  <c:v>1600</c:v>
                </c:pt>
                <c:pt idx="1503">
                  <c:v>1600</c:v>
                </c:pt>
                <c:pt idx="1504">
                  <c:v>1600</c:v>
                </c:pt>
                <c:pt idx="1505">
                  <c:v>1600</c:v>
                </c:pt>
                <c:pt idx="1506">
                  <c:v>1600</c:v>
                </c:pt>
                <c:pt idx="1507">
                  <c:v>1600</c:v>
                </c:pt>
                <c:pt idx="1508">
                  <c:v>1600</c:v>
                </c:pt>
                <c:pt idx="1509">
                  <c:v>1600</c:v>
                </c:pt>
                <c:pt idx="1510">
                  <c:v>1600</c:v>
                </c:pt>
                <c:pt idx="1511">
                  <c:v>1600</c:v>
                </c:pt>
                <c:pt idx="1512">
                  <c:v>1600</c:v>
                </c:pt>
                <c:pt idx="1513">
                  <c:v>1600</c:v>
                </c:pt>
                <c:pt idx="1514">
                  <c:v>1600</c:v>
                </c:pt>
                <c:pt idx="1515">
                  <c:v>1600</c:v>
                </c:pt>
                <c:pt idx="1516">
                  <c:v>1600</c:v>
                </c:pt>
                <c:pt idx="1517">
                  <c:v>1600</c:v>
                </c:pt>
                <c:pt idx="1518">
                  <c:v>1600</c:v>
                </c:pt>
                <c:pt idx="1519">
                  <c:v>1600</c:v>
                </c:pt>
                <c:pt idx="1520">
                  <c:v>1600</c:v>
                </c:pt>
                <c:pt idx="1521">
                  <c:v>1600</c:v>
                </c:pt>
                <c:pt idx="1522">
                  <c:v>1600</c:v>
                </c:pt>
                <c:pt idx="1523">
                  <c:v>1600</c:v>
                </c:pt>
                <c:pt idx="1524">
                  <c:v>1600</c:v>
                </c:pt>
                <c:pt idx="1525">
                  <c:v>1600</c:v>
                </c:pt>
                <c:pt idx="1526">
                  <c:v>1600</c:v>
                </c:pt>
                <c:pt idx="1527">
                  <c:v>1600</c:v>
                </c:pt>
                <c:pt idx="1528">
                  <c:v>1600</c:v>
                </c:pt>
                <c:pt idx="1529">
                  <c:v>1600</c:v>
                </c:pt>
                <c:pt idx="1530">
                  <c:v>1600</c:v>
                </c:pt>
                <c:pt idx="1531">
                  <c:v>1600</c:v>
                </c:pt>
                <c:pt idx="1532">
                  <c:v>1600</c:v>
                </c:pt>
                <c:pt idx="1533">
                  <c:v>1600</c:v>
                </c:pt>
                <c:pt idx="1534">
                  <c:v>1600</c:v>
                </c:pt>
                <c:pt idx="1535">
                  <c:v>1600</c:v>
                </c:pt>
                <c:pt idx="1536">
                  <c:v>1600</c:v>
                </c:pt>
                <c:pt idx="1537">
                  <c:v>1600</c:v>
                </c:pt>
                <c:pt idx="1538">
                  <c:v>1550</c:v>
                </c:pt>
                <c:pt idx="1539">
                  <c:v>1550</c:v>
                </c:pt>
                <c:pt idx="1540">
                  <c:v>1550</c:v>
                </c:pt>
                <c:pt idx="1541">
                  <c:v>1550</c:v>
                </c:pt>
                <c:pt idx="1542">
                  <c:v>1550</c:v>
                </c:pt>
                <c:pt idx="1543">
                  <c:v>1550</c:v>
                </c:pt>
                <c:pt idx="1544">
                  <c:v>1550</c:v>
                </c:pt>
                <c:pt idx="1545">
                  <c:v>1550</c:v>
                </c:pt>
                <c:pt idx="1546">
                  <c:v>1550</c:v>
                </c:pt>
                <c:pt idx="1547">
                  <c:v>1550</c:v>
                </c:pt>
                <c:pt idx="1548">
                  <c:v>1550</c:v>
                </c:pt>
                <c:pt idx="1549">
                  <c:v>1550</c:v>
                </c:pt>
                <c:pt idx="1550">
                  <c:v>1550</c:v>
                </c:pt>
                <c:pt idx="1551">
                  <c:v>1550</c:v>
                </c:pt>
                <c:pt idx="1552">
                  <c:v>1550</c:v>
                </c:pt>
                <c:pt idx="1553">
                  <c:v>1550</c:v>
                </c:pt>
                <c:pt idx="1554">
                  <c:v>1550</c:v>
                </c:pt>
                <c:pt idx="1555">
                  <c:v>1550</c:v>
                </c:pt>
                <c:pt idx="1556">
                  <c:v>1550</c:v>
                </c:pt>
                <c:pt idx="1557">
                  <c:v>1550</c:v>
                </c:pt>
                <c:pt idx="1558">
                  <c:v>1550</c:v>
                </c:pt>
                <c:pt idx="1559">
                  <c:v>1550</c:v>
                </c:pt>
                <c:pt idx="1560">
                  <c:v>1525</c:v>
                </c:pt>
                <c:pt idx="1561">
                  <c:v>1525</c:v>
                </c:pt>
                <c:pt idx="1562">
                  <c:v>1525</c:v>
                </c:pt>
                <c:pt idx="1563">
                  <c:v>1525</c:v>
                </c:pt>
                <c:pt idx="1564">
                  <c:v>1525</c:v>
                </c:pt>
                <c:pt idx="1565">
                  <c:v>1525</c:v>
                </c:pt>
                <c:pt idx="1566">
                  <c:v>1525</c:v>
                </c:pt>
                <c:pt idx="1567">
                  <c:v>1525</c:v>
                </c:pt>
                <c:pt idx="1568">
                  <c:v>1525</c:v>
                </c:pt>
                <c:pt idx="1569">
                  <c:v>1525</c:v>
                </c:pt>
                <c:pt idx="1570">
                  <c:v>1525</c:v>
                </c:pt>
                <c:pt idx="1571">
                  <c:v>1525</c:v>
                </c:pt>
                <c:pt idx="1572">
                  <c:v>1525</c:v>
                </c:pt>
                <c:pt idx="1573">
                  <c:v>1525</c:v>
                </c:pt>
                <c:pt idx="1574">
                  <c:v>1525</c:v>
                </c:pt>
                <c:pt idx="1575">
                  <c:v>1525</c:v>
                </c:pt>
                <c:pt idx="1576">
                  <c:v>1525</c:v>
                </c:pt>
                <c:pt idx="1577">
                  <c:v>1525</c:v>
                </c:pt>
                <c:pt idx="1578">
                  <c:v>1525</c:v>
                </c:pt>
                <c:pt idx="1579">
                  <c:v>1525</c:v>
                </c:pt>
                <c:pt idx="1580">
                  <c:v>1525</c:v>
                </c:pt>
                <c:pt idx="1581">
                  <c:v>1525</c:v>
                </c:pt>
                <c:pt idx="1582">
                  <c:v>1525</c:v>
                </c:pt>
                <c:pt idx="1583">
                  <c:v>1525</c:v>
                </c:pt>
                <c:pt idx="1584">
                  <c:v>1575</c:v>
                </c:pt>
                <c:pt idx="1585">
                  <c:v>1575</c:v>
                </c:pt>
                <c:pt idx="1586">
                  <c:v>1575</c:v>
                </c:pt>
                <c:pt idx="1587">
                  <c:v>1575</c:v>
                </c:pt>
                <c:pt idx="1588">
                  <c:v>1575</c:v>
                </c:pt>
                <c:pt idx="1589">
                  <c:v>1575</c:v>
                </c:pt>
                <c:pt idx="1590">
                  <c:v>1575</c:v>
                </c:pt>
                <c:pt idx="1591">
                  <c:v>1575</c:v>
                </c:pt>
                <c:pt idx="1592">
                  <c:v>1575</c:v>
                </c:pt>
                <c:pt idx="1593">
                  <c:v>1575</c:v>
                </c:pt>
                <c:pt idx="1594">
                  <c:v>1575</c:v>
                </c:pt>
                <c:pt idx="1595">
                  <c:v>1575</c:v>
                </c:pt>
                <c:pt idx="1596">
                  <c:v>1575</c:v>
                </c:pt>
                <c:pt idx="1597">
                  <c:v>1575</c:v>
                </c:pt>
                <c:pt idx="1598">
                  <c:v>1575</c:v>
                </c:pt>
                <c:pt idx="1599">
                  <c:v>1575</c:v>
                </c:pt>
                <c:pt idx="1600">
                  <c:v>1575</c:v>
                </c:pt>
                <c:pt idx="1601">
                  <c:v>1575</c:v>
                </c:pt>
                <c:pt idx="1602">
                  <c:v>1575</c:v>
                </c:pt>
                <c:pt idx="1603">
                  <c:v>1575</c:v>
                </c:pt>
                <c:pt idx="1604">
                  <c:v>1575</c:v>
                </c:pt>
                <c:pt idx="1605">
                  <c:v>1575</c:v>
                </c:pt>
                <c:pt idx="1606">
                  <c:v>1575</c:v>
                </c:pt>
                <c:pt idx="1607">
                  <c:v>1575</c:v>
                </c:pt>
                <c:pt idx="1608">
                  <c:v>1575</c:v>
                </c:pt>
                <c:pt idx="1609">
                  <c:v>1575</c:v>
                </c:pt>
                <c:pt idx="1610">
                  <c:v>1575</c:v>
                </c:pt>
                <c:pt idx="1611">
                  <c:v>1575</c:v>
                </c:pt>
                <c:pt idx="1612">
                  <c:v>1575</c:v>
                </c:pt>
                <c:pt idx="1613">
                  <c:v>1575</c:v>
                </c:pt>
                <c:pt idx="1614">
                  <c:v>1605</c:v>
                </c:pt>
                <c:pt idx="1615">
                  <c:v>1605</c:v>
                </c:pt>
                <c:pt idx="1616">
                  <c:v>1605</c:v>
                </c:pt>
                <c:pt idx="1617">
                  <c:v>1605</c:v>
                </c:pt>
                <c:pt idx="1618">
                  <c:v>1605</c:v>
                </c:pt>
                <c:pt idx="1619">
                  <c:v>1605</c:v>
                </c:pt>
                <c:pt idx="1620">
                  <c:v>1605</c:v>
                </c:pt>
                <c:pt idx="1621">
                  <c:v>1605</c:v>
                </c:pt>
                <c:pt idx="1622">
                  <c:v>1605</c:v>
                </c:pt>
                <c:pt idx="1623">
                  <c:v>1605</c:v>
                </c:pt>
                <c:pt idx="1624">
                  <c:v>1605</c:v>
                </c:pt>
                <c:pt idx="1625">
                  <c:v>1605</c:v>
                </c:pt>
                <c:pt idx="1626">
                  <c:v>1605</c:v>
                </c:pt>
                <c:pt idx="1627">
                  <c:v>1605</c:v>
                </c:pt>
                <c:pt idx="1628">
                  <c:v>1605</c:v>
                </c:pt>
                <c:pt idx="1629">
                  <c:v>1605</c:v>
                </c:pt>
                <c:pt idx="1630">
                  <c:v>1605</c:v>
                </c:pt>
                <c:pt idx="1631">
                  <c:v>1605</c:v>
                </c:pt>
                <c:pt idx="1632">
                  <c:v>1605</c:v>
                </c:pt>
                <c:pt idx="1633">
                  <c:v>1605</c:v>
                </c:pt>
                <c:pt idx="1634">
                  <c:v>1605</c:v>
                </c:pt>
                <c:pt idx="1635">
                  <c:v>1605</c:v>
                </c:pt>
                <c:pt idx="1636">
                  <c:v>1605</c:v>
                </c:pt>
                <c:pt idx="1637">
                  <c:v>1605</c:v>
                </c:pt>
                <c:pt idx="1638">
                  <c:v>1605</c:v>
                </c:pt>
                <c:pt idx="1639">
                  <c:v>1605</c:v>
                </c:pt>
                <c:pt idx="1640">
                  <c:v>1605</c:v>
                </c:pt>
                <c:pt idx="1641">
                  <c:v>1605</c:v>
                </c:pt>
                <c:pt idx="1642">
                  <c:v>1605</c:v>
                </c:pt>
                <c:pt idx="1643">
                  <c:v>1605</c:v>
                </c:pt>
                <c:pt idx="1644">
                  <c:v>1605</c:v>
                </c:pt>
                <c:pt idx="1645">
                  <c:v>1605</c:v>
                </c:pt>
                <c:pt idx="1646">
                  <c:v>1605</c:v>
                </c:pt>
                <c:pt idx="1647">
                  <c:v>1605</c:v>
                </c:pt>
                <c:pt idx="1648">
                  <c:v>1605</c:v>
                </c:pt>
                <c:pt idx="1649">
                  <c:v>1605</c:v>
                </c:pt>
                <c:pt idx="1650">
                  <c:v>1605</c:v>
                </c:pt>
                <c:pt idx="1651">
                  <c:v>1605</c:v>
                </c:pt>
                <c:pt idx="1652">
                  <c:v>1605</c:v>
                </c:pt>
                <c:pt idx="1653">
                  <c:v>1605</c:v>
                </c:pt>
                <c:pt idx="1654">
                  <c:v>1605</c:v>
                </c:pt>
                <c:pt idx="1655">
                  <c:v>1605</c:v>
                </c:pt>
                <c:pt idx="1656">
                  <c:v>1605</c:v>
                </c:pt>
                <c:pt idx="1657">
                  <c:v>1605</c:v>
                </c:pt>
                <c:pt idx="1658">
                  <c:v>1605</c:v>
                </c:pt>
                <c:pt idx="1659">
                  <c:v>1605</c:v>
                </c:pt>
                <c:pt idx="1660">
                  <c:v>1605</c:v>
                </c:pt>
                <c:pt idx="1661">
                  <c:v>1605</c:v>
                </c:pt>
                <c:pt idx="1662">
                  <c:v>1605</c:v>
                </c:pt>
                <c:pt idx="1663">
                  <c:v>1605</c:v>
                </c:pt>
                <c:pt idx="1664">
                  <c:v>1605</c:v>
                </c:pt>
                <c:pt idx="1665">
                  <c:v>1605</c:v>
                </c:pt>
                <c:pt idx="1666">
                  <c:v>1605</c:v>
                </c:pt>
                <c:pt idx="1667">
                  <c:v>1605</c:v>
                </c:pt>
                <c:pt idx="1668">
                  <c:v>1605</c:v>
                </c:pt>
                <c:pt idx="1669">
                  <c:v>1605</c:v>
                </c:pt>
                <c:pt idx="1670">
                  <c:v>1605</c:v>
                </c:pt>
                <c:pt idx="1671">
                  <c:v>1605</c:v>
                </c:pt>
                <c:pt idx="1672">
                  <c:v>1605</c:v>
                </c:pt>
                <c:pt idx="1673">
                  <c:v>1605</c:v>
                </c:pt>
                <c:pt idx="1674">
                  <c:v>1605</c:v>
                </c:pt>
                <c:pt idx="1675">
                  <c:v>1605</c:v>
                </c:pt>
                <c:pt idx="1676">
                  <c:v>1605</c:v>
                </c:pt>
                <c:pt idx="1677">
                  <c:v>1605</c:v>
                </c:pt>
                <c:pt idx="1678">
                  <c:v>1605</c:v>
                </c:pt>
                <c:pt idx="1679">
                  <c:v>1605</c:v>
                </c:pt>
                <c:pt idx="1680">
                  <c:v>1605</c:v>
                </c:pt>
                <c:pt idx="1681">
                  <c:v>1605</c:v>
                </c:pt>
                <c:pt idx="1682">
                  <c:v>1605</c:v>
                </c:pt>
                <c:pt idx="1683">
                  <c:v>1605</c:v>
                </c:pt>
                <c:pt idx="1684">
                  <c:v>1605</c:v>
                </c:pt>
                <c:pt idx="1685">
                  <c:v>1605</c:v>
                </c:pt>
                <c:pt idx="1686">
                  <c:v>1605</c:v>
                </c:pt>
                <c:pt idx="1687">
                  <c:v>1605</c:v>
                </c:pt>
                <c:pt idx="1688">
                  <c:v>1605</c:v>
                </c:pt>
                <c:pt idx="1689">
                  <c:v>1605</c:v>
                </c:pt>
                <c:pt idx="1690">
                  <c:v>1605</c:v>
                </c:pt>
                <c:pt idx="1691">
                  <c:v>1605</c:v>
                </c:pt>
                <c:pt idx="1692">
                  <c:v>1605</c:v>
                </c:pt>
                <c:pt idx="1693">
                  <c:v>1605</c:v>
                </c:pt>
                <c:pt idx="1694">
                  <c:v>1605</c:v>
                </c:pt>
                <c:pt idx="1695">
                  <c:v>1605</c:v>
                </c:pt>
                <c:pt idx="1696">
                  <c:v>1605</c:v>
                </c:pt>
                <c:pt idx="1697">
                  <c:v>1605</c:v>
                </c:pt>
                <c:pt idx="1698">
                  <c:v>1605</c:v>
                </c:pt>
                <c:pt idx="1699">
                  <c:v>1605</c:v>
                </c:pt>
                <c:pt idx="1700">
                  <c:v>1605</c:v>
                </c:pt>
                <c:pt idx="1701">
                  <c:v>1605</c:v>
                </c:pt>
                <c:pt idx="1702">
                  <c:v>1605</c:v>
                </c:pt>
                <c:pt idx="1703">
                  <c:v>1605</c:v>
                </c:pt>
                <c:pt idx="1704">
                  <c:v>1605</c:v>
                </c:pt>
                <c:pt idx="1705">
                  <c:v>1605</c:v>
                </c:pt>
                <c:pt idx="1706">
                  <c:v>1605</c:v>
                </c:pt>
                <c:pt idx="1707">
                  <c:v>1605</c:v>
                </c:pt>
                <c:pt idx="1708">
                  <c:v>1605</c:v>
                </c:pt>
                <c:pt idx="1709">
                  <c:v>1605</c:v>
                </c:pt>
                <c:pt idx="1710">
                  <c:v>1605</c:v>
                </c:pt>
                <c:pt idx="1711">
                  <c:v>1605</c:v>
                </c:pt>
                <c:pt idx="1712">
                  <c:v>1605</c:v>
                </c:pt>
                <c:pt idx="1713">
                  <c:v>1605</c:v>
                </c:pt>
                <c:pt idx="1714">
                  <c:v>1605</c:v>
                </c:pt>
                <c:pt idx="1715">
                  <c:v>1605</c:v>
                </c:pt>
                <c:pt idx="1716">
                  <c:v>1605</c:v>
                </c:pt>
                <c:pt idx="1717">
                  <c:v>1605</c:v>
                </c:pt>
                <c:pt idx="1718">
                  <c:v>1605</c:v>
                </c:pt>
                <c:pt idx="1719">
                  <c:v>1605</c:v>
                </c:pt>
                <c:pt idx="1720">
                  <c:v>1605</c:v>
                </c:pt>
                <c:pt idx="1721">
                  <c:v>1605</c:v>
                </c:pt>
                <c:pt idx="1722">
                  <c:v>1525</c:v>
                </c:pt>
                <c:pt idx="1723">
                  <c:v>1525</c:v>
                </c:pt>
                <c:pt idx="1724">
                  <c:v>1525</c:v>
                </c:pt>
                <c:pt idx="1725">
                  <c:v>1525</c:v>
                </c:pt>
                <c:pt idx="1726">
                  <c:v>1525</c:v>
                </c:pt>
                <c:pt idx="1727">
                  <c:v>1525</c:v>
                </c:pt>
                <c:pt idx="1728">
                  <c:v>1525</c:v>
                </c:pt>
                <c:pt idx="1729">
                  <c:v>1525</c:v>
                </c:pt>
                <c:pt idx="1730">
                  <c:v>1525</c:v>
                </c:pt>
                <c:pt idx="1731">
                  <c:v>1525</c:v>
                </c:pt>
                <c:pt idx="1732">
                  <c:v>1525</c:v>
                </c:pt>
                <c:pt idx="1733">
                  <c:v>1525</c:v>
                </c:pt>
                <c:pt idx="1734">
                  <c:v>1525</c:v>
                </c:pt>
                <c:pt idx="1735">
                  <c:v>1525</c:v>
                </c:pt>
                <c:pt idx="1736">
                  <c:v>1525</c:v>
                </c:pt>
                <c:pt idx="1737">
                  <c:v>1525</c:v>
                </c:pt>
                <c:pt idx="1738">
                  <c:v>1525</c:v>
                </c:pt>
                <c:pt idx="1739">
                  <c:v>1525</c:v>
                </c:pt>
                <c:pt idx="1740">
                  <c:v>1525</c:v>
                </c:pt>
                <c:pt idx="1741">
                  <c:v>1525</c:v>
                </c:pt>
                <c:pt idx="1742">
                  <c:v>1525</c:v>
                </c:pt>
                <c:pt idx="1743">
                  <c:v>1525</c:v>
                </c:pt>
                <c:pt idx="1744">
                  <c:v>1525</c:v>
                </c:pt>
                <c:pt idx="1745">
                  <c:v>1525</c:v>
                </c:pt>
                <c:pt idx="1746">
                  <c:v>1525</c:v>
                </c:pt>
                <c:pt idx="1747">
                  <c:v>1525</c:v>
                </c:pt>
                <c:pt idx="1748">
                  <c:v>1525</c:v>
                </c:pt>
                <c:pt idx="1749">
                  <c:v>1525</c:v>
                </c:pt>
                <c:pt idx="1750">
                  <c:v>1525</c:v>
                </c:pt>
                <c:pt idx="1751">
                  <c:v>1525</c:v>
                </c:pt>
                <c:pt idx="1752">
                  <c:v>1525</c:v>
                </c:pt>
                <c:pt idx="1753">
                  <c:v>1525</c:v>
                </c:pt>
                <c:pt idx="1754">
                  <c:v>1525</c:v>
                </c:pt>
                <c:pt idx="1755">
                  <c:v>1525</c:v>
                </c:pt>
                <c:pt idx="1756">
                  <c:v>1525</c:v>
                </c:pt>
                <c:pt idx="1757">
                  <c:v>1525</c:v>
                </c:pt>
                <c:pt idx="1758">
                  <c:v>1525</c:v>
                </c:pt>
                <c:pt idx="1759">
                  <c:v>1525</c:v>
                </c:pt>
                <c:pt idx="1760">
                  <c:v>1525</c:v>
                </c:pt>
                <c:pt idx="1761">
                  <c:v>1525</c:v>
                </c:pt>
                <c:pt idx="1762">
                  <c:v>1525</c:v>
                </c:pt>
                <c:pt idx="1763">
                  <c:v>1525</c:v>
                </c:pt>
                <c:pt idx="1764">
                  <c:v>1525</c:v>
                </c:pt>
                <c:pt idx="1765">
                  <c:v>1525</c:v>
                </c:pt>
                <c:pt idx="1766">
                  <c:v>1525</c:v>
                </c:pt>
                <c:pt idx="1767">
                  <c:v>1525</c:v>
                </c:pt>
                <c:pt idx="1768">
                  <c:v>1525</c:v>
                </c:pt>
                <c:pt idx="1769">
                  <c:v>1525</c:v>
                </c:pt>
                <c:pt idx="1770">
                  <c:v>1525</c:v>
                </c:pt>
                <c:pt idx="1771">
                  <c:v>1525</c:v>
                </c:pt>
                <c:pt idx="1772">
                  <c:v>1525</c:v>
                </c:pt>
                <c:pt idx="1773">
                  <c:v>1525</c:v>
                </c:pt>
                <c:pt idx="1774">
                  <c:v>1525</c:v>
                </c:pt>
                <c:pt idx="1775">
                  <c:v>1525</c:v>
                </c:pt>
                <c:pt idx="1776">
                  <c:v>1525</c:v>
                </c:pt>
                <c:pt idx="1777">
                  <c:v>1525</c:v>
                </c:pt>
                <c:pt idx="1778">
                  <c:v>1525</c:v>
                </c:pt>
                <c:pt idx="1779">
                  <c:v>1525</c:v>
                </c:pt>
                <c:pt idx="1780">
                  <c:v>1525</c:v>
                </c:pt>
                <c:pt idx="1781">
                  <c:v>1525</c:v>
                </c:pt>
                <c:pt idx="1782">
                  <c:v>1525</c:v>
                </c:pt>
                <c:pt idx="1783">
                  <c:v>1525</c:v>
                </c:pt>
                <c:pt idx="1784">
                  <c:v>1525</c:v>
                </c:pt>
                <c:pt idx="1785">
                  <c:v>1525</c:v>
                </c:pt>
                <c:pt idx="1786">
                  <c:v>1525</c:v>
                </c:pt>
                <c:pt idx="1787">
                  <c:v>1525</c:v>
                </c:pt>
                <c:pt idx="1788">
                  <c:v>1525</c:v>
                </c:pt>
                <c:pt idx="1789">
                  <c:v>1525</c:v>
                </c:pt>
                <c:pt idx="1790">
                  <c:v>1525</c:v>
                </c:pt>
                <c:pt idx="1791">
                  <c:v>1525</c:v>
                </c:pt>
                <c:pt idx="1792">
                  <c:v>1525</c:v>
                </c:pt>
                <c:pt idx="1793">
                  <c:v>1525</c:v>
                </c:pt>
                <c:pt idx="1794">
                  <c:v>1525</c:v>
                </c:pt>
                <c:pt idx="1795">
                  <c:v>1525</c:v>
                </c:pt>
                <c:pt idx="1796">
                  <c:v>1525</c:v>
                </c:pt>
                <c:pt idx="1797">
                  <c:v>1525</c:v>
                </c:pt>
                <c:pt idx="1798">
                  <c:v>1525</c:v>
                </c:pt>
                <c:pt idx="1799">
                  <c:v>1525</c:v>
                </c:pt>
                <c:pt idx="1800">
                  <c:v>1525</c:v>
                </c:pt>
                <c:pt idx="1801">
                  <c:v>1525</c:v>
                </c:pt>
                <c:pt idx="1802">
                  <c:v>1525</c:v>
                </c:pt>
                <c:pt idx="1803">
                  <c:v>1525</c:v>
                </c:pt>
                <c:pt idx="1804">
                  <c:v>1525</c:v>
                </c:pt>
                <c:pt idx="1805">
                  <c:v>1525</c:v>
                </c:pt>
                <c:pt idx="1806">
                  <c:v>1525</c:v>
                </c:pt>
                <c:pt idx="1807">
                  <c:v>1525</c:v>
                </c:pt>
                <c:pt idx="1808">
                  <c:v>1525</c:v>
                </c:pt>
                <c:pt idx="1809">
                  <c:v>1525</c:v>
                </c:pt>
                <c:pt idx="1810">
                  <c:v>1525</c:v>
                </c:pt>
                <c:pt idx="1811">
                  <c:v>1525</c:v>
                </c:pt>
                <c:pt idx="1812">
                  <c:v>1525</c:v>
                </c:pt>
                <c:pt idx="1813">
                  <c:v>1525</c:v>
                </c:pt>
                <c:pt idx="1814">
                  <c:v>1525</c:v>
                </c:pt>
                <c:pt idx="1815">
                  <c:v>1525</c:v>
                </c:pt>
                <c:pt idx="1816">
                  <c:v>1525</c:v>
                </c:pt>
                <c:pt idx="1817">
                  <c:v>1525</c:v>
                </c:pt>
                <c:pt idx="1818">
                  <c:v>1525</c:v>
                </c:pt>
                <c:pt idx="1819">
                  <c:v>1525</c:v>
                </c:pt>
                <c:pt idx="1820">
                  <c:v>1525</c:v>
                </c:pt>
                <c:pt idx="1821">
                  <c:v>1525</c:v>
                </c:pt>
                <c:pt idx="1822">
                  <c:v>1525</c:v>
                </c:pt>
                <c:pt idx="1823">
                  <c:v>1525</c:v>
                </c:pt>
                <c:pt idx="1824">
                  <c:v>1525</c:v>
                </c:pt>
                <c:pt idx="1825">
                  <c:v>1525</c:v>
                </c:pt>
                <c:pt idx="1826">
                  <c:v>1525</c:v>
                </c:pt>
                <c:pt idx="1827">
                  <c:v>1525</c:v>
                </c:pt>
                <c:pt idx="1828">
                  <c:v>1525</c:v>
                </c:pt>
                <c:pt idx="1829">
                  <c:v>1525</c:v>
                </c:pt>
                <c:pt idx="1830">
                  <c:v>1525</c:v>
                </c:pt>
                <c:pt idx="1831">
                  <c:v>1525</c:v>
                </c:pt>
                <c:pt idx="1832">
                  <c:v>1525</c:v>
                </c:pt>
                <c:pt idx="1833">
                  <c:v>1525</c:v>
                </c:pt>
                <c:pt idx="1834">
                  <c:v>1525</c:v>
                </c:pt>
                <c:pt idx="1835">
                  <c:v>1525</c:v>
                </c:pt>
                <c:pt idx="1836">
                  <c:v>1525</c:v>
                </c:pt>
                <c:pt idx="1837">
                  <c:v>1525</c:v>
                </c:pt>
                <c:pt idx="1838">
                  <c:v>1525</c:v>
                </c:pt>
                <c:pt idx="1839">
                  <c:v>1525</c:v>
                </c:pt>
                <c:pt idx="1840">
                  <c:v>1525</c:v>
                </c:pt>
                <c:pt idx="1841">
                  <c:v>1525</c:v>
                </c:pt>
                <c:pt idx="1842">
                  <c:v>1525</c:v>
                </c:pt>
                <c:pt idx="1843">
                  <c:v>1525</c:v>
                </c:pt>
                <c:pt idx="1844">
                  <c:v>1525</c:v>
                </c:pt>
                <c:pt idx="1845">
                  <c:v>1525</c:v>
                </c:pt>
                <c:pt idx="1846">
                  <c:v>1525</c:v>
                </c:pt>
                <c:pt idx="1847">
                  <c:v>1525</c:v>
                </c:pt>
                <c:pt idx="1848">
                  <c:v>1525</c:v>
                </c:pt>
                <c:pt idx="1849">
                  <c:v>1525</c:v>
                </c:pt>
                <c:pt idx="1850">
                  <c:v>1525</c:v>
                </c:pt>
                <c:pt idx="1851">
                  <c:v>1525</c:v>
                </c:pt>
                <c:pt idx="1852">
                  <c:v>1525</c:v>
                </c:pt>
                <c:pt idx="1853">
                  <c:v>1525</c:v>
                </c:pt>
                <c:pt idx="1854">
                  <c:v>1525</c:v>
                </c:pt>
                <c:pt idx="1855">
                  <c:v>1525</c:v>
                </c:pt>
                <c:pt idx="1856">
                  <c:v>1525</c:v>
                </c:pt>
                <c:pt idx="1857">
                  <c:v>1525</c:v>
                </c:pt>
                <c:pt idx="1858">
                  <c:v>1525</c:v>
                </c:pt>
                <c:pt idx="1859">
                  <c:v>1525</c:v>
                </c:pt>
                <c:pt idx="1860">
                  <c:v>1525</c:v>
                </c:pt>
                <c:pt idx="1861">
                  <c:v>1525</c:v>
                </c:pt>
                <c:pt idx="1862">
                  <c:v>1525</c:v>
                </c:pt>
                <c:pt idx="1863">
                  <c:v>1525</c:v>
                </c:pt>
                <c:pt idx="1864">
                  <c:v>1525</c:v>
                </c:pt>
                <c:pt idx="1865">
                  <c:v>1525</c:v>
                </c:pt>
                <c:pt idx="1866">
                  <c:v>1525</c:v>
                </c:pt>
                <c:pt idx="1867">
                  <c:v>1525</c:v>
                </c:pt>
                <c:pt idx="1868">
                  <c:v>1525</c:v>
                </c:pt>
                <c:pt idx="1869">
                  <c:v>1525</c:v>
                </c:pt>
                <c:pt idx="1870">
                  <c:v>1525</c:v>
                </c:pt>
                <c:pt idx="1871">
                  <c:v>1525</c:v>
                </c:pt>
                <c:pt idx="1872">
                  <c:v>1525</c:v>
                </c:pt>
                <c:pt idx="1873">
                  <c:v>1525</c:v>
                </c:pt>
                <c:pt idx="1874">
                  <c:v>1525</c:v>
                </c:pt>
                <c:pt idx="1875">
                  <c:v>1525</c:v>
                </c:pt>
                <c:pt idx="1876">
                  <c:v>1525</c:v>
                </c:pt>
                <c:pt idx="1877">
                  <c:v>1525</c:v>
                </c:pt>
                <c:pt idx="1878">
                  <c:v>1525</c:v>
                </c:pt>
                <c:pt idx="1879">
                  <c:v>1525</c:v>
                </c:pt>
                <c:pt idx="1880">
                  <c:v>1525</c:v>
                </c:pt>
                <c:pt idx="1881">
                  <c:v>1525</c:v>
                </c:pt>
                <c:pt idx="1882">
                  <c:v>1525</c:v>
                </c:pt>
                <c:pt idx="1883">
                  <c:v>1525</c:v>
                </c:pt>
                <c:pt idx="1884">
                  <c:v>1525</c:v>
                </c:pt>
                <c:pt idx="1885">
                  <c:v>1525</c:v>
                </c:pt>
                <c:pt idx="1886">
                  <c:v>1525</c:v>
                </c:pt>
                <c:pt idx="1887">
                  <c:v>1525</c:v>
                </c:pt>
                <c:pt idx="1888">
                  <c:v>1525</c:v>
                </c:pt>
                <c:pt idx="1889">
                  <c:v>1450</c:v>
                </c:pt>
                <c:pt idx="1890">
                  <c:v>1450</c:v>
                </c:pt>
                <c:pt idx="1891">
                  <c:v>1450</c:v>
                </c:pt>
                <c:pt idx="1892">
                  <c:v>1450</c:v>
                </c:pt>
                <c:pt idx="1893">
                  <c:v>1450</c:v>
                </c:pt>
                <c:pt idx="1894">
                  <c:v>1450</c:v>
                </c:pt>
                <c:pt idx="1895">
                  <c:v>1450</c:v>
                </c:pt>
                <c:pt idx="1896">
                  <c:v>1450</c:v>
                </c:pt>
                <c:pt idx="1897">
                  <c:v>1450</c:v>
                </c:pt>
                <c:pt idx="1898">
                  <c:v>1450</c:v>
                </c:pt>
                <c:pt idx="1899">
                  <c:v>1450</c:v>
                </c:pt>
                <c:pt idx="1900">
                  <c:v>1450</c:v>
                </c:pt>
                <c:pt idx="1901">
                  <c:v>1450</c:v>
                </c:pt>
                <c:pt idx="1902">
                  <c:v>1450</c:v>
                </c:pt>
                <c:pt idx="1903">
                  <c:v>1450</c:v>
                </c:pt>
                <c:pt idx="1904">
                  <c:v>1450</c:v>
                </c:pt>
                <c:pt idx="1905">
                  <c:v>1450</c:v>
                </c:pt>
                <c:pt idx="1906">
                  <c:v>1450</c:v>
                </c:pt>
                <c:pt idx="1907">
                  <c:v>1450</c:v>
                </c:pt>
                <c:pt idx="1908">
                  <c:v>1450</c:v>
                </c:pt>
                <c:pt idx="1909">
                  <c:v>1450</c:v>
                </c:pt>
                <c:pt idx="1910">
                  <c:v>1450</c:v>
                </c:pt>
                <c:pt idx="1911">
                  <c:v>1450</c:v>
                </c:pt>
                <c:pt idx="1912">
                  <c:v>1450</c:v>
                </c:pt>
                <c:pt idx="1913">
                  <c:v>1450</c:v>
                </c:pt>
                <c:pt idx="1914">
                  <c:v>1450</c:v>
                </c:pt>
                <c:pt idx="1915">
                  <c:v>1450</c:v>
                </c:pt>
                <c:pt idx="1916">
                  <c:v>1450</c:v>
                </c:pt>
                <c:pt idx="1917">
                  <c:v>1450</c:v>
                </c:pt>
                <c:pt idx="1918">
                  <c:v>1450</c:v>
                </c:pt>
                <c:pt idx="1919">
                  <c:v>1450</c:v>
                </c:pt>
                <c:pt idx="1920">
                  <c:v>1450</c:v>
                </c:pt>
                <c:pt idx="1921">
                  <c:v>1450</c:v>
                </c:pt>
                <c:pt idx="1922">
                  <c:v>1450</c:v>
                </c:pt>
                <c:pt idx="1923">
                  <c:v>1450</c:v>
                </c:pt>
                <c:pt idx="1924">
                  <c:v>1450</c:v>
                </c:pt>
                <c:pt idx="1925">
                  <c:v>1450</c:v>
                </c:pt>
                <c:pt idx="1926">
                  <c:v>1450</c:v>
                </c:pt>
                <c:pt idx="1927">
                  <c:v>1450</c:v>
                </c:pt>
                <c:pt idx="1928">
                  <c:v>1450</c:v>
                </c:pt>
                <c:pt idx="1929">
                  <c:v>1450</c:v>
                </c:pt>
                <c:pt idx="1930">
                  <c:v>1450</c:v>
                </c:pt>
                <c:pt idx="1931">
                  <c:v>1450</c:v>
                </c:pt>
                <c:pt idx="1932">
                  <c:v>1450</c:v>
                </c:pt>
                <c:pt idx="1933">
                  <c:v>1450</c:v>
                </c:pt>
                <c:pt idx="1934">
                  <c:v>1450</c:v>
                </c:pt>
                <c:pt idx="1935">
                  <c:v>1450</c:v>
                </c:pt>
                <c:pt idx="1936">
                  <c:v>1450</c:v>
                </c:pt>
                <c:pt idx="1937">
                  <c:v>1450</c:v>
                </c:pt>
                <c:pt idx="1938">
                  <c:v>1450</c:v>
                </c:pt>
                <c:pt idx="1939">
                  <c:v>1450</c:v>
                </c:pt>
                <c:pt idx="1940">
                  <c:v>1450</c:v>
                </c:pt>
                <c:pt idx="1941">
                  <c:v>1450</c:v>
                </c:pt>
                <c:pt idx="1942">
                  <c:v>1450</c:v>
                </c:pt>
                <c:pt idx="1943">
                  <c:v>1450</c:v>
                </c:pt>
                <c:pt idx="1944">
                  <c:v>1450</c:v>
                </c:pt>
                <c:pt idx="1945">
                  <c:v>1450</c:v>
                </c:pt>
                <c:pt idx="1946">
                  <c:v>1450</c:v>
                </c:pt>
                <c:pt idx="1947">
                  <c:v>1450</c:v>
                </c:pt>
                <c:pt idx="1948">
                  <c:v>1450</c:v>
                </c:pt>
                <c:pt idx="1949">
                  <c:v>1450</c:v>
                </c:pt>
                <c:pt idx="1950">
                  <c:v>1450</c:v>
                </c:pt>
                <c:pt idx="1951">
                  <c:v>1450</c:v>
                </c:pt>
                <c:pt idx="1952">
                  <c:v>1440</c:v>
                </c:pt>
                <c:pt idx="1953">
                  <c:v>1440</c:v>
                </c:pt>
                <c:pt idx="1954">
                  <c:v>1440</c:v>
                </c:pt>
                <c:pt idx="1955">
                  <c:v>1440</c:v>
                </c:pt>
                <c:pt idx="1956">
                  <c:v>1440</c:v>
                </c:pt>
                <c:pt idx="1957">
                  <c:v>1440</c:v>
                </c:pt>
                <c:pt idx="1958">
                  <c:v>1440</c:v>
                </c:pt>
                <c:pt idx="1959">
                  <c:v>1440</c:v>
                </c:pt>
                <c:pt idx="1960">
                  <c:v>1440</c:v>
                </c:pt>
                <c:pt idx="1961">
                  <c:v>1440</c:v>
                </c:pt>
                <c:pt idx="1962">
                  <c:v>1440</c:v>
                </c:pt>
                <c:pt idx="1963">
                  <c:v>1440</c:v>
                </c:pt>
                <c:pt idx="1964">
                  <c:v>1440</c:v>
                </c:pt>
                <c:pt idx="1965">
                  <c:v>1475</c:v>
                </c:pt>
                <c:pt idx="1966">
                  <c:v>1475</c:v>
                </c:pt>
                <c:pt idx="1967">
                  <c:v>1475</c:v>
                </c:pt>
                <c:pt idx="1968">
                  <c:v>1475</c:v>
                </c:pt>
                <c:pt idx="1969">
                  <c:v>1475</c:v>
                </c:pt>
                <c:pt idx="1970">
                  <c:v>1475</c:v>
                </c:pt>
                <c:pt idx="1971">
                  <c:v>1475</c:v>
                </c:pt>
                <c:pt idx="1972">
                  <c:v>1475</c:v>
                </c:pt>
                <c:pt idx="1973">
                  <c:v>1475</c:v>
                </c:pt>
                <c:pt idx="1974">
                  <c:v>1475</c:v>
                </c:pt>
                <c:pt idx="1975">
                  <c:v>1475</c:v>
                </c:pt>
                <c:pt idx="1976">
                  <c:v>1475</c:v>
                </c:pt>
                <c:pt idx="1977">
                  <c:v>1475</c:v>
                </c:pt>
                <c:pt idx="1978">
                  <c:v>1475</c:v>
                </c:pt>
                <c:pt idx="1979">
                  <c:v>1475</c:v>
                </c:pt>
                <c:pt idx="1980">
                  <c:v>1475</c:v>
                </c:pt>
                <c:pt idx="1981">
                  <c:v>1475</c:v>
                </c:pt>
                <c:pt idx="1982">
                  <c:v>1475</c:v>
                </c:pt>
                <c:pt idx="1983">
                  <c:v>1475</c:v>
                </c:pt>
                <c:pt idx="1984">
                  <c:v>1475</c:v>
                </c:pt>
                <c:pt idx="1985">
                  <c:v>1475</c:v>
                </c:pt>
                <c:pt idx="1986">
                  <c:v>1475</c:v>
                </c:pt>
                <c:pt idx="1987">
                  <c:v>1475</c:v>
                </c:pt>
                <c:pt idx="1988">
                  <c:v>1475</c:v>
                </c:pt>
                <c:pt idx="1989">
                  <c:v>1475</c:v>
                </c:pt>
                <c:pt idx="1990">
                  <c:v>1475</c:v>
                </c:pt>
                <c:pt idx="1991">
                  <c:v>1475</c:v>
                </c:pt>
                <c:pt idx="1992">
                  <c:v>1475</c:v>
                </c:pt>
                <c:pt idx="1993">
                  <c:v>1475</c:v>
                </c:pt>
                <c:pt idx="1994">
                  <c:v>1475</c:v>
                </c:pt>
                <c:pt idx="1995">
                  <c:v>1475</c:v>
                </c:pt>
                <c:pt idx="1996">
                  <c:v>1475</c:v>
                </c:pt>
                <c:pt idx="1997">
                  <c:v>1475</c:v>
                </c:pt>
                <c:pt idx="1998">
                  <c:v>1475</c:v>
                </c:pt>
                <c:pt idx="1999">
                  <c:v>1475</c:v>
                </c:pt>
                <c:pt idx="2000">
                  <c:v>1475</c:v>
                </c:pt>
                <c:pt idx="2001">
                  <c:v>1475</c:v>
                </c:pt>
                <c:pt idx="2002">
                  <c:v>1475</c:v>
                </c:pt>
                <c:pt idx="2003">
                  <c:v>1475</c:v>
                </c:pt>
                <c:pt idx="2004">
                  <c:v>1475</c:v>
                </c:pt>
                <c:pt idx="2005">
                  <c:v>1475</c:v>
                </c:pt>
                <c:pt idx="2006">
                  <c:v>1475</c:v>
                </c:pt>
                <c:pt idx="2007">
                  <c:v>1475</c:v>
                </c:pt>
                <c:pt idx="2008">
                  <c:v>1475</c:v>
                </c:pt>
                <c:pt idx="2009">
                  <c:v>1475</c:v>
                </c:pt>
                <c:pt idx="2010">
                  <c:v>1475</c:v>
                </c:pt>
                <c:pt idx="2011">
                  <c:v>1475</c:v>
                </c:pt>
                <c:pt idx="2012">
                  <c:v>1475</c:v>
                </c:pt>
                <c:pt idx="2013">
                  <c:v>1475</c:v>
                </c:pt>
                <c:pt idx="2014">
                  <c:v>1475</c:v>
                </c:pt>
                <c:pt idx="2015">
                  <c:v>1475</c:v>
                </c:pt>
                <c:pt idx="2016">
                  <c:v>1475</c:v>
                </c:pt>
                <c:pt idx="2017">
                  <c:v>1475</c:v>
                </c:pt>
                <c:pt idx="2018">
                  <c:v>1475</c:v>
                </c:pt>
                <c:pt idx="2019">
                  <c:v>1475</c:v>
                </c:pt>
                <c:pt idx="2020">
                  <c:v>1475</c:v>
                </c:pt>
                <c:pt idx="2021">
                  <c:v>1475</c:v>
                </c:pt>
                <c:pt idx="2022">
                  <c:v>1475</c:v>
                </c:pt>
                <c:pt idx="2023">
                  <c:v>1475</c:v>
                </c:pt>
                <c:pt idx="2024">
                  <c:v>1475</c:v>
                </c:pt>
                <c:pt idx="2025">
                  <c:v>1475</c:v>
                </c:pt>
                <c:pt idx="2026">
                  <c:v>1475</c:v>
                </c:pt>
                <c:pt idx="2027">
                  <c:v>1475</c:v>
                </c:pt>
                <c:pt idx="2028">
                  <c:v>1450</c:v>
                </c:pt>
                <c:pt idx="2029">
                  <c:v>1450</c:v>
                </c:pt>
                <c:pt idx="2030">
                  <c:v>1450</c:v>
                </c:pt>
                <c:pt idx="2031">
                  <c:v>1450</c:v>
                </c:pt>
                <c:pt idx="2032">
                  <c:v>1450</c:v>
                </c:pt>
                <c:pt idx="2033">
                  <c:v>1440</c:v>
                </c:pt>
                <c:pt idx="2034">
                  <c:v>1440</c:v>
                </c:pt>
                <c:pt idx="2035">
                  <c:v>1440</c:v>
                </c:pt>
                <c:pt idx="2036">
                  <c:v>1440</c:v>
                </c:pt>
                <c:pt idx="2037">
                  <c:v>1440</c:v>
                </c:pt>
                <c:pt idx="2038">
                  <c:v>1440</c:v>
                </c:pt>
                <c:pt idx="2039">
                  <c:v>1440</c:v>
                </c:pt>
                <c:pt idx="2040">
                  <c:v>1440</c:v>
                </c:pt>
                <c:pt idx="2041">
                  <c:v>1415</c:v>
                </c:pt>
                <c:pt idx="2042">
                  <c:v>1415</c:v>
                </c:pt>
                <c:pt idx="2043">
                  <c:v>1415</c:v>
                </c:pt>
                <c:pt idx="2044">
                  <c:v>1415</c:v>
                </c:pt>
                <c:pt idx="2045">
                  <c:v>1415</c:v>
                </c:pt>
                <c:pt idx="2046">
                  <c:v>1415</c:v>
                </c:pt>
                <c:pt idx="2047">
                  <c:v>1415</c:v>
                </c:pt>
                <c:pt idx="2048">
                  <c:v>1415</c:v>
                </c:pt>
                <c:pt idx="2049">
                  <c:v>1415</c:v>
                </c:pt>
                <c:pt idx="2050">
                  <c:v>1415</c:v>
                </c:pt>
                <c:pt idx="2051">
                  <c:v>1415</c:v>
                </c:pt>
                <c:pt idx="2052">
                  <c:v>1415</c:v>
                </c:pt>
                <c:pt idx="2053">
                  <c:v>1415</c:v>
                </c:pt>
                <c:pt idx="2054">
                  <c:v>1415</c:v>
                </c:pt>
                <c:pt idx="2055">
                  <c:v>1415</c:v>
                </c:pt>
                <c:pt idx="2056">
                  <c:v>1385</c:v>
                </c:pt>
                <c:pt idx="2057">
                  <c:v>1385</c:v>
                </c:pt>
                <c:pt idx="2058">
                  <c:v>1385</c:v>
                </c:pt>
                <c:pt idx="2059">
                  <c:v>1385</c:v>
                </c:pt>
                <c:pt idx="2060">
                  <c:v>1385</c:v>
                </c:pt>
                <c:pt idx="2061">
                  <c:v>1385</c:v>
                </c:pt>
                <c:pt idx="2062">
                  <c:v>1385</c:v>
                </c:pt>
                <c:pt idx="2063">
                  <c:v>1385</c:v>
                </c:pt>
                <c:pt idx="2064">
                  <c:v>1385</c:v>
                </c:pt>
                <c:pt idx="2065">
                  <c:v>1385</c:v>
                </c:pt>
                <c:pt idx="2066">
                  <c:v>1385</c:v>
                </c:pt>
                <c:pt idx="2067">
                  <c:v>1385</c:v>
                </c:pt>
                <c:pt idx="2068">
                  <c:v>1385</c:v>
                </c:pt>
                <c:pt idx="2069">
                  <c:v>1340</c:v>
                </c:pt>
                <c:pt idx="2070">
                  <c:v>1340</c:v>
                </c:pt>
                <c:pt idx="2071">
                  <c:v>1340</c:v>
                </c:pt>
                <c:pt idx="2072">
                  <c:v>1340</c:v>
                </c:pt>
                <c:pt idx="2073">
                  <c:v>1340</c:v>
                </c:pt>
                <c:pt idx="2074">
                  <c:v>1325</c:v>
                </c:pt>
                <c:pt idx="2075">
                  <c:v>1325</c:v>
                </c:pt>
                <c:pt idx="2076">
                  <c:v>1325</c:v>
                </c:pt>
                <c:pt idx="2077">
                  <c:v>1325</c:v>
                </c:pt>
                <c:pt idx="2078">
                  <c:v>1325</c:v>
                </c:pt>
                <c:pt idx="2079">
                  <c:v>1325</c:v>
                </c:pt>
                <c:pt idx="2080">
                  <c:v>1325</c:v>
                </c:pt>
                <c:pt idx="2081">
                  <c:v>1325</c:v>
                </c:pt>
                <c:pt idx="2082">
                  <c:v>1325</c:v>
                </c:pt>
                <c:pt idx="2083">
                  <c:v>1325</c:v>
                </c:pt>
                <c:pt idx="2084">
                  <c:v>1325</c:v>
                </c:pt>
                <c:pt idx="2085">
                  <c:v>1325</c:v>
                </c:pt>
                <c:pt idx="2086">
                  <c:v>1325</c:v>
                </c:pt>
                <c:pt idx="2087">
                  <c:v>1325</c:v>
                </c:pt>
                <c:pt idx="2088">
                  <c:v>1325</c:v>
                </c:pt>
                <c:pt idx="2089">
                  <c:v>1325</c:v>
                </c:pt>
                <c:pt idx="2090">
                  <c:v>1325</c:v>
                </c:pt>
                <c:pt idx="2091">
                  <c:v>1325</c:v>
                </c:pt>
                <c:pt idx="2092">
                  <c:v>1325</c:v>
                </c:pt>
                <c:pt idx="2093">
                  <c:v>1325</c:v>
                </c:pt>
                <c:pt idx="2094">
                  <c:v>1325</c:v>
                </c:pt>
                <c:pt idx="2095">
                  <c:v>1325</c:v>
                </c:pt>
                <c:pt idx="2096">
                  <c:v>1325</c:v>
                </c:pt>
                <c:pt idx="2097">
                  <c:v>1325</c:v>
                </c:pt>
                <c:pt idx="2098">
                  <c:v>1325</c:v>
                </c:pt>
                <c:pt idx="2099">
                  <c:v>1325</c:v>
                </c:pt>
                <c:pt idx="2100">
                  <c:v>1325</c:v>
                </c:pt>
                <c:pt idx="2101">
                  <c:v>1325</c:v>
                </c:pt>
                <c:pt idx="2102">
                  <c:v>1325</c:v>
                </c:pt>
                <c:pt idx="2103">
                  <c:v>1325</c:v>
                </c:pt>
                <c:pt idx="2104">
                  <c:v>1325</c:v>
                </c:pt>
                <c:pt idx="2105">
                  <c:v>1325</c:v>
                </c:pt>
                <c:pt idx="2106">
                  <c:v>1325</c:v>
                </c:pt>
                <c:pt idx="2107">
                  <c:v>1315</c:v>
                </c:pt>
                <c:pt idx="2108">
                  <c:v>1315</c:v>
                </c:pt>
                <c:pt idx="2109">
                  <c:v>1315</c:v>
                </c:pt>
                <c:pt idx="2110">
                  <c:v>1315</c:v>
                </c:pt>
                <c:pt idx="2111">
                  <c:v>1315</c:v>
                </c:pt>
                <c:pt idx="2112">
                  <c:v>1315</c:v>
                </c:pt>
                <c:pt idx="2113">
                  <c:v>1315</c:v>
                </c:pt>
                <c:pt idx="2114">
                  <c:v>1315</c:v>
                </c:pt>
                <c:pt idx="2115">
                  <c:v>1315</c:v>
                </c:pt>
                <c:pt idx="2116">
                  <c:v>1315</c:v>
                </c:pt>
                <c:pt idx="2117">
                  <c:v>1315</c:v>
                </c:pt>
                <c:pt idx="2118">
                  <c:v>1315</c:v>
                </c:pt>
                <c:pt idx="2119">
                  <c:v>1315</c:v>
                </c:pt>
                <c:pt idx="2120">
                  <c:v>1315</c:v>
                </c:pt>
                <c:pt idx="2121">
                  <c:v>1315</c:v>
                </c:pt>
                <c:pt idx="2122">
                  <c:v>1315</c:v>
                </c:pt>
                <c:pt idx="2123">
                  <c:v>1315</c:v>
                </c:pt>
                <c:pt idx="2124">
                  <c:v>1315</c:v>
                </c:pt>
                <c:pt idx="2125">
                  <c:v>1315</c:v>
                </c:pt>
                <c:pt idx="2126">
                  <c:v>1275</c:v>
                </c:pt>
                <c:pt idx="2127">
                  <c:v>1275</c:v>
                </c:pt>
                <c:pt idx="2128">
                  <c:v>1275</c:v>
                </c:pt>
                <c:pt idx="2129">
                  <c:v>1275</c:v>
                </c:pt>
                <c:pt idx="2130">
                  <c:v>1275</c:v>
                </c:pt>
                <c:pt idx="2131">
                  <c:v>1275</c:v>
                </c:pt>
                <c:pt idx="2132">
                  <c:v>1300</c:v>
                </c:pt>
                <c:pt idx="2133">
                  <c:v>1300</c:v>
                </c:pt>
                <c:pt idx="2134">
                  <c:v>1300</c:v>
                </c:pt>
                <c:pt idx="2135">
                  <c:v>1300</c:v>
                </c:pt>
                <c:pt idx="2136">
                  <c:v>1300</c:v>
                </c:pt>
                <c:pt idx="2137">
                  <c:v>1300</c:v>
                </c:pt>
                <c:pt idx="2138">
                  <c:v>1300</c:v>
                </c:pt>
                <c:pt idx="2139">
                  <c:v>1300</c:v>
                </c:pt>
                <c:pt idx="2140">
                  <c:v>1300</c:v>
                </c:pt>
                <c:pt idx="2141">
                  <c:v>1300</c:v>
                </c:pt>
                <c:pt idx="2142">
                  <c:v>1300</c:v>
                </c:pt>
                <c:pt idx="2143">
                  <c:v>1300</c:v>
                </c:pt>
                <c:pt idx="2144">
                  <c:v>1300</c:v>
                </c:pt>
                <c:pt idx="2145">
                  <c:v>1300</c:v>
                </c:pt>
                <c:pt idx="2146">
                  <c:v>1300</c:v>
                </c:pt>
                <c:pt idx="2147">
                  <c:v>1300</c:v>
                </c:pt>
                <c:pt idx="2148">
                  <c:v>1300</c:v>
                </c:pt>
                <c:pt idx="2149">
                  <c:v>1300</c:v>
                </c:pt>
                <c:pt idx="2150">
                  <c:v>1300</c:v>
                </c:pt>
                <c:pt idx="2151">
                  <c:v>1300</c:v>
                </c:pt>
                <c:pt idx="2152">
                  <c:v>1300</c:v>
                </c:pt>
                <c:pt idx="2153">
                  <c:v>1300</c:v>
                </c:pt>
                <c:pt idx="2154">
                  <c:v>1300</c:v>
                </c:pt>
                <c:pt idx="2155">
                  <c:v>1300</c:v>
                </c:pt>
                <c:pt idx="2156">
                  <c:v>1310</c:v>
                </c:pt>
                <c:pt idx="2157">
                  <c:v>1310</c:v>
                </c:pt>
                <c:pt idx="2158">
                  <c:v>1310</c:v>
                </c:pt>
                <c:pt idx="2159">
                  <c:v>1310</c:v>
                </c:pt>
                <c:pt idx="2160">
                  <c:v>1320</c:v>
                </c:pt>
                <c:pt idx="2161">
                  <c:v>1320</c:v>
                </c:pt>
                <c:pt idx="2162">
                  <c:v>1320</c:v>
                </c:pt>
                <c:pt idx="2163">
                  <c:v>1320</c:v>
                </c:pt>
                <c:pt idx="2164">
                  <c:v>1320</c:v>
                </c:pt>
                <c:pt idx="2165">
                  <c:v>1320</c:v>
                </c:pt>
                <c:pt idx="2166">
                  <c:v>1320</c:v>
                </c:pt>
                <c:pt idx="2167">
                  <c:v>1360</c:v>
                </c:pt>
                <c:pt idx="2168">
                  <c:v>1360</c:v>
                </c:pt>
                <c:pt idx="2169">
                  <c:v>1360</c:v>
                </c:pt>
                <c:pt idx="2170">
                  <c:v>1360</c:v>
                </c:pt>
                <c:pt idx="2171">
                  <c:v>1360</c:v>
                </c:pt>
                <c:pt idx="2172">
                  <c:v>1360</c:v>
                </c:pt>
                <c:pt idx="2173">
                  <c:v>1360</c:v>
                </c:pt>
                <c:pt idx="2174">
                  <c:v>1360</c:v>
                </c:pt>
                <c:pt idx="2175">
                  <c:v>1360</c:v>
                </c:pt>
                <c:pt idx="2176">
                  <c:v>1360</c:v>
                </c:pt>
                <c:pt idx="2177">
                  <c:v>1360</c:v>
                </c:pt>
                <c:pt idx="2178">
                  <c:v>1360</c:v>
                </c:pt>
                <c:pt idx="2179">
                  <c:v>1360</c:v>
                </c:pt>
                <c:pt idx="2180">
                  <c:v>1360</c:v>
                </c:pt>
                <c:pt idx="2181">
                  <c:v>1360</c:v>
                </c:pt>
                <c:pt idx="2182">
                  <c:v>1360</c:v>
                </c:pt>
                <c:pt idx="2183">
                  <c:v>1360</c:v>
                </c:pt>
                <c:pt idx="2184">
                  <c:v>1360</c:v>
                </c:pt>
                <c:pt idx="2185">
                  <c:v>1360</c:v>
                </c:pt>
                <c:pt idx="2186">
                  <c:v>1360</c:v>
                </c:pt>
                <c:pt idx="2187">
                  <c:v>1360</c:v>
                </c:pt>
                <c:pt idx="2188">
                  <c:v>1360</c:v>
                </c:pt>
                <c:pt idx="2189">
                  <c:v>1360</c:v>
                </c:pt>
                <c:pt idx="2190">
                  <c:v>1360</c:v>
                </c:pt>
                <c:pt idx="2191">
                  <c:v>1360</c:v>
                </c:pt>
                <c:pt idx="2192">
                  <c:v>1360</c:v>
                </c:pt>
                <c:pt idx="2193">
                  <c:v>1360</c:v>
                </c:pt>
                <c:pt idx="2194">
                  <c:v>1360</c:v>
                </c:pt>
                <c:pt idx="2195">
                  <c:v>1360</c:v>
                </c:pt>
                <c:pt idx="2196">
                  <c:v>1360</c:v>
                </c:pt>
                <c:pt idx="2197">
                  <c:v>1360</c:v>
                </c:pt>
                <c:pt idx="2198">
                  <c:v>1360</c:v>
                </c:pt>
              </c:numCache>
            </c:numRef>
          </c:yVal>
        </c:ser>
        <c:axId val="472851968"/>
        <c:axId val="472853504"/>
      </c:scatterChart>
      <c:valAx>
        <c:axId val="472851968"/>
        <c:scaling>
          <c:orientation val="minMax"/>
          <c:max val="42400"/>
          <c:min val="40200"/>
        </c:scaling>
        <c:axPos val="b"/>
        <c:numFmt formatCode="yyyy/m" sourceLinked="0"/>
        <c:maj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2853504"/>
        <c:crosses val="autoZero"/>
        <c:crossBetween val="midCat"/>
      </c:valAx>
      <c:valAx>
        <c:axId val="472853504"/>
        <c:scaling>
          <c:orientation val="minMax"/>
          <c:min val="1000"/>
        </c:scaling>
        <c:axPos val="l"/>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2851968"/>
        <c:crosses val="autoZero"/>
        <c:crossBetween val="midCat"/>
      </c:valAx>
      <c:spPr>
        <a:noFill/>
        <a:ln>
          <a:noFill/>
        </a:ln>
        <a:effectLst/>
      </c:spPr>
    </c:plotArea>
    <c:legend>
      <c:legendPos val="t"/>
      <c:layout>
        <c:manualLayout>
          <c:xMode val="edge"/>
          <c:yMode val="edge"/>
          <c:x val="4.1993744392174619E-2"/>
          <c:y val="2.1100625289485871E-2"/>
          <c:w val="0.90800640512409925"/>
          <c:h val="0.1125758379602151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noFill/>
    <a:ln w="9525" cap="flat" cmpd="sng" algn="ctr">
      <a:noFill/>
      <a:round/>
    </a:ln>
    <a:effectLst/>
  </c:spPr>
  <c:txPr>
    <a:bodyPr/>
    <a:lstStyle/>
    <a:p>
      <a:pPr>
        <a:defRPr/>
      </a:pPr>
      <a:endParaRPr lang="zh-CN"/>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lineChart>
        <c:grouping val="standar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Sheet1!$F$10:$F$13</c:f>
              <c:strCache>
                <c:ptCount val="4"/>
                <c:pt idx="0">
                  <c:v>12月</c:v>
                </c:pt>
                <c:pt idx="1">
                  <c:v>11月</c:v>
                </c:pt>
                <c:pt idx="2">
                  <c:v>10月</c:v>
                </c:pt>
                <c:pt idx="3">
                  <c:v>189,372.30 </c:v>
                </c:pt>
              </c:strCache>
            </c:strRef>
          </c:cat>
          <c:val>
            <c:numRef>
              <c:f>Sheet1!$G$10:$G$13</c:f>
              <c:numCache>
                <c:formatCode>0.00%</c:formatCode>
                <c:ptCount val="4"/>
                <c:pt idx="0">
                  <c:v>0.78049999999999997</c:v>
                </c:pt>
                <c:pt idx="1">
                  <c:v>0.78779999999999994</c:v>
                </c:pt>
                <c:pt idx="2">
                  <c:v>0.81299999999999994</c:v>
                </c:pt>
                <c:pt idx="3">
                  <c:v>0.82060000000000111</c:v>
                </c:pt>
              </c:numCache>
            </c:numRef>
          </c:val>
        </c:ser>
        <c:marker val="1"/>
        <c:axId val="465425920"/>
        <c:axId val="465504512"/>
      </c:lineChart>
      <c:catAx>
        <c:axId val="465425920"/>
        <c:scaling>
          <c:orientation val="maxMin"/>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5504512"/>
        <c:crosses val="autoZero"/>
        <c:auto val="1"/>
        <c:lblAlgn val="ctr"/>
        <c:lblOffset val="100"/>
      </c:catAx>
      <c:valAx>
        <c:axId val="465504512"/>
        <c:scaling>
          <c:orientation val="minMax"/>
          <c:min val="0.77000000000000124"/>
        </c:scaling>
        <c:axPos val="r"/>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54259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Sheet1!$C$12</c:f>
              <c:strCache>
                <c:ptCount val="1"/>
                <c:pt idx="0">
                  <c:v>产能利用率</c:v>
                </c:pt>
              </c:strCache>
            </c:strRef>
          </c:tx>
          <c:spPr>
            <a:ln w="28575" cap="rnd">
              <a:solidFill>
                <a:schemeClr val="accent1"/>
              </a:solidFill>
              <a:round/>
            </a:ln>
            <a:effectLst/>
          </c:spPr>
          <c:marker>
            <c:symbol val="none"/>
          </c:marker>
          <c:cat>
            <c:numRef>
              <c:f>Sheet1!$B$13:$B$36</c:f>
              <c:numCache>
                <c:formatCode>yyyy/mm;@</c:formatCode>
                <c:ptCount val="24"/>
                <c:pt idx="0">
                  <c:v>41274</c:v>
                </c:pt>
                <c:pt idx="1">
                  <c:v>41182</c:v>
                </c:pt>
                <c:pt idx="2">
                  <c:v>41090</c:v>
                </c:pt>
                <c:pt idx="3">
                  <c:v>40999</c:v>
                </c:pt>
                <c:pt idx="4">
                  <c:v>40908</c:v>
                </c:pt>
                <c:pt idx="5">
                  <c:v>40816</c:v>
                </c:pt>
                <c:pt idx="6">
                  <c:v>40724</c:v>
                </c:pt>
                <c:pt idx="7">
                  <c:v>40633</c:v>
                </c:pt>
                <c:pt idx="8">
                  <c:v>40543</c:v>
                </c:pt>
                <c:pt idx="9">
                  <c:v>40451</c:v>
                </c:pt>
                <c:pt idx="10">
                  <c:v>40359</c:v>
                </c:pt>
                <c:pt idx="11">
                  <c:v>40268</c:v>
                </c:pt>
                <c:pt idx="12">
                  <c:v>40178</c:v>
                </c:pt>
                <c:pt idx="13">
                  <c:v>40086</c:v>
                </c:pt>
                <c:pt idx="14">
                  <c:v>39994</c:v>
                </c:pt>
                <c:pt idx="15">
                  <c:v>39903</c:v>
                </c:pt>
                <c:pt idx="16">
                  <c:v>39813</c:v>
                </c:pt>
                <c:pt idx="17">
                  <c:v>39721</c:v>
                </c:pt>
                <c:pt idx="18">
                  <c:v>39629</c:v>
                </c:pt>
                <c:pt idx="19">
                  <c:v>39538</c:v>
                </c:pt>
                <c:pt idx="20">
                  <c:v>39447</c:v>
                </c:pt>
                <c:pt idx="21">
                  <c:v>39355</c:v>
                </c:pt>
                <c:pt idx="22">
                  <c:v>39263</c:v>
                </c:pt>
                <c:pt idx="23">
                  <c:v>39172</c:v>
                </c:pt>
              </c:numCache>
            </c:numRef>
          </c:cat>
          <c:val>
            <c:numRef>
              <c:f>Sheet1!$C$13:$C$36</c:f>
              <c:numCache>
                <c:formatCode>0%</c:formatCode>
                <c:ptCount val="24"/>
                <c:pt idx="0">
                  <c:v>0.8</c:v>
                </c:pt>
                <c:pt idx="1">
                  <c:v>0.81</c:v>
                </c:pt>
                <c:pt idx="2">
                  <c:v>0.82000000000000062</c:v>
                </c:pt>
                <c:pt idx="3">
                  <c:v>0.81</c:v>
                </c:pt>
                <c:pt idx="4">
                  <c:v>0.84000000000000064</c:v>
                </c:pt>
                <c:pt idx="5">
                  <c:v>0.85000000000000064</c:v>
                </c:pt>
                <c:pt idx="6">
                  <c:v>0.85000000000000064</c:v>
                </c:pt>
                <c:pt idx="7">
                  <c:v>0.81</c:v>
                </c:pt>
                <c:pt idx="8">
                  <c:v>0.77000000000000124</c:v>
                </c:pt>
                <c:pt idx="9">
                  <c:v>0.79</c:v>
                </c:pt>
                <c:pt idx="10">
                  <c:v>0.82000000000000062</c:v>
                </c:pt>
                <c:pt idx="11">
                  <c:v>0.81</c:v>
                </c:pt>
                <c:pt idx="12">
                  <c:v>0.81</c:v>
                </c:pt>
                <c:pt idx="13">
                  <c:v>0.78</c:v>
                </c:pt>
                <c:pt idx="14">
                  <c:v>0.75000000000000122</c:v>
                </c:pt>
                <c:pt idx="15">
                  <c:v>0.76000000000000123</c:v>
                </c:pt>
                <c:pt idx="16">
                  <c:v>0.84000000000000064</c:v>
                </c:pt>
                <c:pt idx="17">
                  <c:v>0.9</c:v>
                </c:pt>
                <c:pt idx="18">
                  <c:v>0.91</c:v>
                </c:pt>
                <c:pt idx="19">
                  <c:v>0.89</c:v>
                </c:pt>
                <c:pt idx="20">
                  <c:v>0.93</c:v>
                </c:pt>
                <c:pt idx="21">
                  <c:v>0.92</c:v>
                </c:pt>
                <c:pt idx="22">
                  <c:v>0.92</c:v>
                </c:pt>
                <c:pt idx="23">
                  <c:v>0.91</c:v>
                </c:pt>
              </c:numCache>
            </c:numRef>
          </c:val>
        </c:ser>
        <c:marker val="1"/>
        <c:axId val="465687296"/>
        <c:axId val="465781120"/>
      </c:lineChart>
      <c:lineChart>
        <c:grouping val="standard"/>
        <c:ser>
          <c:idx val="1"/>
          <c:order val="1"/>
          <c:tx>
            <c:strRef>
              <c:f>Sheet1!$D$12</c:f>
              <c:strCache>
                <c:ptCount val="1"/>
                <c:pt idx="0">
                  <c:v>GDP</c:v>
                </c:pt>
              </c:strCache>
            </c:strRef>
          </c:tx>
          <c:spPr>
            <a:ln w="28575" cap="rnd">
              <a:solidFill>
                <a:schemeClr val="accent2"/>
              </a:solidFill>
              <a:round/>
            </a:ln>
            <a:effectLst/>
          </c:spPr>
          <c:marker>
            <c:symbol val="none"/>
          </c:marker>
          <c:cat>
            <c:numRef>
              <c:f>Sheet1!$B$13:$B$36</c:f>
              <c:numCache>
                <c:formatCode>yyyy/mm;@</c:formatCode>
                <c:ptCount val="24"/>
                <c:pt idx="0">
                  <c:v>41274</c:v>
                </c:pt>
                <c:pt idx="1">
                  <c:v>41182</c:v>
                </c:pt>
                <c:pt idx="2">
                  <c:v>41090</c:v>
                </c:pt>
                <c:pt idx="3">
                  <c:v>40999</c:v>
                </c:pt>
                <c:pt idx="4">
                  <c:v>40908</c:v>
                </c:pt>
                <c:pt idx="5">
                  <c:v>40816</c:v>
                </c:pt>
                <c:pt idx="6">
                  <c:v>40724</c:v>
                </c:pt>
                <c:pt idx="7">
                  <c:v>40633</c:v>
                </c:pt>
                <c:pt idx="8">
                  <c:v>40543</c:v>
                </c:pt>
                <c:pt idx="9">
                  <c:v>40451</c:v>
                </c:pt>
                <c:pt idx="10">
                  <c:v>40359</c:v>
                </c:pt>
                <c:pt idx="11">
                  <c:v>40268</c:v>
                </c:pt>
                <c:pt idx="12">
                  <c:v>40178</c:v>
                </c:pt>
                <c:pt idx="13">
                  <c:v>40086</c:v>
                </c:pt>
                <c:pt idx="14">
                  <c:v>39994</c:v>
                </c:pt>
                <c:pt idx="15">
                  <c:v>39903</c:v>
                </c:pt>
                <c:pt idx="16">
                  <c:v>39813</c:v>
                </c:pt>
                <c:pt idx="17">
                  <c:v>39721</c:v>
                </c:pt>
                <c:pt idx="18">
                  <c:v>39629</c:v>
                </c:pt>
                <c:pt idx="19">
                  <c:v>39538</c:v>
                </c:pt>
                <c:pt idx="20">
                  <c:v>39447</c:v>
                </c:pt>
                <c:pt idx="21">
                  <c:v>39355</c:v>
                </c:pt>
                <c:pt idx="22">
                  <c:v>39263</c:v>
                </c:pt>
                <c:pt idx="23">
                  <c:v>39172</c:v>
                </c:pt>
              </c:numCache>
            </c:numRef>
          </c:cat>
          <c:val>
            <c:numRef>
              <c:f>Sheet1!$D$13:$D$36</c:f>
              <c:numCache>
                <c:formatCode>###,###,###,###,##0.00_ </c:formatCode>
                <c:ptCount val="24"/>
                <c:pt idx="0">
                  <c:v>8</c:v>
                </c:pt>
                <c:pt idx="1">
                  <c:v>7.4</c:v>
                </c:pt>
                <c:pt idx="2">
                  <c:v>7.5</c:v>
                </c:pt>
                <c:pt idx="3">
                  <c:v>8</c:v>
                </c:pt>
                <c:pt idx="4">
                  <c:v>8.7000000000000011</c:v>
                </c:pt>
                <c:pt idx="5">
                  <c:v>9.4</c:v>
                </c:pt>
                <c:pt idx="6">
                  <c:v>9.9</c:v>
                </c:pt>
                <c:pt idx="7">
                  <c:v>10.200000000000001</c:v>
                </c:pt>
                <c:pt idx="8">
                  <c:v>10</c:v>
                </c:pt>
                <c:pt idx="9">
                  <c:v>9.9</c:v>
                </c:pt>
                <c:pt idx="10">
                  <c:v>10.7</c:v>
                </c:pt>
                <c:pt idx="11">
                  <c:v>12.2</c:v>
                </c:pt>
                <c:pt idx="12">
                  <c:v>11.7</c:v>
                </c:pt>
                <c:pt idx="13">
                  <c:v>10.4</c:v>
                </c:pt>
                <c:pt idx="14">
                  <c:v>8</c:v>
                </c:pt>
                <c:pt idx="15">
                  <c:v>6.2</c:v>
                </c:pt>
                <c:pt idx="16">
                  <c:v>7.1</c:v>
                </c:pt>
                <c:pt idx="17">
                  <c:v>9.6</c:v>
                </c:pt>
                <c:pt idx="18">
                  <c:v>10.9</c:v>
                </c:pt>
                <c:pt idx="19">
                  <c:v>11.5</c:v>
                </c:pt>
                <c:pt idx="20">
                  <c:v>13.9</c:v>
                </c:pt>
                <c:pt idx="21">
                  <c:v>14.2</c:v>
                </c:pt>
                <c:pt idx="22">
                  <c:v>14.9</c:v>
                </c:pt>
                <c:pt idx="23">
                  <c:v>13.8</c:v>
                </c:pt>
              </c:numCache>
            </c:numRef>
          </c:val>
        </c:ser>
        <c:marker val="1"/>
        <c:axId val="465860864"/>
        <c:axId val="465782656"/>
      </c:lineChart>
      <c:dateAx>
        <c:axId val="465687296"/>
        <c:scaling>
          <c:orientation val="minMax"/>
        </c:scaling>
        <c:axPos val="b"/>
        <c:numFmt formatCode="yyyy/mm;@"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5781120"/>
        <c:crosses val="autoZero"/>
        <c:auto val="1"/>
        <c:lblOffset val="100"/>
        <c:baseTimeUnit val="months"/>
      </c:dateAx>
      <c:valAx>
        <c:axId val="465781120"/>
        <c:scaling>
          <c:orientation val="minMax"/>
          <c:max val="1"/>
          <c:min val="0.72000000000000064"/>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5687296"/>
        <c:crosses val="autoZero"/>
        <c:crossBetween val="between"/>
      </c:valAx>
      <c:valAx>
        <c:axId val="465782656"/>
        <c:scaling>
          <c:orientation val="minMax"/>
          <c:max val="15"/>
          <c:min val="5"/>
        </c:scaling>
        <c:axPos val="r"/>
        <c:numFmt formatCode="General" sourceLinked="0"/>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5860864"/>
        <c:crosses val="max"/>
        <c:crossBetween val="between"/>
      </c:valAx>
      <c:dateAx>
        <c:axId val="465860864"/>
        <c:scaling>
          <c:orientation val="minMax"/>
        </c:scaling>
        <c:delete val="1"/>
        <c:axPos val="b"/>
        <c:numFmt formatCode="yyyy/mm;@" sourceLinked="1"/>
        <c:tickLblPos val="none"/>
        <c:crossAx val="465782656"/>
        <c:crosses val="autoZero"/>
        <c:auto val="1"/>
        <c:lblOffset val="100"/>
        <c:baseTimeUnit val="months"/>
      </c:date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Sheet5!$B$1</c:f>
              <c:strCache>
                <c:ptCount val="1"/>
                <c:pt idx="0">
                  <c:v>铝压延加工:亏损企业亏损总额:累计值</c:v>
                </c:pt>
              </c:strCache>
            </c:strRef>
          </c:tx>
          <c:spPr>
            <a:solidFill>
              <a:schemeClr val="accent1"/>
            </a:solidFill>
            <a:ln>
              <a:noFill/>
            </a:ln>
            <a:effectLst/>
          </c:spPr>
          <c:cat>
            <c:numRef>
              <c:f>Sheet5!$A$2:$A$5</c:f>
              <c:numCache>
                <c:formatCode>General</c:formatCode>
                <c:ptCount val="4"/>
                <c:pt idx="0">
                  <c:v>2015</c:v>
                </c:pt>
                <c:pt idx="1">
                  <c:v>2014</c:v>
                </c:pt>
                <c:pt idx="2">
                  <c:v>2013</c:v>
                </c:pt>
                <c:pt idx="3">
                  <c:v>2012</c:v>
                </c:pt>
              </c:numCache>
            </c:numRef>
          </c:cat>
          <c:val>
            <c:numRef>
              <c:f>Sheet5!$B$2:$B$5</c:f>
              <c:numCache>
                <c:formatCode>###,###,###,###,##0.00_ </c:formatCode>
                <c:ptCount val="4"/>
                <c:pt idx="0">
                  <c:v>414336.24000000005</c:v>
                </c:pt>
                <c:pt idx="1">
                  <c:v>430442.5</c:v>
                </c:pt>
                <c:pt idx="2">
                  <c:v>330788.5</c:v>
                </c:pt>
                <c:pt idx="3">
                  <c:v>333129.8</c:v>
                </c:pt>
              </c:numCache>
            </c:numRef>
          </c:val>
        </c:ser>
        <c:gapWidth val="219"/>
        <c:overlap val="-27"/>
        <c:axId val="465927168"/>
        <c:axId val="466002304"/>
      </c:barChart>
      <c:catAx>
        <c:axId val="465927168"/>
        <c:scaling>
          <c:orientation val="maxMin"/>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002304"/>
        <c:crosses val="autoZero"/>
        <c:auto val="1"/>
        <c:lblAlgn val="ctr"/>
        <c:lblOffset val="100"/>
      </c:catAx>
      <c:valAx>
        <c:axId val="466002304"/>
        <c:scaling>
          <c:orientation val="minMax"/>
          <c:min val="300000"/>
        </c:scaling>
        <c:axPos val="r"/>
        <c:majorGridlines>
          <c:spPr>
            <a:ln w="9525" cap="flat" cmpd="sng" algn="ctr">
              <a:solidFill>
                <a:schemeClr val="tx1">
                  <a:lumMod val="15000"/>
                  <a:lumOff val="85000"/>
                </a:schemeClr>
              </a:solidFill>
              <a:round/>
            </a:ln>
            <a:effectLst/>
          </c:spPr>
        </c:majorGridlines>
        <c:numFmt formatCode="General"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5927168"/>
        <c:crosses val="autoZero"/>
        <c:crossBetween val="between"/>
        <c:dispUnits>
          <c:builtInUnit val="tenThousands"/>
        </c:dispUnits>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Sheet5!$H$2</c:f>
              <c:strCache>
                <c:ptCount val="1"/>
                <c:pt idx="0">
                  <c:v>铝压延加工:亏损企业单位数:累计值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Sheet5!$G$3:$G$6</c:f>
              <c:numCache>
                <c:formatCode>yyyy/mm;@</c:formatCode>
                <c:ptCount val="4"/>
                <c:pt idx="0">
                  <c:v>42308</c:v>
                </c:pt>
                <c:pt idx="1">
                  <c:v>41943</c:v>
                </c:pt>
                <c:pt idx="2">
                  <c:v>41578</c:v>
                </c:pt>
                <c:pt idx="3">
                  <c:v>41213</c:v>
                </c:pt>
              </c:numCache>
            </c:numRef>
          </c:cat>
          <c:val>
            <c:numRef>
              <c:f>Sheet5!$H$3:$H$6</c:f>
              <c:numCache>
                <c:formatCode>###,###,###,###,##0.00_ </c:formatCode>
                <c:ptCount val="4"/>
                <c:pt idx="0">
                  <c:v>350</c:v>
                </c:pt>
                <c:pt idx="1">
                  <c:v>306</c:v>
                </c:pt>
                <c:pt idx="2">
                  <c:v>267</c:v>
                </c:pt>
                <c:pt idx="3">
                  <c:v>243</c:v>
                </c:pt>
              </c:numCache>
            </c:numRef>
          </c:val>
        </c:ser>
        <c:marker val="1"/>
        <c:axId val="466048896"/>
        <c:axId val="466145280"/>
      </c:lineChart>
      <c:dateAx>
        <c:axId val="466048896"/>
        <c:scaling>
          <c:orientation val="minMax"/>
        </c:scaling>
        <c:axPos val="b"/>
        <c:numFmt formatCode="yyyy/mm;@"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145280"/>
        <c:crosses val="autoZero"/>
        <c:auto val="1"/>
        <c:lblOffset val="100"/>
        <c:baseTimeUnit val="years"/>
      </c:dateAx>
      <c:valAx>
        <c:axId val="466145280"/>
        <c:scaling>
          <c:orientation val="minMax"/>
          <c:min val="230"/>
        </c:scaling>
        <c:axPos val="l"/>
        <c:majorGridlines>
          <c:spPr>
            <a:ln w="9525" cap="flat" cmpd="sng" algn="ctr">
              <a:solidFill>
                <a:schemeClr val="tx1">
                  <a:lumMod val="15000"/>
                  <a:lumOff val="85000"/>
                </a:schemeClr>
              </a:solidFill>
              <a:round/>
            </a:ln>
            <a:effectLst/>
          </c:spPr>
        </c:majorGridlines>
        <c:numFmt formatCode="General"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0488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Sheet6!$B$1</c:f>
              <c:strCache>
                <c:ptCount val="1"/>
                <c:pt idx="0">
                  <c:v>任务下达量</c:v>
                </c:pt>
              </c:strCache>
            </c:strRef>
          </c:tx>
          <c:spPr>
            <a:solidFill>
              <a:schemeClr val="accent1"/>
            </a:solidFill>
            <a:ln>
              <a:noFill/>
            </a:ln>
            <a:effectLst/>
          </c:spPr>
          <c:cat>
            <c:numRef>
              <c:f>Sheet6!$A$2:$A$6</c:f>
              <c:numCache>
                <c:formatCode>yyyy;@</c:formatCode>
                <c:ptCount val="5"/>
                <c:pt idx="0">
                  <c:v>42004</c:v>
                </c:pt>
                <c:pt idx="1">
                  <c:v>41639</c:v>
                </c:pt>
                <c:pt idx="2">
                  <c:v>41274</c:v>
                </c:pt>
                <c:pt idx="3">
                  <c:v>40908</c:v>
                </c:pt>
                <c:pt idx="4">
                  <c:v>40543</c:v>
                </c:pt>
              </c:numCache>
            </c:numRef>
          </c:cat>
          <c:val>
            <c:numRef>
              <c:f>Sheet6!$B$2:$B$6</c:f>
              <c:numCache>
                <c:formatCode>###,###,###,###,##0.00_ </c:formatCode>
                <c:ptCount val="5"/>
                <c:pt idx="0">
                  <c:v>42</c:v>
                </c:pt>
                <c:pt idx="1">
                  <c:v>27.3</c:v>
                </c:pt>
                <c:pt idx="2">
                  <c:v>27</c:v>
                </c:pt>
                <c:pt idx="3">
                  <c:v>60</c:v>
                </c:pt>
                <c:pt idx="4">
                  <c:v>28.72</c:v>
                </c:pt>
              </c:numCache>
            </c:numRef>
          </c:val>
        </c:ser>
        <c:ser>
          <c:idx val="1"/>
          <c:order val="1"/>
          <c:tx>
            <c:strRef>
              <c:f>Sheet6!$C$1</c:f>
              <c:strCache>
                <c:ptCount val="1"/>
                <c:pt idx="0">
                  <c:v>任务完成量</c:v>
                </c:pt>
              </c:strCache>
            </c:strRef>
          </c:tx>
          <c:spPr>
            <a:solidFill>
              <a:schemeClr val="accent2"/>
            </a:solidFill>
            <a:ln>
              <a:noFill/>
            </a:ln>
            <a:effectLst/>
          </c:spPr>
          <c:cat>
            <c:numRef>
              <c:f>Sheet6!$A$2:$A$6</c:f>
              <c:numCache>
                <c:formatCode>yyyy;@</c:formatCode>
                <c:ptCount val="5"/>
                <c:pt idx="0">
                  <c:v>42004</c:v>
                </c:pt>
                <c:pt idx="1">
                  <c:v>41639</c:v>
                </c:pt>
                <c:pt idx="2">
                  <c:v>41274</c:v>
                </c:pt>
                <c:pt idx="3">
                  <c:v>40908</c:v>
                </c:pt>
                <c:pt idx="4">
                  <c:v>40543</c:v>
                </c:pt>
              </c:numCache>
            </c:numRef>
          </c:cat>
          <c:val>
            <c:numRef>
              <c:f>Sheet6!$C$2:$C$6</c:f>
              <c:numCache>
                <c:formatCode>###,###,###,###,##0.00_ </c:formatCode>
                <c:ptCount val="5"/>
                <c:pt idx="0">
                  <c:v>50.43</c:v>
                </c:pt>
                <c:pt idx="1">
                  <c:v>27</c:v>
                </c:pt>
                <c:pt idx="2">
                  <c:v>27</c:v>
                </c:pt>
                <c:pt idx="3">
                  <c:v>63.86</c:v>
                </c:pt>
                <c:pt idx="4">
                  <c:v>37.800000000000004</c:v>
                </c:pt>
              </c:numCache>
            </c:numRef>
          </c:val>
        </c:ser>
        <c:gapWidth val="219"/>
        <c:overlap val="-27"/>
        <c:axId val="466359424"/>
        <c:axId val="466409344"/>
      </c:barChart>
      <c:lineChart>
        <c:grouping val="standard"/>
        <c:ser>
          <c:idx val="2"/>
          <c:order val="2"/>
          <c:tx>
            <c:strRef>
              <c:f>Sheet6!$D$1</c:f>
              <c:strCache>
                <c:ptCount val="1"/>
                <c:pt idx="0">
                  <c:v>完成率</c:v>
                </c:pt>
              </c:strCache>
            </c:strRef>
          </c:tx>
          <c:spPr>
            <a:ln w="28575" cap="rnd">
              <a:solidFill>
                <a:schemeClr val="accent3"/>
              </a:solidFill>
              <a:round/>
            </a:ln>
            <a:effectLst/>
          </c:spPr>
          <c:marker>
            <c:symbol val="none"/>
          </c:marker>
          <c:cat>
            <c:numRef>
              <c:f>Sheet6!$A$2:$A$6</c:f>
              <c:numCache>
                <c:formatCode>yyyy;@</c:formatCode>
                <c:ptCount val="5"/>
                <c:pt idx="0">
                  <c:v>42004</c:v>
                </c:pt>
                <c:pt idx="1">
                  <c:v>41639</c:v>
                </c:pt>
                <c:pt idx="2">
                  <c:v>41274</c:v>
                </c:pt>
                <c:pt idx="3">
                  <c:v>40908</c:v>
                </c:pt>
                <c:pt idx="4">
                  <c:v>40543</c:v>
                </c:pt>
              </c:numCache>
            </c:numRef>
          </c:cat>
          <c:val>
            <c:numRef>
              <c:f>Sheet6!$D$2:$D$6</c:f>
              <c:numCache>
                <c:formatCode>###,###,###,###,##0.00_ </c:formatCode>
                <c:ptCount val="5"/>
                <c:pt idx="0">
                  <c:v>1.200714285714283</c:v>
                </c:pt>
                <c:pt idx="1">
                  <c:v>0.98901098901098727</c:v>
                </c:pt>
                <c:pt idx="2">
                  <c:v>1</c:v>
                </c:pt>
                <c:pt idx="3">
                  <c:v>1.064333333333334</c:v>
                </c:pt>
                <c:pt idx="4">
                  <c:v>1.3161559888579408</c:v>
                </c:pt>
              </c:numCache>
            </c:numRef>
          </c:val>
        </c:ser>
        <c:marker val="1"/>
        <c:axId val="466564224"/>
        <c:axId val="466410880"/>
      </c:lineChart>
      <c:dateAx>
        <c:axId val="466359424"/>
        <c:scaling>
          <c:orientation val="minMax"/>
        </c:scaling>
        <c:axPos val="b"/>
        <c:numFmt formatCode="yy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409344"/>
        <c:crosses val="autoZero"/>
        <c:auto val="1"/>
        <c:lblOffset val="100"/>
        <c:baseTimeUnit val="years"/>
      </c:dateAx>
      <c:valAx>
        <c:axId val="466409344"/>
        <c:scaling>
          <c:orientation val="minMax"/>
        </c:scaling>
        <c:axPos val="l"/>
        <c:majorGridlines>
          <c:spPr>
            <a:ln w="9525" cap="flat" cmpd="sng" algn="ctr">
              <a:solidFill>
                <a:schemeClr val="tx1">
                  <a:lumMod val="15000"/>
                  <a:lumOff val="85000"/>
                </a:schemeClr>
              </a:solidFill>
              <a:round/>
            </a:ln>
            <a:effectLst/>
          </c:spPr>
        </c:majorGridlines>
        <c:numFmt formatCode="###,###,###,###,##0.00_ "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359424"/>
        <c:crosses val="autoZero"/>
        <c:crossBetween val="between"/>
      </c:valAx>
      <c:valAx>
        <c:axId val="466410880"/>
        <c:scaling>
          <c:orientation val="minMax"/>
          <c:min val="0.8"/>
        </c:scaling>
        <c:axPos val="r"/>
        <c:numFmt formatCode="###,###,###,###,##0.00_ "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564224"/>
        <c:crosses val="max"/>
        <c:crossBetween val="between"/>
      </c:valAx>
      <c:dateAx>
        <c:axId val="466564224"/>
        <c:scaling>
          <c:orientation val="minMax"/>
        </c:scaling>
        <c:delete val="1"/>
        <c:axPos val="b"/>
        <c:numFmt formatCode="yyyy;@" sourceLinked="1"/>
        <c:tickLblPos val="none"/>
        <c:crossAx val="466410880"/>
        <c:crosses val="autoZero"/>
        <c:auto val="1"/>
        <c:lblOffset val="100"/>
        <c:baseTimeUnit val="years"/>
      </c:date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Sheet6!$H$1</c:f>
              <c:strCache>
                <c:ptCount val="1"/>
                <c:pt idx="0">
                  <c:v>任务完成量</c:v>
                </c:pt>
              </c:strCache>
            </c:strRef>
          </c:tx>
          <c:spPr>
            <a:solidFill>
              <a:schemeClr val="accent1"/>
            </a:solidFill>
            <a:ln>
              <a:noFill/>
            </a:ln>
            <a:effectLst/>
          </c:spPr>
          <c:cat>
            <c:numRef>
              <c:f>Sheet6!$G$2:$G$6</c:f>
              <c:numCache>
                <c:formatCode>yyyy;@</c:formatCode>
                <c:ptCount val="5"/>
                <c:pt idx="0">
                  <c:v>42004</c:v>
                </c:pt>
                <c:pt idx="1">
                  <c:v>41639</c:v>
                </c:pt>
                <c:pt idx="2">
                  <c:v>41274</c:v>
                </c:pt>
                <c:pt idx="3">
                  <c:v>40908</c:v>
                </c:pt>
                <c:pt idx="4">
                  <c:v>40543</c:v>
                </c:pt>
              </c:numCache>
            </c:numRef>
          </c:cat>
          <c:val>
            <c:numRef>
              <c:f>Sheet6!$H$2:$H$6</c:f>
              <c:numCache>
                <c:formatCode>###,###,###,###,##0.00_ </c:formatCode>
                <c:ptCount val="5"/>
                <c:pt idx="0">
                  <c:v>50.43</c:v>
                </c:pt>
                <c:pt idx="1">
                  <c:v>27</c:v>
                </c:pt>
                <c:pt idx="2">
                  <c:v>27</c:v>
                </c:pt>
                <c:pt idx="3">
                  <c:v>63.86</c:v>
                </c:pt>
                <c:pt idx="4">
                  <c:v>37.800000000000004</c:v>
                </c:pt>
              </c:numCache>
            </c:numRef>
          </c:val>
        </c:ser>
        <c:ser>
          <c:idx val="1"/>
          <c:order val="1"/>
          <c:tx>
            <c:strRef>
              <c:f>Sheet6!$I$1</c:f>
              <c:strCache>
                <c:ptCount val="1"/>
                <c:pt idx="0">
                  <c:v>新增产能</c:v>
                </c:pt>
              </c:strCache>
            </c:strRef>
          </c:tx>
          <c:spPr>
            <a:solidFill>
              <a:schemeClr val="accent2"/>
            </a:solidFill>
            <a:ln>
              <a:noFill/>
            </a:ln>
            <a:effectLst/>
          </c:spPr>
          <c:cat>
            <c:numRef>
              <c:f>Sheet6!$G$2:$G$6</c:f>
              <c:numCache>
                <c:formatCode>yyyy;@</c:formatCode>
                <c:ptCount val="5"/>
                <c:pt idx="0">
                  <c:v>42004</c:v>
                </c:pt>
                <c:pt idx="1">
                  <c:v>41639</c:v>
                </c:pt>
                <c:pt idx="2">
                  <c:v>41274</c:v>
                </c:pt>
                <c:pt idx="3">
                  <c:v>40908</c:v>
                </c:pt>
                <c:pt idx="4">
                  <c:v>40543</c:v>
                </c:pt>
              </c:numCache>
            </c:numRef>
          </c:cat>
          <c:val>
            <c:numRef>
              <c:f>Sheet6!$I$2:$I$6</c:f>
              <c:numCache>
                <c:formatCode>General</c:formatCode>
                <c:ptCount val="5"/>
                <c:pt idx="0">
                  <c:v>164.52965</c:v>
                </c:pt>
                <c:pt idx="1">
                  <c:v>286.65839</c:v>
                </c:pt>
                <c:pt idx="2">
                  <c:v>286.12189999999993</c:v>
                </c:pt>
                <c:pt idx="3">
                  <c:v>207.3348</c:v>
                </c:pt>
                <c:pt idx="4">
                  <c:v>158.19919999999999</c:v>
                </c:pt>
              </c:numCache>
            </c:numRef>
          </c:val>
        </c:ser>
        <c:gapWidth val="219"/>
        <c:overlap val="-27"/>
        <c:axId val="466668160"/>
        <c:axId val="466727296"/>
      </c:barChart>
      <c:dateAx>
        <c:axId val="466668160"/>
        <c:scaling>
          <c:orientation val="minMax"/>
        </c:scaling>
        <c:axPos val="b"/>
        <c:numFmt formatCode="yy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727296"/>
        <c:crosses val="autoZero"/>
        <c:auto val="1"/>
        <c:lblOffset val="100"/>
        <c:baseTimeUnit val="years"/>
      </c:dateAx>
      <c:valAx>
        <c:axId val="466727296"/>
        <c:scaling>
          <c:orientation val="minMax"/>
        </c:scaling>
        <c:axPos val="l"/>
        <c:majorGridlines>
          <c:spPr>
            <a:ln w="9525" cap="flat" cmpd="sng" algn="ctr">
              <a:solidFill>
                <a:schemeClr val="tx1">
                  <a:lumMod val="15000"/>
                  <a:lumOff val="85000"/>
                </a:schemeClr>
              </a:solidFill>
              <a:round/>
            </a:ln>
            <a:effectLst/>
          </c:spPr>
        </c:majorGridlines>
        <c:numFmt formatCode="###,###,###,###,##0.00_ "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66681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a:pPr>
      <a:endParaRPr lang="zh-CN"/>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世界煤炭供需平衡表!$K$10</c:f>
              <c:strCache>
                <c:ptCount val="1"/>
                <c:pt idx="0">
                  <c:v>总产量</c:v>
                </c:pt>
              </c:strCache>
            </c:strRef>
          </c:tx>
          <c:spPr>
            <a:solidFill>
              <a:schemeClr val="accent1"/>
            </a:solidFill>
            <a:ln>
              <a:noFill/>
            </a:ln>
            <a:effectLst/>
          </c:spPr>
          <c:cat>
            <c:strRef>
              <c:f>世界煤炭供需平衡表!$L$9:$O$9</c:f>
              <c:strCache>
                <c:ptCount val="4"/>
                <c:pt idx="0">
                  <c:v>2011年</c:v>
                </c:pt>
                <c:pt idx="1">
                  <c:v>2012年</c:v>
                </c:pt>
                <c:pt idx="2">
                  <c:v>2013年</c:v>
                </c:pt>
                <c:pt idx="3">
                  <c:v>2014年</c:v>
                </c:pt>
              </c:strCache>
            </c:strRef>
          </c:cat>
          <c:val>
            <c:numRef>
              <c:f>世界煤炭供需平衡表!$L$10:$O$10</c:f>
              <c:numCache>
                <c:formatCode>General</c:formatCode>
                <c:ptCount val="4"/>
                <c:pt idx="0">
                  <c:v>76.92</c:v>
                </c:pt>
                <c:pt idx="1">
                  <c:v>78.649999999999991</c:v>
                </c:pt>
                <c:pt idx="2">
                  <c:v>78.959999999999994</c:v>
                </c:pt>
                <c:pt idx="3">
                  <c:v>81.649999999999991</c:v>
                </c:pt>
              </c:numCache>
            </c:numRef>
          </c:val>
        </c:ser>
        <c:ser>
          <c:idx val="1"/>
          <c:order val="1"/>
          <c:tx>
            <c:strRef>
              <c:f>世界煤炭供需平衡表!$K$11</c:f>
              <c:strCache>
                <c:ptCount val="1"/>
                <c:pt idx="0">
                  <c:v>总消费量</c:v>
                </c:pt>
              </c:strCache>
            </c:strRef>
          </c:tx>
          <c:spPr>
            <a:solidFill>
              <a:schemeClr val="accent2"/>
            </a:solidFill>
            <a:ln>
              <a:noFill/>
            </a:ln>
            <a:effectLst/>
          </c:spPr>
          <c:cat>
            <c:strRef>
              <c:f>世界煤炭供需平衡表!$L$9:$O$9</c:f>
              <c:strCache>
                <c:ptCount val="4"/>
                <c:pt idx="0">
                  <c:v>2011年</c:v>
                </c:pt>
                <c:pt idx="1">
                  <c:v>2012年</c:v>
                </c:pt>
                <c:pt idx="2">
                  <c:v>2013年</c:v>
                </c:pt>
                <c:pt idx="3">
                  <c:v>2014年</c:v>
                </c:pt>
              </c:strCache>
            </c:strRef>
          </c:cat>
          <c:val>
            <c:numRef>
              <c:f>世界煤炭供需平衡表!$L$11:$O$11</c:f>
              <c:numCache>
                <c:formatCode>0.00_ </c:formatCode>
                <c:ptCount val="4"/>
                <c:pt idx="0">
                  <c:v>72.245599999999996</c:v>
                </c:pt>
                <c:pt idx="1">
                  <c:v>72.362000000000009</c:v>
                </c:pt>
                <c:pt idx="2">
                  <c:v>74.243800000000007</c:v>
                </c:pt>
                <c:pt idx="3">
                  <c:v>75.3108</c:v>
                </c:pt>
              </c:numCache>
            </c:numRef>
          </c:val>
        </c:ser>
        <c:gapWidth val="219"/>
        <c:overlap val="-27"/>
        <c:axId val="467577088"/>
        <c:axId val="467597568"/>
      </c:barChart>
      <c:catAx>
        <c:axId val="467577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67597568"/>
        <c:crosses val="autoZero"/>
        <c:auto val="1"/>
        <c:lblAlgn val="ctr"/>
        <c:lblOffset val="100"/>
      </c:catAx>
      <c:valAx>
        <c:axId val="467597568"/>
        <c:scaling>
          <c:orientation val="minMax"/>
          <c:min val="68"/>
        </c:scaling>
        <c:axPos val="l"/>
        <c:numFmt formatCode="General" sourceLinked="1"/>
        <c:maj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67577088"/>
        <c:crosses val="autoZero"/>
        <c:crossBetween val="between"/>
      </c:valAx>
      <c:spPr>
        <a:noFill/>
        <a:ln>
          <a:noFill/>
        </a:ln>
        <a:effectLst/>
      </c:spPr>
    </c:plotArea>
    <c:legend>
      <c:legendPos val="t"/>
      <c:layout>
        <c:manualLayout>
          <c:xMode val="edge"/>
          <c:yMode val="edge"/>
          <c:x val="0.29601584431927092"/>
          <c:y val="5.4891794534116335E-2"/>
          <c:w val="0.49096372441110875"/>
          <c:h val="0.13434465280736643"/>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sz="800"/>
      </a:pPr>
      <a:endParaRPr lang="zh-CN"/>
    </a:p>
  </c:txPr>
  <c:externalData r:id="rId2"/>
</c:chartSpace>
</file>

<file path=word/drawings/drawing1.xml><?xml version="1.0" encoding="utf-8"?>
<c:userShapes xmlns:c="http://schemas.openxmlformats.org/drawingml/2006/chart">
  <cdr:relSizeAnchor xmlns:cdr="http://schemas.openxmlformats.org/drawingml/2006/chartDrawing">
    <cdr:from>
      <cdr:x>0.10028</cdr:x>
      <cdr:y>0.27634</cdr:y>
    </cdr:from>
    <cdr:to>
      <cdr:x>0.53169</cdr:x>
      <cdr:y>0.39021</cdr:y>
    </cdr:to>
    <cdr:sp macro="" textlink="">
      <cdr:nvSpPr>
        <cdr:cNvPr id="2" name="TextBox 1"/>
        <cdr:cNvSpPr txBox="1"/>
      </cdr:nvSpPr>
      <cdr:spPr>
        <a:xfrm xmlns:a="http://schemas.openxmlformats.org/drawingml/2006/main">
          <a:off x="583622" y="564681"/>
          <a:ext cx="2510707" cy="232676"/>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US" altLang="zh-CN" sz="800"/>
            <a:t>2015</a:t>
          </a:r>
          <a:r>
            <a:rPr lang="zh-CN" altLang="en-US" sz="800"/>
            <a:t>年产能利用率全国平均水平：</a:t>
          </a:r>
          <a:r>
            <a:rPr lang="en-US" altLang="zh-CN" sz="800"/>
            <a:t>67%</a:t>
          </a:r>
          <a:endParaRPr lang="zh-CN" alt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0.12311</cdr:x>
      <cdr:y>0.028</cdr:y>
    </cdr:from>
    <cdr:to>
      <cdr:x>0.47035</cdr:x>
      <cdr:y>0.16799</cdr:y>
    </cdr:to>
    <cdr:sp macro="" textlink="">
      <cdr:nvSpPr>
        <cdr:cNvPr id="2" name="文本框 1"/>
        <cdr:cNvSpPr txBox="1"/>
      </cdr:nvSpPr>
      <cdr:spPr>
        <a:xfrm xmlns:a="http://schemas.openxmlformats.org/drawingml/2006/main">
          <a:off x="371475" y="57150"/>
          <a:ext cx="104775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CN" altLang="en-US" sz="800" b="1">
              <a:solidFill>
                <a:schemeClr val="accent3">
                  <a:lumMod val="75000"/>
                </a:schemeClr>
              </a:solidFill>
              <a:latin typeface="微软雅黑" panose="020B0503020204020204" pitchFamily="34" charset="-122"/>
              <a:ea typeface="微软雅黑" panose="020B0503020204020204" pitchFamily="34" charset="-122"/>
            </a:rPr>
            <a:t>开工率</a:t>
          </a:r>
          <a:r>
            <a:rPr lang="en-US" altLang="zh-CN" sz="800" b="1">
              <a:solidFill>
                <a:schemeClr val="accent3">
                  <a:lumMod val="75000"/>
                </a:schemeClr>
              </a:solidFill>
              <a:latin typeface="微软雅黑" panose="020B0503020204020204" pitchFamily="34" charset="-122"/>
              <a:ea typeface="微软雅黑" panose="020B0503020204020204" pitchFamily="34" charset="-122"/>
            </a:rPr>
            <a:t>(%</a:t>
          </a:r>
          <a:r>
            <a:rPr lang="zh-CN" altLang="en-US" sz="800" b="1">
              <a:solidFill>
                <a:schemeClr val="accent3">
                  <a:lumMod val="75000"/>
                </a:schemeClr>
              </a:solidFill>
              <a:latin typeface="微软雅黑" panose="020B0503020204020204" pitchFamily="34" charset="-122"/>
              <a:ea typeface="微软雅黑" panose="020B0503020204020204" pitchFamily="34" charset="-122"/>
            </a:rPr>
            <a:t>右轴</a:t>
          </a:r>
          <a:r>
            <a:rPr lang="en-US" altLang="zh-CN" sz="800" b="1">
              <a:solidFill>
                <a:schemeClr val="accent3">
                  <a:lumMod val="75000"/>
                </a:schemeClr>
              </a:solidFill>
              <a:latin typeface="微软雅黑" panose="020B0503020204020204" pitchFamily="34" charset="-122"/>
              <a:ea typeface="微软雅黑" panose="020B0503020204020204" pitchFamily="34" charset="-122"/>
            </a:rPr>
            <a:t>)</a:t>
          </a:r>
          <a:endParaRPr lang="zh-CN" altLang="en-US" sz="800" b="1">
            <a:solidFill>
              <a:schemeClr val="accent3">
                <a:lumMod val="75000"/>
              </a:schemeClr>
            </a:solidFill>
            <a:latin typeface="微软雅黑" panose="020B0503020204020204" pitchFamily="34" charset="-122"/>
            <a:ea typeface="微软雅黑" panose="020B0503020204020204" pitchFamily="34" charset="-122"/>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0.57046</cdr:x>
      <cdr:y>0.62542</cdr:y>
    </cdr:from>
    <cdr:to>
      <cdr:x>0.60969</cdr:x>
      <cdr:y>0.83256</cdr:y>
    </cdr:to>
    <cdr:sp macro="" textlink="">
      <cdr:nvSpPr>
        <cdr:cNvPr id="2" name="椭圆 1"/>
        <cdr:cNvSpPr/>
      </cdr:nvSpPr>
      <cdr:spPr>
        <a:xfrm xmlns:a="http://schemas.openxmlformats.org/drawingml/2006/main">
          <a:off x="1809750" y="1190625"/>
          <a:ext cx="124460" cy="394335"/>
        </a:xfrm>
        <a:prstGeom xmlns:a="http://schemas.openxmlformats.org/drawingml/2006/main" prst="ellipse">
          <a:avLst/>
        </a:prstGeom>
        <a:noFill xmlns:a="http://schemas.openxmlformats.org/drawingml/2006/main"/>
        <a:ln xmlns:a="http://schemas.openxmlformats.org/drawingml/2006/main" w="127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0.17814</cdr:x>
      <cdr:y>0.62542</cdr:y>
    </cdr:from>
    <cdr:to>
      <cdr:x>0.21737</cdr:x>
      <cdr:y>0.83256</cdr:y>
    </cdr:to>
    <cdr:sp macro="" textlink="">
      <cdr:nvSpPr>
        <cdr:cNvPr id="3" name="椭圆 2"/>
        <cdr:cNvSpPr/>
      </cdr:nvSpPr>
      <cdr:spPr>
        <a:xfrm xmlns:a="http://schemas.openxmlformats.org/drawingml/2006/main">
          <a:off x="565150" y="1190625"/>
          <a:ext cx="124460" cy="394335"/>
        </a:xfrm>
        <a:prstGeom xmlns:a="http://schemas.openxmlformats.org/drawingml/2006/main" prst="ellipse">
          <a:avLst/>
        </a:prstGeom>
        <a:noFill xmlns:a="http://schemas.openxmlformats.org/drawingml/2006/main"/>
        <a:ln xmlns:a="http://schemas.openxmlformats.org/drawingml/2006/main" w="127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9F8A5-522B-4F8F-872B-05190E48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39</Pages>
  <Words>4588</Words>
  <Characters>26158</Characters>
  <Application>Microsoft Office Word</Application>
  <DocSecurity>0</DocSecurity>
  <Lines>217</Lines>
  <Paragraphs>61</Paragraphs>
  <ScaleCrop>false</ScaleCrop>
  <Company>中国石油大学</Company>
  <LinksUpToDate>false</LinksUpToDate>
  <CharactersWithSpaces>30685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dc:title>
  <dc:creator>haodaming</dc:creator>
  <cp:lastModifiedBy>嵇旭</cp:lastModifiedBy>
  <cp:revision>487</cp:revision>
  <cp:lastPrinted>2015-09-24T16:04:00Z</cp:lastPrinted>
  <dcterms:created xsi:type="dcterms:W3CDTF">2015-11-30T16:05:00Z</dcterms:created>
  <dcterms:modified xsi:type="dcterms:W3CDTF">2016-02-14T14:56:00Z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